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01"/>
        <w:spacing w:after="0"/>
        <w:rPr>
          <w:sz w:val="20"/>
          <w:szCs w:val="20"/>
          <w:color w:val="auto"/>
        </w:rPr>
      </w:pPr>
      <w:r>
        <w:rPr>
          <w:rFonts w:ascii="Arial" w:cs="Arial" w:eastAsia="Arial" w:hAnsi="Arial"/>
          <w:sz w:val="47"/>
          <w:szCs w:val="47"/>
          <w:b w:val="1"/>
          <w:bCs w:val="1"/>
          <w:color w:val="96000E"/>
        </w:rPr>
        <w:t>THE TJX COMPANIES, INC.</w:t>
      </w:r>
    </w:p>
    <w:p>
      <w:pPr>
        <w:spacing w:after="0" w:line="20" w:lineRule="exact"/>
        <w:rPr>
          <w:sz w:val="24"/>
          <w:szCs w:val="24"/>
          <w:color w:val="auto"/>
        </w:rPr>
      </w:pPr>
    </w:p>
    <w:p>
      <w:pPr>
        <w:jc w:val="center"/>
        <w:ind w:right="201"/>
        <w:spacing w:after="0"/>
        <w:rPr>
          <w:sz w:val="20"/>
          <w:szCs w:val="20"/>
          <w:color w:val="auto"/>
        </w:rPr>
      </w:pPr>
      <w:r>
        <w:rPr>
          <w:rFonts w:ascii="Arial" w:cs="Arial" w:eastAsia="Arial" w:hAnsi="Arial"/>
          <w:sz w:val="53"/>
          <w:szCs w:val="53"/>
          <w:b w:val="1"/>
          <w:bCs w:val="1"/>
          <w:color w:val="96000E"/>
        </w:rPr>
        <w:t>2025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2308225</wp:posOffset>
            </wp:positionV>
            <wp:extent cx="4763" cy="4763"/>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1">
            <w:col w:w="9361"/>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1"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4"/>
          <w:szCs w:val="34"/>
          <w:b w:val="1"/>
          <w:bCs w:val="1"/>
          <w:color w:val="auto"/>
        </w:rPr>
        <w:t>TO OUR FELLOW SHAREHOLDERS:</w:t>
      </w:r>
    </w:p>
    <w:p>
      <w:pPr>
        <w:spacing w:after="0" w:line="171" w:lineRule="exact"/>
        <w:rPr>
          <w:sz w:val="20"/>
          <w:szCs w:val="20"/>
          <w:color w:val="auto"/>
        </w:rPr>
      </w:pPr>
    </w:p>
    <w:p>
      <w:pPr>
        <w:jc w:val="both"/>
        <w:ind w:left="20" w:right="1"/>
        <w:spacing w:after="0" w:line="274" w:lineRule="auto"/>
        <w:rPr>
          <w:sz w:val="20"/>
          <w:szCs w:val="20"/>
          <w:color w:val="auto"/>
        </w:rPr>
      </w:pPr>
      <w:r>
        <w:rPr>
          <w:rFonts w:ascii="Arial" w:cs="Arial" w:eastAsia="Arial" w:hAnsi="Arial"/>
          <w:sz w:val="20"/>
          <w:szCs w:val="20"/>
          <w:color w:val="auto"/>
        </w:rPr>
        <w:t xml:space="preserve">2025 was another excellent year for TJX! We are so proud of our global Associates who drove our above-plan top- and bottom-line growth. Throughout our 49-year history, our commitment to </w:t>
      </w:r>
      <w:r>
        <w:rPr>
          <w:rFonts w:ascii="Arial" w:cs="Arial" w:eastAsia="Arial" w:hAnsi="Arial"/>
          <w:sz w:val="20"/>
          <w:szCs w:val="20"/>
          <w:b w:val="1"/>
          <w:bCs w:val="1"/>
          <w:color w:val="auto"/>
        </w:rPr>
        <w:t>our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mission to deliver great value to customers every day </w:t>
      </w:r>
      <w:r>
        <w:rPr>
          <w:rFonts w:ascii="Arial" w:cs="Arial" w:eastAsia="Arial" w:hAnsi="Arial"/>
          <w:sz w:val="20"/>
          <w:szCs w:val="20"/>
          <w:color w:val="auto"/>
        </w:rPr>
        <w:t>has led to our successful growth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many different retail, economic, and geopolitical environments. With our great values and entertaining, treasure-hunt shopping experience, we attracted new shoppers and </w:t>
      </w:r>
      <w:r>
        <w:rPr>
          <w:rFonts w:ascii="Arial" w:cs="Arial" w:eastAsia="Arial" w:hAnsi="Arial"/>
          <w:sz w:val="20"/>
          <w:szCs w:val="20"/>
          <w:b w:val="1"/>
          <w:bCs w:val="1"/>
          <w:color w:val="auto"/>
        </w:rPr>
        <w:t>gained market share in each</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of our divisions </w:t>
      </w:r>
      <w:r>
        <w:rPr>
          <w:rFonts w:ascii="Arial" w:cs="Arial" w:eastAsia="Arial" w:hAnsi="Arial"/>
          <w:sz w:val="20"/>
          <w:szCs w:val="20"/>
          <w:color w:val="auto"/>
        </w:rPr>
        <w:t>in 2025. Across our retail banners, our value proposition of brand, fashion, price,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quality, appeals to a very broad range of customers across age and income demographics, which differentiates us from many other major retailers. Our long track record of success demonstrates the strength and resiliency of our off-price business model. As we begin our </w:t>
      </w:r>
      <w:r>
        <w:rPr>
          <w:rFonts w:ascii="Arial" w:cs="Arial" w:eastAsia="Arial" w:hAnsi="Arial"/>
          <w:sz w:val="20"/>
          <w:szCs w:val="20"/>
          <w:b w:val="1"/>
          <w:bCs w:val="1"/>
          <w:color w:val="auto"/>
        </w:rPr>
        <w:t>50</w:t>
      </w:r>
      <w:r>
        <w:rPr>
          <w:rFonts w:ascii="Arial" w:cs="Arial" w:eastAsia="Arial" w:hAnsi="Arial"/>
          <w:sz w:val="11"/>
          <w:szCs w:val="11"/>
          <w:b w:val="1"/>
          <w:bCs w:val="1"/>
          <w:color w:val="auto"/>
        </w:rPr>
        <w:t>th</w:t>
      </w:r>
      <w:r>
        <w:rPr>
          <w:rFonts w:ascii="Arial" w:cs="Arial" w:eastAsia="Arial" w:hAnsi="Arial"/>
          <w:sz w:val="20"/>
          <w:szCs w:val="20"/>
          <w:color w:val="auto"/>
        </w:rPr>
        <w:t xml:space="preserve"> </w:t>
      </w:r>
      <w:r>
        <w:rPr>
          <w:rFonts w:ascii="Arial" w:cs="Arial" w:eastAsia="Arial" w:hAnsi="Arial"/>
          <w:sz w:val="20"/>
          <w:szCs w:val="20"/>
          <w:b w:val="1"/>
          <w:bCs w:val="1"/>
          <w:color w:val="auto"/>
        </w:rPr>
        <w:t>year</w:t>
      </w:r>
      <w:r>
        <w:rPr>
          <w:rFonts w:ascii="Arial" w:cs="Arial" w:eastAsia="Arial" w:hAnsi="Arial"/>
          <w:sz w:val="20"/>
          <w:szCs w:val="20"/>
          <w:color w:val="auto"/>
        </w:rPr>
        <w:t xml:space="preserve"> in business, we have great confidence in our continued successful growth around the world.</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Associate Recognition</w:t>
      </w:r>
    </w:p>
    <w:p>
      <w:pPr>
        <w:spacing w:after="0" w:line="12" w:lineRule="exact"/>
        <w:rPr>
          <w:sz w:val="20"/>
          <w:szCs w:val="20"/>
          <w:color w:val="auto"/>
        </w:rPr>
      </w:pPr>
    </w:p>
    <w:p>
      <w:pPr>
        <w:jc w:val="both"/>
        <w:ind w:left="20" w:right="1"/>
        <w:spacing w:after="0" w:line="247" w:lineRule="auto"/>
        <w:rPr>
          <w:sz w:val="20"/>
          <w:szCs w:val="20"/>
          <w:color w:val="auto"/>
        </w:rPr>
      </w:pPr>
      <w:r>
        <w:rPr>
          <w:rFonts w:ascii="Arial" w:cs="Arial" w:eastAsia="Arial" w:hAnsi="Arial"/>
          <w:sz w:val="22"/>
          <w:szCs w:val="22"/>
          <w:color w:val="auto"/>
        </w:rPr>
        <w:t>Our Associates work every day to bring our business to life for our shoppers, and we are truly grateful for their ongoing dedication and commitment to TJX and our customers. Our success in 2025 is a testament to their sharp execution of our off-price fundamentals and the collective efforts of our global teams to drive these results.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2025 Business Review</w:t>
      </w:r>
    </w:p>
    <w:p>
      <w:pPr>
        <w:spacing w:after="0" w:line="7" w:lineRule="exact"/>
        <w:rPr>
          <w:sz w:val="20"/>
          <w:szCs w:val="20"/>
          <w:color w:val="auto"/>
        </w:rPr>
      </w:pPr>
    </w:p>
    <w:p>
      <w:pPr>
        <w:jc w:val="both"/>
        <w:ind w:left="20" w:right="1"/>
        <w:spacing w:after="0" w:line="247" w:lineRule="auto"/>
        <w:rPr>
          <w:sz w:val="20"/>
          <w:szCs w:val="20"/>
          <w:color w:val="auto"/>
        </w:rPr>
      </w:pPr>
      <w:r>
        <w:rPr>
          <w:rFonts w:ascii="Arial" w:cs="Arial" w:eastAsia="Arial" w:hAnsi="Arial"/>
          <w:sz w:val="22"/>
          <w:szCs w:val="22"/>
          <w:color w:val="auto"/>
        </w:rPr>
        <w:t xml:space="preserve">In 2025, annual sales surpassed </w:t>
      </w:r>
      <w:r>
        <w:rPr>
          <w:rFonts w:ascii="Arial" w:cs="Arial" w:eastAsia="Arial" w:hAnsi="Arial"/>
          <w:sz w:val="22"/>
          <w:szCs w:val="22"/>
          <w:b w:val="1"/>
          <w:bCs w:val="1"/>
          <w:color w:val="auto"/>
        </w:rPr>
        <w:t>$60 billion</w:t>
      </w:r>
      <w:r>
        <w:rPr>
          <w:rFonts w:ascii="Arial" w:cs="Arial" w:eastAsia="Arial" w:hAnsi="Arial"/>
          <w:sz w:val="22"/>
          <w:szCs w:val="22"/>
          <w:color w:val="auto"/>
        </w:rPr>
        <w:t xml:space="preserve">, marking a major milestone for our Company! Full year </w:t>
      </w:r>
      <w:r>
        <w:rPr>
          <w:rFonts w:ascii="Arial" w:cs="Arial" w:eastAsia="Arial" w:hAnsi="Arial"/>
          <w:sz w:val="22"/>
          <w:szCs w:val="22"/>
          <w:b w:val="1"/>
          <w:bCs w:val="1"/>
          <w:color w:val="auto"/>
        </w:rPr>
        <w:t>comparable sales grew a very strong 5%</w:t>
      </w:r>
      <w:r>
        <w:rPr>
          <w:rFonts w:ascii="Arial" w:cs="Arial" w:eastAsia="Arial" w:hAnsi="Arial"/>
          <w:sz w:val="22"/>
          <w:szCs w:val="22"/>
          <w:color w:val="auto"/>
        </w:rPr>
        <w:t>, driven by strong sales growth across all of our divisions.</w:t>
      </w:r>
      <w:r>
        <w:rPr>
          <w:rFonts w:ascii="Arial" w:cs="Arial" w:eastAsia="Arial" w:hAnsi="Arial"/>
          <w:sz w:val="22"/>
          <w:szCs w:val="22"/>
          <w:b w:val="1"/>
          <w:bCs w:val="1"/>
          <w:color w:val="auto"/>
        </w:rPr>
        <w:t xml:space="preserve"> </w:t>
      </w:r>
      <w:r>
        <w:rPr>
          <w:rFonts w:ascii="Arial" w:cs="Arial" w:eastAsia="Arial" w:hAnsi="Arial"/>
          <w:sz w:val="22"/>
          <w:szCs w:val="22"/>
          <w:color w:val="auto"/>
        </w:rPr>
        <w:t>We also saw strength in both our apparel and home categories. Sales, pretax profit margin, and earnings per share all increased significantly over last year and were well above our initial guidance for the year. Full year pretax profit margin was 12.1% and diluted earnings per share were $4.87. On an adjusted basis, full year pretax profit margin grew to 11.7% and diluted earnings per share increased 11% to $4.73.</w:t>
      </w:r>
      <w:r>
        <w:rPr>
          <w:rFonts w:ascii="Arial" w:cs="Arial" w:eastAsia="Arial" w:hAnsi="Arial"/>
          <w:sz w:val="12"/>
          <w:szCs w:val="12"/>
          <w:color w:val="auto"/>
        </w:rPr>
        <w:t>1</w:t>
      </w:r>
    </w:p>
    <w:p>
      <w:pPr>
        <w:spacing w:after="0" w:line="197" w:lineRule="exact"/>
        <w:rPr>
          <w:sz w:val="20"/>
          <w:szCs w:val="20"/>
          <w:color w:val="auto"/>
        </w:rPr>
      </w:pPr>
    </w:p>
    <w:p>
      <w:pPr>
        <w:jc w:val="both"/>
        <w:ind w:left="20" w:right="1"/>
        <w:spacing w:after="0" w:line="248" w:lineRule="auto"/>
        <w:rPr>
          <w:sz w:val="20"/>
          <w:szCs w:val="20"/>
          <w:color w:val="auto"/>
        </w:rPr>
      </w:pPr>
      <w:r>
        <w:rPr>
          <w:rFonts w:ascii="Arial" w:cs="Arial" w:eastAsia="Arial" w:hAnsi="Arial"/>
          <w:sz w:val="22"/>
          <w:szCs w:val="22"/>
          <w:color w:val="auto"/>
        </w:rPr>
        <w:t xml:space="preserve">We are extremely pleased with the broad-based strength across the Company, as </w:t>
      </w:r>
      <w:r>
        <w:rPr>
          <w:rFonts w:ascii="Arial" w:cs="Arial" w:eastAsia="Arial" w:hAnsi="Arial"/>
          <w:sz w:val="22"/>
          <w:szCs w:val="22"/>
          <w:b w:val="1"/>
          <w:bCs w:val="1"/>
          <w:color w:val="auto"/>
        </w:rPr>
        <w:t>each division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delivered comparable sales growth of 4% or better </w:t>
      </w:r>
      <w:r>
        <w:rPr>
          <w:rFonts w:ascii="Arial" w:cs="Arial" w:eastAsia="Arial" w:hAnsi="Arial"/>
          <w:sz w:val="22"/>
          <w:szCs w:val="22"/>
          <w:color w:val="auto"/>
        </w:rPr>
        <w:t>for the year. Importantly, each division also</w:t>
      </w:r>
      <w:r>
        <w:rPr>
          <w:rFonts w:ascii="Arial" w:cs="Arial" w:eastAsia="Arial" w:hAnsi="Arial"/>
          <w:sz w:val="22"/>
          <w:szCs w:val="22"/>
          <w:b w:val="1"/>
          <w:bCs w:val="1"/>
          <w:color w:val="auto"/>
        </w:rPr>
        <w:t xml:space="preserve"> </w:t>
      </w:r>
      <w:r>
        <w:rPr>
          <w:rFonts w:ascii="Arial" w:cs="Arial" w:eastAsia="Arial" w:hAnsi="Arial"/>
          <w:sz w:val="22"/>
          <w:szCs w:val="22"/>
          <w:color w:val="auto"/>
        </w:rPr>
        <w:t>drove increases in customer transactions and attracted new shoppers throughout the year. We believe all of our divisions are set up extremely well to continue capturing market share around the world for many years to come.</w:t>
      </w:r>
    </w:p>
    <w:p>
      <w:pPr>
        <w:spacing w:after="0" w:line="193" w:lineRule="exact"/>
        <w:rPr>
          <w:sz w:val="20"/>
          <w:szCs w:val="20"/>
          <w:color w:val="auto"/>
        </w:rPr>
      </w:pPr>
    </w:p>
    <w:p>
      <w:pPr>
        <w:jc w:val="both"/>
        <w:ind w:left="20" w:right="1"/>
        <w:spacing w:after="0" w:line="247" w:lineRule="auto"/>
        <w:rPr>
          <w:sz w:val="20"/>
          <w:szCs w:val="20"/>
          <w:color w:val="auto"/>
        </w:rPr>
      </w:pPr>
      <w:r>
        <w:rPr>
          <w:rFonts w:ascii="Arial" w:cs="Arial" w:eastAsia="Arial" w:hAnsi="Arial"/>
          <w:sz w:val="22"/>
          <w:szCs w:val="22"/>
          <w:b w:val="1"/>
          <w:bCs w:val="1"/>
          <w:color w:val="auto"/>
        </w:rPr>
        <w:t xml:space="preserve">Marmaxx’s </w:t>
      </w:r>
      <w:r>
        <w:rPr>
          <w:rFonts w:ascii="Arial" w:cs="Arial" w:eastAsia="Arial" w:hAnsi="Arial"/>
          <w:sz w:val="22"/>
          <w:szCs w:val="22"/>
          <w:color w:val="auto"/>
        </w:rPr>
        <w:t>annual sales exceeded $36 billion and comparable sales increased a</w:t>
      </w:r>
      <w:r>
        <w:rPr>
          <w:rFonts w:ascii="Arial" w:cs="Arial" w:eastAsia="Arial" w:hAnsi="Arial"/>
          <w:sz w:val="22"/>
          <w:szCs w:val="22"/>
          <w:b w:val="1"/>
          <w:bCs w:val="1"/>
          <w:color w:val="auto"/>
        </w:rPr>
        <w:t xml:space="preserve"> strong 4%</w:t>
      </w:r>
      <w:r>
        <w:rPr>
          <w:rFonts w:ascii="Arial" w:cs="Arial" w:eastAsia="Arial" w:hAnsi="Arial"/>
          <w:sz w:val="22"/>
          <w:szCs w:val="22"/>
          <w:color w:val="auto"/>
        </w:rPr>
        <w:t>,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consistent strength in stores across all regions and customer income demographics. </w:t>
      </w:r>
      <w:r>
        <w:rPr>
          <w:rFonts w:ascii="Arial" w:cs="Arial" w:eastAsia="Arial" w:hAnsi="Arial"/>
          <w:sz w:val="22"/>
          <w:szCs w:val="22"/>
          <w:b w:val="1"/>
          <w:bCs w:val="1"/>
          <w:color w:val="auto"/>
        </w:rPr>
        <w:t>Sierra</w:t>
      </w:r>
      <w:r>
        <w:rPr>
          <w:rFonts w:ascii="Arial" w:cs="Arial" w:eastAsia="Arial" w:hAnsi="Arial"/>
          <w:sz w:val="22"/>
          <w:szCs w:val="22"/>
          <w:color w:val="auto"/>
        </w:rPr>
        <w:t>, which is reported with TJ Maxx and Marshalls within this division, also drove robust sales growth as store openings accelerated across the country. Marmaxx’s full-year segment profit margin was 15.1% and adjusted segment profit margin increased to an outstanding 14.4%.</w:t>
      </w:r>
      <w:r>
        <w:rPr>
          <w:rFonts w:ascii="Arial" w:cs="Arial" w:eastAsia="Arial" w:hAnsi="Arial"/>
          <w:sz w:val="12"/>
          <w:szCs w:val="12"/>
          <w:color w:val="auto"/>
        </w:rPr>
        <w:t>2</w:t>
      </w:r>
      <w:r>
        <w:rPr>
          <w:rFonts w:ascii="Arial" w:cs="Arial" w:eastAsia="Arial" w:hAnsi="Arial"/>
          <w:sz w:val="22"/>
          <w:szCs w:val="22"/>
          <w:color w:val="auto"/>
        </w:rPr>
        <w:t xml:space="preserve"> Looking ahead, we are excited by the opportunities we see to attract more shoppers, grow our store base, and further increase sales at our largest division.</w:t>
      </w:r>
    </w:p>
    <w:p>
      <w:pPr>
        <w:spacing w:after="0" w:line="198" w:lineRule="exact"/>
        <w:rPr>
          <w:sz w:val="20"/>
          <w:szCs w:val="20"/>
          <w:color w:val="auto"/>
        </w:rPr>
      </w:pPr>
    </w:p>
    <w:p>
      <w:pPr>
        <w:jc w:val="both"/>
        <w:ind w:left="20" w:right="1"/>
        <w:spacing w:after="0" w:line="263" w:lineRule="auto"/>
        <w:rPr>
          <w:sz w:val="20"/>
          <w:szCs w:val="20"/>
          <w:color w:val="auto"/>
        </w:rPr>
      </w:pPr>
      <w:r>
        <w:rPr>
          <w:rFonts w:ascii="Arial" w:cs="Arial" w:eastAsia="Arial" w:hAnsi="Arial"/>
          <w:sz w:val="21"/>
          <w:szCs w:val="21"/>
          <w:color w:val="auto"/>
        </w:rPr>
        <w:t xml:space="preserve">At </w:t>
      </w:r>
      <w:r>
        <w:rPr>
          <w:rFonts w:ascii="Arial" w:cs="Arial" w:eastAsia="Arial" w:hAnsi="Arial"/>
          <w:sz w:val="21"/>
          <w:szCs w:val="21"/>
          <w:b w:val="1"/>
          <w:bCs w:val="1"/>
          <w:color w:val="auto"/>
        </w:rPr>
        <w:t>HomeGoods</w:t>
      </w:r>
      <w:r>
        <w:rPr>
          <w:rFonts w:ascii="Arial" w:cs="Arial" w:eastAsia="Arial" w:hAnsi="Arial"/>
          <w:sz w:val="21"/>
          <w:szCs w:val="21"/>
          <w:color w:val="auto"/>
        </w:rPr>
        <w:t xml:space="preserve">, annual sales surpassed $10 billion, a great milestone for this division! Comparable sales grew a </w:t>
      </w:r>
      <w:r>
        <w:rPr>
          <w:rFonts w:ascii="Arial" w:cs="Arial" w:eastAsia="Arial" w:hAnsi="Arial"/>
          <w:sz w:val="21"/>
          <w:szCs w:val="21"/>
          <w:b w:val="1"/>
          <w:bCs w:val="1"/>
          <w:color w:val="auto"/>
        </w:rPr>
        <w:t>very strong 5%</w:t>
      </w:r>
      <w:r>
        <w:rPr>
          <w:rFonts w:ascii="Arial" w:cs="Arial" w:eastAsia="Arial" w:hAnsi="Arial"/>
          <w:sz w:val="21"/>
          <w:szCs w:val="21"/>
          <w:color w:val="auto"/>
        </w:rPr>
        <w:t>, with consistent strength across all regions. Full year segment profit margin was 12.2% and adjusted segment profit margin grew to a very strong 12.0%.</w:t>
      </w:r>
      <w:r>
        <w:rPr>
          <w:rFonts w:ascii="Arial" w:cs="Arial" w:eastAsia="Arial" w:hAnsi="Arial"/>
          <w:sz w:val="12"/>
          <w:szCs w:val="12"/>
          <w:color w:val="auto"/>
        </w:rPr>
        <w:t>2</w:t>
      </w:r>
      <w:r>
        <w:rPr>
          <w:rFonts w:ascii="Arial" w:cs="Arial" w:eastAsia="Arial" w:hAnsi="Arial"/>
          <w:sz w:val="21"/>
          <w:szCs w:val="21"/>
          <w:color w:val="auto"/>
        </w:rPr>
        <w:t xml:space="preserve"> We are the largest off-price home fashions retailer in the U.S. and continue to see plenty of opportunities for our HomeGoods and Homesense banners to capture a larger share of the home retailing market.</w:t>
      </w:r>
    </w:p>
    <w:p>
      <w:pPr>
        <w:sectPr>
          <w:pgSz w:w="12240" w:h="15841" w:orient="portrait"/>
          <w:cols w:equalWidth="0" w:num="1">
            <w:col w:w="9381"/>
          </w:cols>
          <w:pgMar w:left="1420" w:top="1211" w:right="1440"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p>
    <w:p>
      <w:pPr>
        <w:sectPr>
          <w:pgSz w:w="12240" w:h="15841" w:orient="portrait"/>
          <w:cols w:equalWidth="0" w:num="1">
            <w:col w:w="9381"/>
          </w:cols>
          <w:pgMar w:left="1420" w:top="1211" w:right="1440" w:bottom="82" w:gutter="0" w:footer="0" w:header="0"/>
          <w:type w:val="continuous"/>
        </w:sectPr>
      </w:pPr>
    </w:p>
    <w:bookmarkStart w:id="3" w:name="page4"/>
    <w:bookmarkEnd w:id="3"/>
    <w:p>
      <w:pPr>
        <w:jc w:val="both"/>
        <w:ind w:right="1"/>
        <w:spacing w:after="0" w:line="267" w:lineRule="auto"/>
        <w:rPr>
          <w:sz w:val="20"/>
          <w:szCs w:val="20"/>
          <w:color w:val="auto"/>
        </w:rPr>
      </w:pPr>
      <w:r>
        <w:rPr>
          <w:rFonts w:ascii="Arial" w:cs="Arial" w:eastAsia="Arial" w:hAnsi="Arial"/>
          <w:sz w:val="22"/>
          <w:szCs w:val="22"/>
          <w:b w:val="1"/>
          <w:bCs w:val="1"/>
          <w:color w:val="auto"/>
        </w:rPr>
        <w:t>TJX Canada</w:t>
      </w:r>
      <w:r>
        <w:rPr>
          <w:rFonts w:ascii="Arial" w:cs="Arial" w:eastAsia="Arial" w:hAnsi="Arial"/>
          <w:sz w:val="22"/>
          <w:szCs w:val="22"/>
          <w:color w:val="auto"/>
        </w:rPr>
        <w:t>, which includes Winners, HomeSense, and Marshalls in Canada, delivered an</w:t>
      </w:r>
      <w:r>
        <w:rPr>
          <w:rFonts w:ascii="Arial" w:cs="Arial" w:eastAsia="Arial" w:hAnsi="Arial"/>
          <w:sz w:val="22"/>
          <w:szCs w:val="22"/>
          <w:b w:val="1"/>
          <w:bCs w:val="1"/>
          <w:color w:val="auto"/>
        </w:rPr>
        <w:t xml:space="preserve"> outstanding 7% </w:t>
      </w:r>
      <w:r>
        <w:rPr>
          <w:rFonts w:ascii="Arial" w:cs="Arial" w:eastAsia="Arial" w:hAnsi="Arial"/>
          <w:sz w:val="22"/>
          <w:szCs w:val="22"/>
          <w:color w:val="auto"/>
        </w:rPr>
        <w:t>comparable sales increase, with strength across all three banners. Annual sales</w:t>
      </w:r>
      <w:r>
        <w:rPr>
          <w:rFonts w:ascii="Arial" w:cs="Arial" w:eastAsia="Arial" w:hAnsi="Arial"/>
          <w:sz w:val="22"/>
          <w:szCs w:val="22"/>
          <w:b w:val="1"/>
          <w:bCs w:val="1"/>
          <w:color w:val="auto"/>
        </w:rPr>
        <w:t xml:space="preserve"> </w:t>
      </w:r>
      <w:r>
        <w:rPr>
          <w:rFonts w:ascii="Arial" w:cs="Arial" w:eastAsia="Arial" w:hAnsi="Arial"/>
          <w:sz w:val="22"/>
          <w:szCs w:val="22"/>
          <w:color w:val="auto"/>
        </w:rPr>
        <w:t>grew to $5.6 billion. Full year segment profit margin was 13.4% and adjusted segment profit margin, on a constant currency basis, increased to an outstanding 13.8%.</w:t>
      </w:r>
      <w:r>
        <w:rPr>
          <w:rFonts w:ascii="Arial" w:cs="Arial" w:eastAsia="Arial" w:hAnsi="Arial"/>
          <w:sz w:val="12"/>
          <w:szCs w:val="12"/>
          <w:color w:val="auto"/>
        </w:rPr>
        <w:t>3</w:t>
      </w:r>
      <w:r>
        <w:rPr>
          <w:rFonts w:ascii="Arial" w:cs="Arial" w:eastAsia="Arial" w:hAnsi="Arial"/>
          <w:sz w:val="22"/>
          <w:szCs w:val="22"/>
          <w:color w:val="auto"/>
        </w:rPr>
        <w:t xml:space="preserve"> As the leading off-price retailer in Canada, we have excellent brand awareness and strong customer loyalty, which we believe sets us up very well to continue our successful growth across the country.</w:t>
      </w:r>
    </w:p>
    <w:p>
      <w:pPr>
        <w:spacing w:after="0" w:line="232" w:lineRule="exact"/>
        <w:rPr>
          <w:sz w:val="20"/>
          <w:szCs w:val="20"/>
          <w:color w:val="auto"/>
        </w:rPr>
      </w:pPr>
    </w:p>
    <w:p>
      <w:pPr>
        <w:jc w:val="both"/>
        <w:ind w:right="1"/>
        <w:spacing w:after="0" w:line="247" w:lineRule="auto"/>
        <w:rPr>
          <w:sz w:val="20"/>
          <w:szCs w:val="20"/>
          <w:color w:val="auto"/>
        </w:rPr>
      </w:pPr>
      <w:r>
        <w:rPr>
          <w:rFonts w:ascii="Arial" w:cs="Arial" w:eastAsia="Arial" w:hAnsi="Arial"/>
          <w:sz w:val="22"/>
          <w:szCs w:val="22"/>
          <w:color w:val="auto"/>
        </w:rPr>
        <w:t xml:space="preserve">At </w:t>
      </w:r>
      <w:r>
        <w:rPr>
          <w:rFonts w:ascii="Arial" w:cs="Arial" w:eastAsia="Arial" w:hAnsi="Arial"/>
          <w:sz w:val="22"/>
          <w:szCs w:val="22"/>
          <w:b w:val="1"/>
          <w:bCs w:val="1"/>
          <w:color w:val="auto"/>
        </w:rPr>
        <w:t>TJX International</w:t>
      </w:r>
      <w:r>
        <w:rPr>
          <w:rFonts w:ascii="Arial" w:cs="Arial" w:eastAsia="Arial" w:hAnsi="Arial"/>
          <w:sz w:val="22"/>
          <w:szCs w:val="22"/>
          <w:color w:val="auto"/>
        </w:rPr>
        <w:t xml:space="preserve">, which includes TK Maxx and Homesense in Europe and TK Maxx in Australia, annual sales grew to $8 billion. Comparable sales increased a </w:t>
      </w:r>
      <w:r>
        <w:rPr>
          <w:rFonts w:ascii="Arial" w:cs="Arial" w:eastAsia="Arial" w:hAnsi="Arial"/>
          <w:sz w:val="22"/>
          <w:szCs w:val="22"/>
          <w:b w:val="1"/>
          <w:bCs w:val="1"/>
          <w:color w:val="auto"/>
        </w:rPr>
        <w:t>strong 4%</w:t>
      </w:r>
      <w:r>
        <w:rPr>
          <w:rFonts w:ascii="Arial" w:cs="Arial" w:eastAsia="Arial" w:hAnsi="Arial"/>
          <w:sz w:val="22"/>
          <w:szCs w:val="22"/>
          <w:color w:val="auto"/>
        </w:rPr>
        <w:t>, with strength in Europe and terrific sales in Australia. Full year segment profit margin was 7.0% and adjusted segment profit margin, on a constant currency basis, grew significantly to a strong 7.3%.</w:t>
      </w:r>
      <w:r>
        <w:rPr>
          <w:rFonts w:ascii="Arial" w:cs="Arial" w:eastAsia="Arial" w:hAnsi="Arial"/>
          <w:sz w:val="12"/>
          <w:szCs w:val="12"/>
          <w:color w:val="auto"/>
        </w:rPr>
        <w:t>3</w:t>
      </w:r>
      <w:r>
        <w:rPr>
          <w:rFonts w:ascii="Arial" w:cs="Arial" w:eastAsia="Arial" w:hAnsi="Arial"/>
          <w:sz w:val="22"/>
          <w:szCs w:val="22"/>
          <w:color w:val="auto"/>
        </w:rPr>
        <w:t xml:space="preserve"> We continue to see numerous growth opportunities for this division. We are excited about opening our first stores in Spain in 2026, and we are confident that we can attract even more shoppers in both Europe and Australia over the long term.</w:t>
      </w:r>
    </w:p>
    <w:p>
      <w:pPr>
        <w:spacing w:after="0" w:line="198" w:lineRule="exact"/>
        <w:rPr>
          <w:sz w:val="20"/>
          <w:szCs w:val="20"/>
          <w:color w:val="auto"/>
        </w:rPr>
      </w:pPr>
    </w:p>
    <w:p>
      <w:pPr>
        <w:jc w:val="both"/>
        <w:ind w:right="1"/>
        <w:spacing w:after="0" w:line="248" w:lineRule="auto"/>
        <w:rPr>
          <w:sz w:val="20"/>
          <w:szCs w:val="20"/>
          <w:color w:val="auto"/>
        </w:rPr>
      </w:pPr>
      <w:r>
        <w:rPr>
          <w:rFonts w:ascii="Arial" w:cs="Arial" w:eastAsia="Arial" w:hAnsi="Arial"/>
          <w:sz w:val="22"/>
          <w:szCs w:val="22"/>
          <w:color w:val="auto"/>
        </w:rPr>
        <w:t xml:space="preserve">As to </w:t>
      </w:r>
      <w:r>
        <w:rPr>
          <w:rFonts w:ascii="Arial" w:cs="Arial" w:eastAsia="Arial" w:hAnsi="Arial"/>
          <w:sz w:val="22"/>
          <w:szCs w:val="22"/>
          <w:b w:val="1"/>
          <w:bCs w:val="1"/>
          <w:color w:val="auto"/>
        </w:rPr>
        <w:t>e-commerce</w:t>
      </w:r>
      <w:r>
        <w:rPr>
          <w:rFonts w:ascii="Arial" w:cs="Arial" w:eastAsia="Arial" w:hAnsi="Arial"/>
          <w:sz w:val="22"/>
          <w:szCs w:val="22"/>
          <w:color w:val="auto"/>
        </w:rPr>
        <w:t>, we were pleased with the sales performance during the year. We continued to add new categories and brands to our tjmaxx.com, marshalls.com, sierra.com, and tkmaxx.com sites in 2025 to deliver even more freshness to our online shoppers. We see our online business as an important complement to our successful brick-and-mortar stores and a great way to offer customers exciting values on our eclectic assortments 24/7.</w:t>
      </w:r>
    </w:p>
    <w:p>
      <w:pPr>
        <w:spacing w:after="0" w:line="193" w:lineRule="exact"/>
        <w:rPr>
          <w:sz w:val="20"/>
          <w:szCs w:val="20"/>
          <w:color w:val="auto"/>
        </w:rPr>
      </w:pPr>
    </w:p>
    <w:p>
      <w:pPr>
        <w:jc w:val="both"/>
        <w:ind w:right="1"/>
        <w:spacing w:after="0" w:line="261" w:lineRule="auto"/>
        <w:rPr>
          <w:sz w:val="20"/>
          <w:szCs w:val="20"/>
          <w:color w:val="auto"/>
        </w:rPr>
      </w:pPr>
      <w:r>
        <w:rPr>
          <w:rFonts w:ascii="Arial" w:cs="Arial" w:eastAsia="Arial" w:hAnsi="Arial"/>
          <w:sz w:val="21"/>
          <w:szCs w:val="21"/>
          <w:color w:val="auto"/>
        </w:rPr>
        <w:t>Throughout the year, our global teams collaborated as “</w:t>
      </w:r>
      <w:r>
        <w:rPr>
          <w:rFonts w:ascii="Arial" w:cs="Arial" w:eastAsia="Arial" w:hAnsi="Arial"/>
          <w:sz w:val="21"/>
          <w:szCs w:val="21"/>
          <w:b w:val="1"/>
          <w:bCs w:val="1"/>
          <w:color w:val="auto"/>
        </w:rPr>
        <w:t>One TJX</w:t>
      </w:r>
      <w:r>
        <w:rPr>
          <w:rFonts w:ascii="Arial" w:cs="Arial" w:eastAsia="Arial" w:hAnsi="Arial"/>
          <w:sz w:val="21"/>
          <w:szCs w:val="21"/>
          <w:color w:val="auto"/>
        </w:rPr>
        <w:t xml:space="preserve">” to deliver on our value mission to our customers, every day. Our team of over 1,400 world-class buyers source from an ever-changing universe of approximately 21,000 vendors and from more than 100 countries. By leveraging our global presence and strong vendor relationships, we are able to chase hot trends and capitalize on the tremendous availability in the marketplace. With our global buying and planning expertise and our proprietary logistics and distribution networks, we believe </w:t>
      </w:r>
      <w:r>
        <w:rPr>
          <w:rFonts w:ascii="Arial" w:cs="Arial" w:eastAsia="Arial" w:hAnsi="Arial"/>
          <w:sz w:val="21"/>
          <w:szCs w:val="21"/>
          <w:b w:val="1"/>
          <w:bCs w:val="1"/>
          <w:color w:val="auto"/>
        </w:rPr>
        <w:t>we are one of the most flexible retailers</w:t>
      </w:r>
      <w:r>
        <w:rPr>
          <w:rFonts w:ascii="Arial" w:cs="Arial" w:eastAsia="Arial" w:hAnsi="Arial"/>
          <w:sz w:val="21"/>
          <w:szCs w:val="21"/>
          <w:color w:val="auto"/>
        </w:rPr>
        <w:t xml:space="preserve"> </w:t>
      </w:r>
      <w:r>
        <w:rPr>
          <w:rFonts w:ascii="Arial" w:cs="Arial" w:eastAsia="Arial" w:hAnsi="Arial"/>
          <w:sz w:val="21"/>
          <w:szCs w:val="21"/>
          <w:b w:val="1"/>
          <w:bCs w:val="1"/>
          <w:color w:val="auto"/>
        </w:rPr>
        <w:t>in the world</w:t>
      </w:r>
      <w:r>
        <w:rPr>
          <w:rFonts w:ascii="Arial" w:cs="Arial" w:eastAsia="Arial" w:hAnsi="Arial"/>
          <w:sz w:val="21"/>
          <w:szCs w:val="21"/>
          <w:color w:val="auto"/>
        </w:rPr>
        <w:t>. This flexibility allows us to buy close to need, react quickly to consumer preferences,</w:t>
      </w:r>
      <w:r>
        <w:rPr>
          <w:rFonts w:ascii="Arial" w:cs="Arial" w:eastAsia="Arial" w:hAnsi="Arial"/>
          <w:sz w:val="21"/>
          <w:szCs w:val="21"/>
          <w:b w:val="1"/>
          <w:bCs w:val="1"/>
          <w:color w:val="auto"/>
        </w:rPr>
        <w:t xml:space="preserve"> </w:t>
      </w:r>
      <w:r>
        <w:rPr>
          <w:rFonts w:ascii="Arial" w:cs="Arial" w:eastAsia="Arial" w:hAnsi="Arial"/>
          <w:sz w:val="21"/>
          <w:szCs w:val="21"/>
          <w:color w:val="auto"/>
        </w:rPr>
        <w:t>and flow the right product to the right stores, at the right time.</w:t>
      </w:r>
    </w:p>
    <w:p>
      <w:pPr>
        <w:spacing w:after="0" w:line="179" w:lineRule="exact"/>
        <w:rPr>
          <w:sz w:val="20"/>
          <w:szCs w:val="20"/>
          <w:color w:val="auto"/>
        </w:rPr>
      </w:pPr>
    </w:p>
    <w:p>
      <w:pPr>
        <w:jc w:val="both"/>
        <w:ind w:right="1"/>
        <w:spacing w:after="0" w:line="247" w:lineRule="auto"/>
        <w:rPr>
          <w:sz w:val="20"/>
          <w:szCs w:val="20"/>
          <w:color w:val="auto"/>
        </w:rPr>
      </w:pPr>
      <w:r>
        <w:rPr>
          <w:rFonts w:ascii="Arial" w:cs="Arial" w:eastAsia="Arial" w:hAnsi="Arial"/>
          <w:sz w:val="22"/>
          <w:szCs w:val="22"/>
          <w:color w:val="auto"/>
        </w:rPr>
        <w:t xml:space="preserve">With our ever-changing mix of </w:t>
      </w:r>
      <w:r>
        <w:rPr>
          <w:rFonts w:ascii="Arial" w:cs="Arial" w:eastAsia="Arial" w:hAnsi="Arial"/>
          <w:sz w:val="22"/>
          <w:szCs w:val="22"/>
          <w:b w:val="1"/>
          <w:bCs w:val="1"/>
          <w:color w:val="auto"/>
        </w:rPr>
        <w:t>good, better, and best brands</w:t>
      </w:r>
      <w:r>
        <w:rPr>
          <w:rFonts w:ascii="Arial" w:cs="Arial" w:eastAsia="Arial" w:hAnsi="Arial"/>
          <w:sz w:val="22"/>
          <w:szCs w:val="22"/>
          <w:color w:val="auto"/>
        </w:rPr>
        <w:t xml:space="preserve">, we sell to a very wide customer demographic. We believe our extensive assortment of merchandise resonates with shoppers across many different income and age groups, including younger customers. We are excited about our marketing campaigns in 2026, which reinforce our value leadership, introduce new shoppers to our retail banners around the world, and may encourage cross-shopping of our banners. Our value perception remains very strong, and we believe that our exciting, </w:t>
      </w:r>
      <w:r>
        <w:rPr>
          <w:rFonts w:ascii="Arial" w:cs="Arial" w:eastAsia="Arial" w:hAnsi="Arial"/>
          <w:sz w:val="22"/>
          <w:szCs w:val="22"/>
          <w:b w:val="1"/>
          <w:bCs w:val="1"/>
          <w:color w:val="auto"/>
        </w:rPr>
        <w:t>treasure-hunt shopping experience</w:t>
      </w:r>
      <w:r>
        <w:rPr>
          <w:rFonts w:ascii="Arial" w:cs="Arial" w:eastAsia="Arial" w:hAnsi="Arial"/>
          <w:sz w:val="22"/>
          <w:szCs w:val="22"/>
          <w:color w:val="auto"/>
        </w:rPr>
        <w:t xml:space="preserve"> will continue to bring joy to shoppers around the world.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Growth</w:t>
      </w:r>
    </w:p>
    <w:p>
      <w:pPr>
        <w:spacing w:after="0" w:line="27" w:lineRule="exact"/>
        <w:rPr>
          <w:sz w:val="20"/>
          <w:szCs w:val="20"/>
          <w:color w:val="auto"/>
        </w:rPr>
      </w:pPr>
    </w:p>
    <w:p>
      <w:pPr>
        <w:jc w:val="both"/>
        <w:ind w:right="1" w:firstLine="3"/>
        <w:spacing w:after="0" w:line="266" w:lineRule="auto"/>
        <w:rPr>
          <w:sz w:val="20"/>
          <w:szCs w:val="20"/>
          <w:color w:val="auto"/>
        </w:rPr>
      </w:pPr>
      <w:r>
        <w:rPr>
          <w:rFonts w:ascii="Arial" w:cs="Arial" w:eastAsia="Arial" w:hAnsi="Arial"/>
          <w:sz w:val="22"/>
          <w:szCs w:val="22"/>
          <w:color w:val="auto"/>
        </w:rPr>
        <w:t xml:space="preserve">As the </w:t>
      </w:r>
      <w:r>
        <w:rPr>
          <w:rFonts w:ascii="Arial" w:cs="Arial" w:eastAsia="Arial" w:hAnsi="Arial"/>
          <w:sz w:val="22"/>
          <w:szCs w:val="22"/>
          <w:b w:val="1"/>
          <w:bCs w:val="1"/>
          <w:color w:val="auto"/>
        </w:rPr>
        <w:t>leading off-price retailer of apparel and home fashions in the world</w:t>
      </w:r>
      <w:r>
        <w:rPr>
          <w:rFonts w:ascii="Arial" w:cs="Arial" w:eastAsia="Arial" w:hAnsi="Arial"/>
          <w:sz w:val="22"/>
          <w:szCs w:val="22"/>
          <w:color w:val="auto"/>
        </w:rPr>
        <w:t xml:space="preserve">, we continue to see tremendous opportunity to keep delivering our values to even more consumers globally. We see the potential to grow to a total of </w:t>
      </w:r>
      <w:r>
        <w:rPr>
          <w:rFonts w:ascii="Arial" w:cs="Arial" w:eastAsia="Arial" w:hAnsi="Arial"/>
          <w:sz w:val="22"/>
          <w:szCs w:val="22"/>
          <w:b w:val="1"/>
          <w:bCs w:val="1"/>
          <w:color w:val="auto"/>
        </w:rPr>
        <w:t>7,000 stores</w:t>
      </w:r>
      <w:r>
        <w:rPr>
          <w:rFonts w:ascii="Arial" w:cs="Arial" w:eastAsia="Arial" w:hAnsi="Arial"/>
          <w:sz w:val="22"/>
          <w:szCs w:val="22"/>
          <w:color w:val="auto"/>
        </w:rPr>
        <w:t xml:space="preserve"> with our existing retail banners in our current countries, including Spain, over the long term. Again, we are thrilled to be bringing </w:t>
      </w:r>
      <w:r>
        <w:rPr>
          <w:rFonts w:ascii="Arial" w:cs="Arial" w:eastAsia="Arial" w:hAnsi="Arial"/>
          <w:sz w:val="22"/>
          <w:szCs w:val="22"/>
          <w:b w:val="1"/>
          <w:bCs w:val="1"/>
          <w:color w:val="auto"/>
        </w:rPr>
        <w:t>TK Maxx to Spain this</w:t>
      </w:r>
      <w:r>
        <w:rPr>
          <w:rFonts w:ascii="Arial" w:cs="Arial" w:eastAsia="Arial" w:hAnsi="Arial"/>
          <w:sz w:val="22"/>
          <w:szCs w:val="22"/>
          <w:color w:val="auto"/>
        </w:rPr>
        <w:t xml:space="preserve"> </w:t>
      </w:r>
      <w:r>
        <w:rPr>
          <w:rFonts w:ascii="Arial" w:cs="Arial" w:eastAsia="Arial" w:hAnsi="Arial"/>
          <w:sz w:val="22"/>
          <w:szCs w:val="22"/>
          <w:b w:val="1"/>
          <w:bCs w:val="1"/>
          <w:color w:val="auto"/>
        </w:rPr>
        <w:t>year</w:t>
      </w:r>
      <w:r>
        <w:rPr>
          <w:rFonts w:ascii="Arial" w:cs="Arial" w:eastAsia="Arial" w:hAnsi="Arial"/>
          <w:sz w:val="22"/>
          <w:szCs w:val="22"/>
          <w:color w:val="auto"/>
        </w:rPr>
        <w:t>,</w:t>
      </w:r>
      <w:r>
        <w:rPr>
          <w:rFonts w:ascii="Arial" w:cs="Arial" w:eastAsia="Arial" w:hAnsi="Arial"/>
          <w:sz w:val="22"/>
          <w:szCs w:val="22"/>
          <w:b w:val="1"/>
          <w:bCs w:val="1"/>
          <w:color w:val="auto"/>
        </w:rPr>
        <w:t xml:space="preserve"> our 10</w:t>
      </w:r>
      <w:r>
        <w:rPr>
          <w:rFonts w:ascii="Arial" w:cs="Arial" w:eastAsia="Arial" w:hAnsi="Arial"/>
          <w:sz w:val="12"/>
          <w:szCs w:val="12"/>
          <w:b w:val="1"/>
          <w:bCs w:val="1"/>
          <w:color w:val="auto"/>
        </w:rPr>
        <w:t>th</w:t>
      </w:r>
      <w:r>
        <w:rPr>
          <w:rFonts w:ascii="Arial" w:cs="Arial" w:eastAsia="Arial" w:hAnsi="Arial"/>
          <w:sz w:val="22"/>
          <w:szCs w:val="22"/>
          <w:b w:val="1"/>
          <w:bCs w:val="1"/>
          <w:color w:val="auto"/>
        </w:rPr>
        <w:t xml:space="preserve"> country! </w:t>
      </w:r>
      <w:r>
        <w:rPr>
          <w:rFonts w:ascii="Arial" w:cs="Arial" w:eastAsia="Arial" w:hAnsi="Arial"/>
          <w:sz w:val="22"/>
          <w:szCs w:val="22"/>
          <w:color w:val="auto"/>
        </w:rPr>
        <w:t>We see the long-term potential to add 100 stores in Spain. We continue to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very pleased with our joint venture with Grupo Axo in Mexico and our minority investment in Brands for Less in the Middle East. </w:t>
      </w:r>
      <w:r>
        <w:rPr>
          <w:rFonts w:ascii="Arial" w:cs="Arial" w:eastAsia="Arial" w:hAnsi="Arial"/>
          <w:sz w:val="22"/>
          <w:szCs w:val="22"/>
          <w:i w:val="1"/>
          <w:iCs w:val="1"/>
          <w:color w:val="auto"/>
        </w:rPr>
        <w:t>We are confident in the long-term growth outlook for these businesses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 these newer geographies. </w:t>
      </w:r>
      <w:r>
        <w:rPr>
          <w:rFonts w:ascii="Arial" w:cs="Arial" w:eastAsia="Arial" w:hAnsi="Arial"/>
          <w:sz w:val="22"/>
          <w:szCs w:val="22"/>
          <w:color w:val="auto"/>
        </w:rPr>
        <w:t>With the long-term opportunity to add 1,700-plus stores globally, we</w:t>
      </w:r>
      <w:r>
        <w:rPr>
          <w:rFonts w:ascii="Arial" w:cs="Arial" w:eastAsia="Arial" w:hAnsi="Arial"/>
          <w:sz w:val="22"/>
          <w:szCs w:val="22"/>
          <w:i w:val="1"/>
          <w:iCs w:val="1"/>
          <w:color w:val="auto"/>
        </w:rPr>
        <w:t xml:space="preserve"> </w:t>
      </w:r>
      <w:r>
        <w:rPr>
          <w:rFonts w:ascii="Arial" w:cs="Arial" w:eastAsia="Arial" w:hAnsi="Arial"/>
          <w:sz w:val="22"/>
          <w:szCs w:val="22"/>
          <w:color w:val="auto"/>
        </w:rPr>
        <w:t>are convinced that we have a very long runway ahead for continued growth both in the U.S. and internationally.</w:t>
      </w:r>
    </w:p>
    <w:p>
      <w:pPr>
        <w:sectPr>
          <w:pgSz w:w="12240" w:h="15841" w:orient="portrait"/>
          <w:cols w:equalWidth="0" w:num="1">
            <w:col w:w="9361"/>
          </w:cols>
          <w:pgMar w:left="1440" w:top="1383" w:right="1440"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p>
    <w:p>
      <w:pPr>
        <w:sectPr>
          <w:pgSz w:w="12240" w:h="15841" w:orient="portrait"/>
          <w:cols w:equalWidth="0" w:num="1">
            <w:col w:w="9361"/>
          </w:cols>
          <w:pgMar w:left="1440" w:top="1383" w:right="1440" w:bottom="82"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Financial Position and Shareholder Distributions</w:t>
      </w:r>
    </w:p>
    <w:p>
      <w:pPr>
        <w:spacing w:after="0" w:line="32" w:lineRule="exact"/>
        <w:rPr>
          <w:sz w:val="20"/>
          <w:szCs w:val="20"/>
          <w:color w:val="auto"/>
        </w:rPr>
      </w:pPr>
    </w:p>
    <w:p>
      <w:pPr>
        <w:jc w:val="both"/>
        <w:ind w:right="1"/>
        <w:spacing w:after="0" w:line="266" w:lineRule="auto"/>
        <w:rPr>
          <w:sz w:val="20"/>
          <w:szCs w:val="20"/>
          <w:color w:val="auto"/>
        </w:rPr>
      </w:pPr>
      <w:r>
        <w:rPr>
          <w:rFonts w:ascii="Arial" w:cs="Arial" w:eastAsia="Arial" w:hAnsi="Arial"/>
          <w:sz w:val="22"/>
          <w:szCs w:val="22"/>
          <w:color w:val="auto"/>
        </w:rPr>
        <w:t>In 2025, we generated $6.9 billion in operating cash flow and ended the year with $6.2 billion of cash on our consolidated balance sheet. Our financial and operational strength enable us to capitalize on the opportunities we see to grow our business while simultaneously returning significant cash to our shareholders.</w:t>
      </w:r>
    </w:p>
    <w:p>
      <w:pPr>
        <w:spacing w:after="0" w:line="194" w:lineRule="exact"/>
        <w:rPr>
          <w:sz w:val="20"/>
          <w:szCs w:val="20"/>
          <w:color w:val="auto"/>
        </w:rPr>
      </w:pPr>
    </w:p>
    <w:p>
      <w:pPr>
        <w:jc w:val="both"/>
        <w:ind w:right="1"/>
        <w:spacing w:after="0" w:line="267" w:lineRule="auto"/>
        <w:rPr>
          <w:sz w:val="20"/>
          <w:szCs w:val="20"/>
          <w:color w:val="auto"/>
        </w:rPr>
      </w:pPr>
      <w:r>
        <w:rPr>
          <w:rFonts w:ascii="Arial" w:cs="Arial" w:eastAsia="Arial" w:hAnsi="Arial"/>
          <w:sz w:val="22"/>
          <w:szCs w:val="22"/>
          <w:color w:val="auto"/>
        </w:rPr>
        <w:t xml:space="preserve">In 2025, we returned </w:t>
      </w:r>
      <w:r>
        <w:rPr>
          <w:rFonts w:ascii="Arial" w:cs="Arial" w:eastAsia="Arial" w:hAnsi="Arial"/>
          <w:sz w:val="22"/>
          <w:szCs w:val="22"/>
          <w:b w:val="1"/>
          <w:bCs w:val="1"/>
          <w:color w:val="auto"/>
        </w:rPr>
        <w:t>$4.3 billion to shareholders through our buyback and dividend programs</w:t>
      </w:r>
      <w:r>
        <w:rPr>
          <w:rFonts w:ascii="Arial" w:cs="Arial" w:eastAsia="Arial" w:hAnsi="Arial"/>
          <w:sz w:val="22"/>
          <w:szCs w:val="22"/>
          <w:color w:val="auto"/>
        </w:rPr>
        <w:t>. In March 2026, our Board of Directors approved a 13% increase in our quarterly dividend to 48 cents per share – marking our 29</w:t>
      </w:r>
      <w:r>
        <w:rPr>
          <w:rFonts w:ascii="Arial" w:cs="Arial" w:eastAsia="Arial" w:hAnsi="Arial"/>
          <w:sz w:val="12"/>
          <w:szCs w:val="12"/>
          <w:color w:val="auto"/>
        </w:rPr>
        <w:t>th</w:t>
      </w:r>
      <w:r>
        <w:rPr>
          <w:rFonts w:ascii="Arial" w:cs="Arial" w:eastAsia="Arial" w:hAnsi="Arial"/>
          <w:sz w:val="22"/>
          <w:szCs w:val="22"/>
          <w:color w:val="auto"/>
        </w:rPr>
        <w:t xml:space="preserve"> dividend increase in the last 30 years. Further, we plan to buy back an additional $2.50 to $2.75 billion of TJX stock in 2026. Over the past 29 years, we have bought back over $35 billion in TJX stock.</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Forward</w:t>
      </w:r>
    </w:p>
    <w:p>
      <w:pPr>
        <w:spacing w:after="0" w:line="32" w:lineRule="exact"/>
        <w:rPr>
          <w:sz w:val="20"/>
          <w:szCs w:val="20"/>
          <w:color w:val="auto"/>
        </w:rPr>
      </w:pPr>
    </w:p>
    <w:p>
      <w:pPr>
        <w:jc w:val="both"/>
        <w:ind w:right="1"/>
        <w:spacing w:after="0" w:line="265" w:lineRule="auto"/>
        <w:rPr>
          <w:sz w:val="20"/>
          <w:szCs w:val="20"/>
          <w:color w:val="auto"/>
        </w:rPr>
      </w:pPr>
      <w:r>
        <w:rPr>
          <w:rFonts w:ascii="Arial" w:cs="Arial" w:eastAsia="Arial" w:hAnsi="Arial"/>
          <w:sz w:val="22"/>
          <w:szCs w:val="22"/>
          <w:color w:val="auto"/>
        </w:rPr>
        <w:t>Once again, we are very proud of the outstanding performance and sharp execution of our teams in 2025. We enter 2026 in a position of strength and have many initiatives underway to further drive sales and traffic to our stores and online. We are convinced that in-store shopping is here to stay and we are laser focused on providing an entertaining, treasure-hunt shopping experience with great values to our shoppers every day. We remain committed to investing in store remodels and new store prototypes to enhance the shopping environment for our customers. We are planning to take a TJX approach in deploying artificial intelligence to areas where we believe it can help us operate more efficiently, for example in-store analytics, or opportunities to enhance and augment the work of our talented Associates.</w:t>
      </w:r>
    </w:p>
    <w:p>
      <w:pPr>
        <w:spacing w:after="0" w:line="202" w:lineRule="exact"/>
        <w:rPr>
          <w:sz w:val="20"/>
          <w:szCs w:val="20"/>
          <w:color w:val="auto"/>
        </w:rPr>
      </w:pPr>
    </w:p>
    <w:p>
      <w:pPr>
        <w:jc w:val="both"/>
        <w:ind w:right="1"/>
        <w:spacing w:after="0" w:line="267" w:lineRule="auto"/>
        <w:rPr>
          <w:sz w:val="20"/>
          <w:szCs w:val="20"/>
          <w:color w:val="auto"/>
        </w:rPr>
      </w:pPr>
      <w:r>
        <w:rPr>
          <w:rFonts w:ascii="Arial" w:cs="Arial" w:eastAsia="Arial" w:hAnsi="Arial"/>
          <w:sz w:val="22"/>
          <w:szCs w:val="22"/>
          <w:color w:val="auto"/>
        </w:rPr>
        <w:t xml:space="preserve">As we look ahead, </w:t>
      </w:r>
      <w:r>
        <w:rPr>
          <w:rFonts w:ascii="Arial" w:cs="Arial" w:eastAsia="Arial" w:hAnsi="Arial"/>
          <w:sz w:val="22"/>
          <w:szCs w:val="22"/>
          <w:b w:val="1"/>
          <w:bCs w:val="1"/>
          <w:color w:val="auto"/>
        </w:rPr>
        <w:t>we are as confident as ever in the future of TJX</w:t>
      </w:r>
      <w:r>
        <w:rPr>
          <w:rFonts w:ascii="Arial" w:cs="Arial" w:eastAsia="Arial" w:hAnsi="Arial"/>
          <w:sz w:val="22"/>
          <w:szCs w:val="22"/>
          <w:color w:val="auto"/>
        </w:rPr>
        <w:t>. The strength and resiliency of our flexible, off-price business model has proven itself for five decades. We are convinced that our value proposition will continue to resonate with more consumers around the world. Importantly, the tenure and deep bench of TJX experience and off-price expertise within our teams are unmatched and we are developing the next generation of TJX leaders every day.</w:t>
      </w:r>
    </w:p>
    <w:p>
      <w:pPr>
        <w:spacing w:after="0" w:line="198" w:lineRule="exact"/>
        <w:rPr>
          <w:sz w:val="20"/>
          <w:szCs w:val="20"/>
          <w:color w:val="auto"/>
        </w:rPr>
      </w:pPr>
    </w:p>
    <w:p>
      <w:pPr>
        <w:jc w:val="both"/>
        <w:ind w:right="1"/>
        <w:spacing w:after="0" w:line="266" w:lineRule="auto"/>
        <w:rPr>
          <w:sz w:val="20"/>
          <w:szCs w:val="20"/>
          <w:color w:val="auto"/>
        </w:rPr>
      </w:pPr>
      <w:r>
        <w:rPr>
          <w:rFonts w:ascii="Arial" w:cs="Arial" w:eastAsia="Arial" w:hAnsi="Arial"/>
          <w:sz w:val="22"/>
          <w:szCs w:val="22"/>
          <w:color w:val="auto"/>
        </w:rPr>
        <w:t>The depth of our global talent base and the consistency of our culture set us apart and give us great confidence in our ability to navigate changing retail and economic landscapes. Going forward, we are energized by the opportunities we see to further grow our top- and bottom- lines, expand our global footprint, capture additional market share, and bring excitement and joy to more shoppers around the world.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Responsibility</w:t>
      </w:r>
    </w:p>
    <w:p>
      <w:pPr>
        <w:spacing w:after="0" w:line="32" w:lineRule="exact"/>
        <w:rPr>
          <w:sz w:val="20"/>
          <w:szCs w:val="20"/>
          <w:color w:val="auto"/>
        </w:rPr>
      </w:pPr>
    </w:p>
    <w:p>
      <w:pPr>
        <w:jc w:val="both"/>
        <w:ind w:right="1"/>
        <w:spacing w:after="0" w:line="266" w:lineRule="auto"/>
        <w:rPr>
          <w:sz w:val="20"/>
          <w:szCs w:val="20"/>
          <w:color w:val="auto"/>
        </w:rPr>
      </w:pPr>
      <w:r>
        <w:rPr>
          <w:rFonts w:ascii="Arial" w:cs="Arial" w:eastAsia="Arial" w:hAnsi="Arial"/>
          <w:sz w:val="22"/>
          <w:szCs w:val="22"/>
          <w:color w:val="auto"/>
        </w:rPr>
        <w:t>Anchored by our value mission, TJX has been committed to acting as a responsible corporate citizen since the beginning. Our long-standing corporate responsibility programs focus on supporting our Associates, giving back to the communities where we operate, mitigating our impact on the environment, and operating our business with integrity.</w:t>
      </w:r>
    </w:p>
    <w:p>
      <w:pPr>
        <w:spacing w:after="0" w:line="199" w:lineRule="exact"/>
        <w:rPr>
          <w:sz w:val="20"/>
          <w:szCs w:val="20"/>
          <w:color w:val="auto"/>
        </w:rPr>
      </w:pPr>
    </w:p>
    <w:p>
      <w:pPr>
        <w:jc w:val="both"/>
        <w:ind w:right="1"/>
        <w:spacing w:after="0" w:line="280" w:lineRule="auto"/>
        <w:rPr>
          <w:sz w:val="20"/>
          <w:szCs w:val="20"/>
          <w:color w:val="auto"/>
        </w:rPr>
      </w:pPr>
      <w:r>
        <w:rPr>
          <w:rFonts w:ascii="Arial" w:cs="Arial" w:eastAsia="Arial" w:hAnsi="Arial"/>
          <w:sz w:val="21"/>
          <w:szCs w:val="21"/>
          <w:color w:val="auto"/>
        </w:rPr>
        <w:t xml:space="preserve">Making TJX a great place to work is always a priority, and we are committed to fostering our culture in which the ideas, feedback, and perspectives of our Associates help shape who we are for the better. We have many initiatives in place to support our Associates, including our intentional efforts to </w:t>
      </w:r>
      <w:r>
        <w:rPr>
          <w:rFonts w:ascii="Arial" w:cs="Arial" w:eastAsia="Arial" w:hAnsi="Arial"/>
          <w:sz w:val="21"/>
          <w:szCs w:val="21"/>
          <w:b w:val="1"/>
          <w:bCs w:val="1"/>
          <w:color w:val="auto"/>
        </w:rPr>
        <w:t>develop talent</w:t>
      </w:r>
      <w:r>
        <w:rPr>
          <w:rFonts w:ascii="Arial" w:cs="Arial" w:eastAsia="Arial" w:hAnsi="Arial"/>
          <w:sz w:val="21"/>
          <w:szCs w:val="21"/>
          <w:color w:val="auto"/>
        </w:rPr>
        <w:t xml:space="preserve">, </w:t>
      </w:r>
      <w:r>
        <w:rPr>
          <w:rFonts w:ascii="Arial" w:cs="Arial" w:eastAsia="Arial" w:hAnsi="Arial"/>
          <w:sz w:val="21"/>
          <w:szCs w:val="21"/>
          <w:b w:val="1"/>
          <w:bCs w:val="1"/>
          <w:color w:val="auto"/>
        </w:rPr>
        <w:t>promote inclusion</w:t>
      </w:r>
      <w:r>
        <w:rPr>
          <w:rFonts w:ascii="Arial" w:cs="Arial" w:eastAsia="Arial" w:hAnsi="Arial"/>
          <w:sz w:val="21"/>
          <w:szCs w:val="21"/>
          <w:color w:val="auto"/>
        </w:rPr>
        <w:t xml:space="preserve">, and </w:t>
      </w:r>
      <w:r>
        <w:rPr>
          <w:rFonts w:ascii="Arial" w:cs="Arial" w:eastAsia="Arial" w:hAnsi="Arial"/>
          <w:sz w:val="21"/>
          <w:szCs w:val="21"/>
          <w:b w:val="1"/>
          <w:bCs w:val="1"/>
          <w:color w:val="auto"/>
        </w:rPr>
        <w:t>champion our culture</w:t>
      </w:r>
      <w:r>
        <w:rPr>
          <w:rFonts w:ascii="Arial" w:cs="Arial" w:eastAsia="Arial" w:hAnsi="Arial"/>
          <w:sz w:val="21"/>
          <w:szCs w:val="21"/>
          <w:color w:val="auto"/>
        </w:rPr>
        <w:t>. To support our Associates’ growth and success, we prioritize teaching and mentoring and offer a range of career development opportunities and programs. We believe the work environment we strive to foster has encouraged many Associates to join us not just to find a job, but to build a career. In fact, at the end of 2025, 41% of people in managerial positions around the world had been at TJX for 10 or more years.</w:t>
      </w:r>
      <w:r>
        <w:rPr>
          <w:rFonts w:ascii="Arial" w:cs="Arial" w:eastAsia="Arial" w:hAnsi="Arial"/>
          <w:sz w:val="12"/>
          <w:szCs w:val="12"/>
          <w:color w:val="auto"/>
        </w:rPr>
        <w:t>4</w:t>
      </w:r>
    </w:p>
    <w:p>
      <w:pPr>
        <w:sectPr>
          <w:pgSz w:w="12240" w:h="15841" w:orient="portrait"/>
          <w:cols w:equalWidth="0" w:num="1">
            <w:col w:w="9361"/>
          </w:cols>
          <w:pgMar w:left="1440" w:top="1383" w:right="1440" w:bottom="82" w:gutter="0" w:footer="0" w:header="0"/>
        </w:sectPr>
      </w:pPr>
    </w:p>
    <w:p>
      <w:pPr>
        <w:spacing w:after="0" w:line="309" w:lineRule="exact"/>
        <w:rPr>
          <w:sz w:val="20"/>
          <w:szCs w:val="20"/>
          <w:color w:val="auto"/>
        </w:rPr>
      </w:pPr>
    </w:p>
    <w:p>
      <w:pPr>
        <w:jc w:val="center"/>
        <w:ind w:right="1"/>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p>
    <w:p>
      <w:pPr>
        <w:sectPr>
          <w:pgSz w:w="12240" w:h="15841" w:orient="portrait"/>
          <w:cols w:equalWidth="0" w:num="1">
            <w:col w:w="9361"/>
          </w:cols>
          <w:pgMar w:left="1440" w:top="1383" w:right="1440" w:bottom="82" w:gutter="0" w:footer="0" w:header="0"/>
          <w:type w:val="continuous"/>
        </w:sectPr>
      </w:pPr>
    </w:p>
    <w:bookmarkStart w:id="5" w:name="page6"/>
    <w:bookmarkEnd w:id="5"/>
    <w:p>
      <w:pPr>
        <w:jc w:val="both"/>
        <w:ind w:left="1440" w:right="1440"/>
        <w:spacing w:after="0" w:line="281"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4763"/>
                    </a:xfrm>
                    <a:prstGeom prst="rect">
                      <a:avLst/>
                    </a:prstGeom>
                    <a:noFill/>
                  </pic:spPr>
                </pic:pic>
              </a:graphicData>
            </a:graphic>
          </wp:anchor>
        </w:drawing>
        <w:t xml:space="preserve">With the support of our hardworking Associates, generous customers, and our three regional TJX charitable foundations, we continue to focus on </w:t>
      </w:r>
      <w:r>
        <w:rPr>
          <w:rFonts w:ascii="Arial" w:cs="Arial" w:eastAsia="Arial" w:hAnsi="Arial"/>
          <w:sz w:val="21"/>
          <w:szCs w:val="21"/>
          <w:b w:val="1"/>
          <w:bCs w:val="1"/>
          <w:color w:val="auto"/>
        </w:rPr>
        <w:t>giving back to the communities where we live and</w:t>
      </w:r>
      <w:r>
        <w:rPr>
          <w:rFonts w:ascii="Arial" w:cs="Arial" w:eastAsia="Arial" w:hAnsi="Arial"/>
          <w:sz w:val="21"/>
          <w:szCs w:val="21"/>
          <w:color w:val="auto"/>
        </w:rPr>
        <w:t xml:space="preserve"> </w:t>
      </w:r>
      <w:r>
        <w:rPr>
          <w:rFonts w:ascii="Arial" w:cs="Arial" w:eastAsia="Arial" w:hAnsi="Arial"/>
          <w:sz w:val="21"/>
          <w:szCs w:val="21"/>
          <w:b w:val="1"/>
          <w:bCs w:val="1"/>
          <w:color w:val="auto"/>
        </w:rPr>
        <w:t>work</w:t>
      </w:r>
      <w:r>
        <w:rPr>
          <w:rFonts w:ascii="Arial" w:cs="Arial" w:eastAsia="Arial" w:hAnsi="Arial"/>
          <w:sz w:val="21"/>
          <w:szCs w:val="21"/>
          <w:color w:val="auto"/>
        </w:rPr>
        <w:t>. In 2025, this included support for more than 2,500 nonprofit organizations around the globe,</w:t>
      </w:r>
      <w:r>
        <w:rPr>
          <w:rFonts w:ascii="Arial" w:cs="Arial" w:eastAsia="Arial" w:hAnsi="Arial"/>
          <w:sz w:val="21"/>
          <w:szCs w:val="21"/>
          <w:b w:val="1"/>
          <w:bCs w:val="1"/>
          <w:color w:val="auto"/>
        </w:rPr>
        <w:t xml:space="preserve"> </w:t>
      </w:r>
      <w:r>
        <w:rPr>
          <w:rFonts w:ascii="Arial" w:cs="Arial" w:eastAsia="Arial" w:hAnsi="Arial"/>
          <w:sz w:val="21"/>
          <w:szCs w:val="21"/>
          <w:color w:val="auto"/>
        </w:rPr>
        <w:t>helping families access basic needs, providing education opportunities for young people, and much more. Our Associates have been integral to the success of our programs, volunteering their time, running in-store fundraisers, and participating in our Associate Nominated Grant program.</w:t>
      </w:r>
    </w:p>
    <w:p>
      <w:pPr>
        <w:spacing w:after="0" w:line="179" w:lineRule="exact"/>
        <w:rPr>
          <w:sz w:val="20"/>
          <w:szCs w:val="20"/>
          <w:color w:val="auto"/>
        </w:rPr>
      </w:pPr>
    </w:p>
    <w:p>
      <w:pPr>
        <w:jc w:val="both"/>
        <w:ind w:left="1440" w:right="1440"/>
        <w:spacing w:after="0" w:line="280" w:lineRule="auto"/>
        <w:rPr>
          <w:sz w:val="20"/>
          <w:szCs w:val="20"/>
          <w:color w:val="auto"/>
        </w:rPr>
      </w:pPr>
      <w:r>
        <w:rPr>
          <w:rFonts w:ascii="Arial" w:cs="Arial" w:eastAsia="Arial" w:hAnsi="Arial"/>
          <w:sz w:val="21"/>
          <w:szCs w:val="21"/>
          <w:color w:val="auto"/>
        </w:rPr>
        <w:t xml:space="preserve">Our </w:t>
      </w:r>
      <w:r>
        <w:rPr>
          <w:rFonts w:ascii="Arial" w:cs="Arial" w:eastAsia="Arial" w:hAnsi="Arial"/>
          <w:sz w:val="21"/>
          <w:szCs w:val="21"/>
          <w:b w:val="1"/>
          <w:bCs w:val="1"/>
          <w:color w:val="auto"/>
        </w:rPr>
        <w:t>environmental sustainability initiatives</w:t>
      </w:r>
      <w:r>
        <w:rPr>
          <w:rFonts w:ascii="Arial" w:cs="Arial" w:eastAsia="Arial" w:hAnsi="Arial"/>
          <w:sz w:val="21"/>
          <w:szCs w:val="21"/>
          <w:color w:val="auto"/>
        </w:rPr>
        <w:t xml:space="preserve"> are centered around our global goals that aim to decrease our operational greenhouse gas emissions, source 100% renewable energy, divert operational waste from landfill, and reduce the environmental impact of certain product packaging. In 2025, we achieved our goal to phase out the use of polyvinyl chloride (PVC) in the packaging of soft home products developed in-house by our product design team. The achievement of this goal reflects several years of thoughtful planning and execution by our teams and demonstrates our continued work towards meeting our global environmental goals. In recent years, our teams have made great progress toward these goals, including improving the energy efficiency of our stores and distribution centers, securing attractive renewable energy procurement deals, and implementing enhanced reuse and recycling infrastructure across our operations, among many other efforts.</w:t>
      </w:r>
    </w:p>
    <w:p>
      <w:pPr>
        <w:spacing w:after="0" w:line="183" w:lineRule="exact"/>
        <w:rPr>
          <w:sz w:val="20"/>
          <w:szCs w:val="20"/>
          <w:color w:val="auto"/>
        </w:rPr>
      </w:pPr>
    </w:p>
    <w:p>
      <w:pPr>
        <w:jc w:val="both"/>
        <w:ind w:left="1440" w:right="1440"/>
        <w:spacing w:after="0" w:line="267" w:lineRule="auto"/>
        <w:rPr>
          <w:sz w:val="20"/>
          <w:szCs w:val="20"/>
          <w:color w:val="auto"/>
        </w:rPr>
      </w:pPr>
      <w:r>
        <w:rPr>
          <w:rFonts w:ascii="Arial" w:cs="Arial" w:eastAsia="Arial" w:hAnsi="Arial"/>
          <w:sz w:val="22"/>
          <w:szCs w:val="22"/>
          <w:color w:val="auto"/>
        </w:rPr>
        <w:t xml:space="preserve">Our long-standing </w:t>
      </w:r>
      <w:r>
        <w:rPr>
          <w:rFonts w:ascii="Arial" w:cs="Arial" w:eastAsia="Arial" w:hAnsi="Arial"/>
          <w:sz w:val="22"/>
          <w:szCs w:val="22"/>
          <w:b w:val="1"/>
          <w:bCs w:val="1"/>
          <w:color w:val="auto"/>
        </w:rPr>
        <w:t>Global Social Compliance Program</w:t>
      </w:r>
      <w:r>
        <w:rPr>
          <w:rFonts w:ascii="Arial" w:cs="Arial" w:eastAsia="Arial" w:hAnsi="Arial"/>
          <w:sz w:val="22"/>
          <w:szCs w:val="22"/>
          <w:color w:val="auto"/>
        </w:rPr>
        <w:t xml:space="preserve"> is designed to convey and reinforce our expectations of respect for the human rights of workers in our supply chain. Our Vendor Code of Conduct serves as the foundation of our Program and reinforces our expectations to our vendors. Within the last year, we added requirements to our Code related to grievance mechanisms and risk management systems as well as additional specificity around our expectations regarding health and safety, fire safety, and working hours.</w:t>
      </w:r>
    </w:p>
    <w:p>
      <w:pPr>
        <w:spacing w:after="0" w:line="197" w:lineRule="exact"/>
        <w:rPr>
          <w:sz w:val="20"/>
          <w:szCs w:val="20"/>
          <w:color w:val="auto"/>
        </w:rPr>
      </w:pPr>
    </w:p>
    <w:p>
      <w:pPr>
        <w:jc w:val="both"/>
        <w:ind w:left="1440" w:right="1440"/>
        <w:spacing w:after="0" w:line="266" w:lineRule="auto"/>
        <w:rPr>
          <w:sz w:val="20"/>
          <w:szCs w:val="20"/>
          <w:color w:val="auto"/>
        </w:rPr>
      </w:pPr>
      <w:r>
        <w:rPr>
          <w:rFonts w:ascii="Arial" w:cs="Arial" w:eastAsia="Arial" w:hAnsi="Arial"/>
          <w:sz w:val="22"/>
          <w:szCs w:val="22"/>
          <w:color w:val="auto"/>
        </w:rPr>
        <w:t>We are grateful to our Associates throughout the business who enable our Company to stand by our commitment to corporate responsibility and affirm our core values of honesty, integrity, and treating each other with dignity and respect. Additional information on our ongoing global corporate responsibility efforts, as well as our business operations and financial results can be found on our corporate website, TJX.com.</w:t>
      </w:r>
      <w:r>
        <w:rPr>
          <w:rFonts w:ascii="Arial" w:cs="Arial" w:eastAsia="Arial" w:hAnsi="Arial"/>
          <w:sz w:val="12"/>
          <w:szCs w:val="12"/>
          <w:color w:val="auto"/>
        </w:rPr>
        <w:t>5</w:t>
      </w:r>
    </w:p>
    <w:p>
      <w:pPr>
        <w:spacing w:after="0" w:line="19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Our Gratitude</w:t>
      </w:r>
    </w:p>
    <w:p>
      <w:pPr>
        <w:spacing w:after="0" w:line="32" w:lineRule="exact"/>
        <w:rPr>
          <w:sz w:val="20"/>
          <w:szCs w:val="20"/>
          <w:color w:val="auto"/>
        </w:rPr>
      </w:pPr>
    </w:p>
    <w:p>
      <w:pPr>
        <w:jc w:val="both"/>
        <w:ind w:left="1440" w:right="1440"/>
        <w:spacing w:after="0" w:line="266" w:lineRule="auto"/>
        <w:rPr>
          <w:sz w:val="20"/>
          <w:szCs w:val="20"/>
          <w:color w:val="auto"/>
        </w:rPr>
      </w:pPr>
      <w:r>
        <w:rPr>
          <w:rFonts w:ascii="Arial" w:cs="Arial" w:eastAsia="Arial" w:hAnsi="Arial"/>
          <w:sz w:val="22"/>
          <w:szCs w:val="22"/>
          <w:color w:val="auto"/>
        </w:rPr>
        <w:t>Finally, we would like to once again, thank our Associates from around the world for their hard work and dedication to TJX and our customers all year long. We are also grateful to our customers for their loyal shopping visits, and to our fellow shareholders, vendors, and other business partners for their support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60960</wp:posOffset>
            </wp:positionV>
            <wp:extent cx="1393190" cy="535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3190" cy="5359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7764780</wp:posOffset>
            </wp:positionH>
            <wp:positionV relativeFrom="paragraph">
              <wp:posOffset>60960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841"/>
        </w:trPr>
        <w:tc>
          <w:tcPr>
            <w:tcW w:w="1440" w:type="dxa"/>
            <w:vAlign w:val="bottom"/>
            <w:shd w:val="clear" w:color="auto" w:fill="FEFEFE"/>
          </w:tcPr>
          <w:p>
            <w:pPr>
              <w:spacing w:after="0"/>
              <w:rPr>
                <w:sz w:val="24"/>
                <w:szCs w:val="24"/>
                <w:color w:val="auto"/>
              </w:rPr>
            </w:pPr>
          </w:p>
        </w:tc>
        <w:tc>
          <w:tcPr>
            <w:tcW w:w="2620" w:type="dxa"/>
            <w:vAlign w:val="bottom"/>
            <w:shd w:val="clear" w:color="auto" w:fill="FEFEFE"/>
          </w:tcPr>
          <w:p>
            <w:pPr>
              <w:spacing w:after="0"/>
              <w:rPr>
                <w:sz w:val="24"/>
                <w:szCs w:val="24"/>
                <w:color w:val="auto"/>
              </w:rPr>
            </w:pPr>
          </w:p>
        </w:tc>
        <w:tc>
          <w:tcPr>
            <w:tcW w:w="1300" w:type="dxa"/>
            <w:vAlign w:val="bottom"/>
            <w:shd w:val="clear" w:color="auto" w:fill="FEFEFE"/>
          </w:tcPr>
          <w:p>
            <w:pPr>
              <w:spacing w:after="0"/>
              <w:rPr>
                <w:sz w:val="24"/>
                <w:szCs w:val="24"/>
                <w:color w:val="auto"/>
              </w:rPr>
            </w:pPr>
          </w:p>
        </w:tc>
        <w:tc>
          <w:tcPr>
            <w:tcW w:w="6880" w:type="dxa"/>
            <w:vAlign w:val="bottom"/>
            <w:shd w:val="clear" w:color="auto" w:fill="FEFEFE"/>
          </w:tcPr>
          <w:p>
            <w:pPr>
              <w:spacing w:after="0"/>
              <w:rPr>
                <w:sz w:val="24"/>
                <w:szCs w:val="24"/>
                <w:color w:val="auto"/>
              </w:rPr>
            </w:pPr>
          </w:p>
        </w:tc>
      </w:tr>
      <w:tr>
        <w:trPr>
          <w:trHeight w:val="261"/>
        </w:trPr>
        <w:tc>
          <w:tcPr>
            <w:tcW w:w="144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Arial" w:cs="Arial" w:eastAsia="Arial" w:hAnsi="Arial"/>
                <w:sz w:val="22"/>
                <w:szCs w:val="22"/>
                <w:b w:val="1"/>
                <w:bCs w:val="1"/>
                <w:color w:val="auto"/>
              </w:rPr>
              <w:t>Carol Meyrowitz</w:t>
            </w:r>
          </w:p>
        </w:tc>
        <w:tc>
          <w:tcPr>
            <w:tcW w:w="6880" w:type="dxa"/>
            <w:vAlign w:val="bottom"/>
          </w:tcPr>
          <w:p>
            <w:pPr>
              <w:ind w:left="1120"/>
              <w:spacing w:after="0"/>
              <w:rPr>
                <w:sz w:val="20"/>
                <w:szCs w:val="20"/>
                <w:color w:val="auto"/>
              </w:rPr>
            </w:pPr>
            <w:r>
              <w:rPr>
                <w:rFonts w:ascii="Arial" w:cs="Arial" w:eastAsia="Arial" w:hAnsi="Arial"/>
                <w:sz w:val="22"/>
                <w:szCs w:val="22"/>
                <w:b w:val="1"/>
                <w:bCs w:val="1"/>
                <w:color w:val="auto"/>
              </w:rPr>
              <w:t>Ernie Herrman</w:t>
            </w:r>
          </w:p>
        </w:tc>
      </w:tr>
      <w:tr>
        <w:trPr>
          <w:trHeight w:val="276"/>
        </w:trPr>
        <w:tc>
          <w:tcPr>
            <w:tcW w:w="14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0"/>
                <w:szCs w:val="20"/>
                <w:i w:val="1"/>
                <w:iCs w:val="1"/>
                <w:color w:val="auto"/>
              </w:rPr>
              <w:t>Executive Chairman of the Board</w:t>
            </w:r>
          </w:p>
        </w:tc>
        <w:tc>
          <w:tcPr>
            <w:tcW w:w="6880" w:type="dxa"/>
            <w:vAlign w:val="bottom"/>
          </w:tcPr>
          <w:p>
            <w:pPr>
              <w:ind w:left="1120"/>
              <w:spacing w:after="0"/>
              <w:rPr>
                <w:sz w:val="20"/>
                <w:szCs w:val="20"/>
                <w:color w:val="auto"/>
              </w:rPr>
            </w:pPr>
            <w:r>
              <w:rPr>
                <w:rFonts w:ascii="Arial" w:cs="Arial" w:eastAsia="Arial" w:hAnsi="Arial"/>
                <w:sz w:val="20"/>
                <w:szCs w:val="20"/>
                <w:i w:val="1"/>
                <w:iCs w:val="1"/>
                <w:color w:val="auto"/>
              </w:rPr>
              <w:t>Chief Executive Officer and President</w:t>
            </w:r>
          </w:p>
        </w:tc>
      </w:tr>
      <w:tr>
        <w:trPr>
          <w:trHeight w:val="302"/>
        </w:trPr>
        <w:tc>
          <w:tcPr>
            <w:tcW w:w="144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105410</wp:posOffset>
            </wp:positionV>
            <wp:extent cx="5964555" cy="923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4555" cy="92392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-1029335</wp:posOffset>
            </wp:positionV>
            <wp:extent cx="1342390" cy="418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2390" cy="418465"/>
                    </a:xfrm>
                    <a:prstGeom prst="rect">
                      <a:avLst/>
                    </a:prstGeom>
                    <a:noFill/>
                  </pic:spPr>
                </pic:pic>
              </a:graphicData>
            </a:graphic>
          </wp:anchor>
        </w:drawing>
      </w:r>
    </w:p>
    <w:p>
      <w:pPr>
        <w:sectPr>
          <w:pgSz w:w="12240" w:h="15841" w:orient="portrait"/>
          <w:cols w:equalWidth="0" w:num="1">
            <w:col w:w="12240"/>
          </w:cols>
          <w:pgMar w:left="0" w:top="1388" w:right="1"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4763" cy="4763"/>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7769225</wp:posOffset>
            </wp:positionH>
            <wp:positionV relativeFrom="paragraph">
              <wp:posOffset>406400</wp:posOffset>
            </wp:positionV>
            <wp:extent cx="4763"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1">
            <w:col w:w="12240"/>
          </w:cols>
          <w:pgMar w:left="0" w:top="1388" w:right="1" w:bottom="82"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50"/>
          <w:szCs w:val="50"/>
          <w:b w:val="1"/>
          <w:bCs w:val="1"/>
          <w:color w:val="auto"/>
        </w:rPr>
        <w:t>FORM 10-K</w:t>
      </w:r>
    </w:p>
    <w:p>
      <w:pPr>
        <w:spacing w:after="0" w:line="200" w:lineRule="exact"/>
        <w:rPr>
          <w:sz w:val="20"/>
          <w:szCs w:val="20"/>
          <w:color w:val="auto"/>
        </w:rPr>
      </w:pP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60"/>
        </w:trPr>
        <w:tc>
          <w:tcPr>
            <w:tcW w:w="6940" w:type="dxa"/>
            <w:vAlign w:val="bottom"/>
          </w:tcPr>
          <w:p>
            <w:pPr>
              <w:ind w:left="120"/>
              <w:spacing w:after="0"/>
              <w:rPr>
                <w:sz w:val="20"/>
                <w:szCs w:val="20"/>
                <w:color w:val="auto"/>
              </w:rPr>
            </w:pPr>
            <w:r>
              <w:rPr>
                <w:rFonts w:ascii="Arial" w:cs="Arial" w:eastAsia="Arial" w:hAnsi="Arial"/>
                <w:sz w:val="22"/>
                <w:szCs w:val="22"/>
                <w:b w:val="1"/>
                <w:bCs w:val="1"/>
                <w:color w:val="auto"/>
              </w:rPr>
              <w:t>CONTENTS</w:t>
            </w:r>
          </w:p>
        </w:tc>
        <w:tc>
          <w:tcPr>
            <w:tcW w:w="1780" w:type="dxa"/>
            <w:vAlign w:val="bottom"/>
          </w:tcPr>
          <w:p>
            <w:pPr>
              <w:jc w:val="right"/>
              <w:ind w:right="30"/>
              <w:spacing w:after="0"/>
              <w:rPr>
                <w:sz w:val="20"/>
                <w:szCs w:val="20"/>
                <w:color w:val="auto"/>
              </w:rPr>
            </w:pPr>
            <w:r>
              <w:rPr>
                <w:rFonts w:ascii="Arial" w:cs="Arial" w:eastAsia="Arial" w:hAnsi="Arial"/>
                <w:sz w:val="22"/>
                <w:szCs w:val="22"/>
                <w:b w:val="1"/>
                <w:bCs w:val="1"/>
                <w:color w:val="auto"/>
              </w:rPr>
              <w:t>PAGE</w:t>
            </w:r>
          </w:p>
        </w:tc>
      </w:tr>
      <w:tr>
        <w:trPr>
          <w:trHeight w:val="86"/>
        </w:trPr>
        <w:tc>
          <w:tcPr>
            <w:tcW w:w="694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r>
      <w:tr>
        <w:trPr>
          <w:trHeight w:val="416"/>
        </w:trPr>
        <w:tc>
          <w:tcPr>
            <w:tcW w:w="6940" w:type="dxa"/>
            <w:vAlign w:val="bottom"/>
          </w:tcPr>
          <w:p>
            <w:pPr>
              <w:ind w:left="120"/>
              <w:spacing w:after="0"/>
              <w:rPr>
                <w:sz w:val="20"/>
                <w:szCs w:val="20"/>
                <w:color w:val="auto"/>
              </w:rPr>
            </w:pPr>
            <w:r>
              <w:rPr>
                <w:rFonts w:ascii="Arial" w:cs="Arial" w:eastAsia="Arial" w:hAnsi="Arial"/>
                <w:sz w:val="22"/>
                <w:szCs w:val="22"/>
                <w:color w:val="auto"/>
              </w:rPr>
              <w:t>Business Overview</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5</w:t>
            </w:r>
          </w:p>
        </w:tc>
      </w:tr>
      <w:tr>
        <w:trPr>
          <w:trHeight w:val="400"/>
        </w:trPr>
        <w:tc>
          <w:tcPr>
            <w:tcW w:w="6940" w:type="dxa"/>
            <w:vAlign w:val="bottom"/>
          </w:tcPr>
          <w:p>
            <w:pPr>
              <w:ind w:left="120"/>
              <w:spacing w:after="0"/>
              <w:rPr>
                <w:sz w:val="20"/>
                <w:szCs w:val="20"/>
                <w:color w:val="auto"/>
              </w:rPr>
            </w:pPr>
            <w:r>
              <w:rPr>
                <w:rFonts w:ascii="Arial" w:cs="Arial" w:eastAsia="Arial" w:hAnsi="Arial"/>
                <w:sz w:val="22"/>
                <w:szCs w:val="22"/>
                <w:color w:val="auto"/>
              </w:rPr>
              <w:t>Store Locations</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25</w:t>
            </w:r>
          </w:p>
        </w:tc>
      </w:tr>
      <w:tr>
        <w:trPr>
          <w:trHeight w:val="400"/>
        </w:trPr>
        <w:tc>
          <w:tcPr>
            <w:tcW w:w="6940" w:type="dxa"/>
            <w:vAlign w:val="bottom"/>
          </w:tcPr>
          <w:p>
            <w:pPr>
              <w:ind w:left="120"/>
              <w:spacing w:after="0"/>
              <w:rPr>
                <w:sz w:val="20"/>
                <w:szCs w:val="20"/>
                <w:color w:val="auto"/>
              </w:rPr>
            </w:pPr>
            <w:r>
              <w:rPr>
                <w:rFonts w:ascii="Arial" w:cs="Arial" w:eastAsia="Arial" w:hAnsi="Arial"/>
                <w:sz w:val="22"/>
                <w:szCs w:val="22"/>
                <w:color w:val="auto"/>
              </w:rPr>
              <w:t>Management’s Discussion and Analysis</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28</w:t>
            </w:r>
          </w:p>
        </w:tc>
      </w:tr>
      <w:tr>
        <w:trPr>
          <w:trHeight w:val="400"/>
        </w:trPr>
        <w:tc>
          <w:tcPr>
            <w:tcW w:w="6940" w:type="dxa"/>
            <w:vAlign w:val="bottom"/>
          </w:tcPr>
          <w:p>
            <w:pPr>
              <w:ind w:left="120"/>
              <w:spacing w:after="0"/>
              <w:rPr>
                <w:sz w:val="20"/>
                <w:szCs w:val="20"/>
                <w:color w:val="auto"/>
              </w:rPr>
            </w:pPr>
            <w:r>
              <w:rPr>
                <w:rFonts w:ascii="Arial" w:cs="Arial" w:eastAsia="Arial" w:hAnsi="Arial"/>
                <w:sz w:val="22"/>
                <w:szCs w:val="22"/>
                <w:color w:val="auto"/>
              </w:rPr>
              <w:t>Report of Independent Registered Public Accounting Firm</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F-2</w:t>
            </w:r>
          </w:p>
        </w:tc>
      </w:tr>
      <w:tr>
        <w:trPr>
          <w:trHeight w:val="400"/>
        </w:trPr>
        <w:tc>
          <w:tcPr>
            <w:tcW w:w="6940" w:type="dxa"/>
            <w:vAlign w:val="bottom"/>
          </w:tcPr>
          <w:p>
            <w:pPr>
              <w:ind w:left="120"/>
              <w:spacing w:after="0"/>
              <w:rPr>
                <w:sz w:val="20"/>
                <w:szCs w:val="20"/>
                <w:color w:val="auto"/>
              </w:rPr>
            </w:pPr>
            <w:r>
              <w:rPr>
                <w:rFonts w:ascii="Arial" w:cs="Arial" w:eastAsia="Arial" w:hAnsi="Arial"/>
                <w:sz w:val="22"/>
                <w:szCs w:val="22"/>
                <w:color w:val="auto"/>
              </w:rPr>
              <w:t>Consolidated Financial Statements</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F-4</w:t>
            </w:r>
          </w:p>
        </w:tc>
      </w:tr>
      <w:tr>
        <w:trPr>
          <w:trHeight w:val="400"/>
        </w:trPr>
        <w:tc>
          <w:tcPr>
            <w:tcW w:w="6940" w:type="dxa"/>
            <w:vAlign w:val="bottom"/>
          </w:tcPr>
          <w:p>
            <w:pPr>
              <w:ind w:left="120"/>
              <w:spacing w:after="0"/>
              <w:rPr>
                <w:sz w:val="20"/>
                <w:szCs w:val="20"/>
                <w:color w:val="auto"/>
              </w:rPr>
            </w:pPr>
            <w:r>
              <w:rPr>
                <w:rFonts w:ascii="Arial" w:cs="Arial" w:eastAsia="Arial" w:hAnsi="Arial"/>
                <w:sz w:val="22"/>
                <w:szCs w:val="22"/>
                <w:color w:val="auto"/>
              </w:rPr>
              <w:t>Notes to Consolidated Financial Statements:</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F-9</w:t>
            </w:r>
          </w:p>
        </w:tc>
      </w:tr>
      <w:tr>
        <w:trPr>
          <w:trHeight w:val="400"/>
        </w:trPr>
        <w:tc>
          <w:tcPr>
            <w:tcW w:w="6940" w:type="dxa"/>
            <w:vAlign w:val="bottom"/>
          </w:tcPr>
          <w:p>
            <w:pPr>
              <w:ind w:left="480"/>
              <w:spacing w:after="0"/>
              <w:rPr>
                <w:sz w:val="20"/>
                <w:szCs w:val="20"/>
                <w:color w:val="auto"/>
              </w:rPr>
            </w:pPr>
            <w:r>
              <w:rPr>
                <w:rFonts w:ascii="Arial" w:cs="Arial" w:eastAsia="Arial" w:hAnsi="Arial"/>
                <w:sz w:val="22"/>
                <w:szCs w:val="22"/>
                <w:color w:val="auto"/>
              </w:rPr>
              <w:t>Segment Information</w:t>
            </w:r>
          </w:p>
        </w:tc>
        <w:tc>
          <w:tcPr>
            <w:tcW w:w="1780" w:type="dxa"/>
            <w:vAlign w:val="bottom"/>
          </w:tcPr>
          <w:p>
            <w:pPr>
              <w:jc w:val="right"/>
              <w:ind w:right="10"/>
              <w:spacing w:after="0"/>
              <w:rPr>
                <w:sz w:val="20"/>
                <w:szCs w:val="20"/>
                <w:color w:val="auto"/>
              </w:rPr>
            </w:pPr>
            <w:r>
              <w:rPr>
                <w:rFonts w:ascii="Arial" w:cs="Arial" w:eastAsia="Arial" w:hAnsi="Arial"/>
                <w:sz w:val="22"/>
                <w:szCs w:val="22"/>
                <w:color w:val="auto"/>
              </w:rPr>
              <w:t>F-22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4577715</wp:posOffset>
            </wp:positionV>
            <wp:extent cx="4763"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4577715</wp:posOffset>
            </wp:positionV>
            <wp:extent cx="4763" cy="4763"/>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1">
            <w:col w:w="9361"/>
          </w:cols>
          <w:pgMar w:left="1440" w:top="1440" w:right="1440" w:bottom="1440" w:gutter="0" w:footer="0" w:header="0"/>
        </w:sectPr>
      </w:pPr>
    </w:p>
    <w:bookmarkStart w:id="7" w:name="page8"/>
    <w:bookmarkEnd w:id="7"/>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48"/>
          <w:szCs w:val="48"/>
          <w:b w:val="1"/>
          <w:bCs w:val="1"/>
          <w:color w:val="auto"/>
        </w:rPr>
        <w:t>TJX STOCK PERFORMANCE</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Five-Year Cumulative Performance of TJX Stock Compared with the</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S&amp;P 500 Index and the Dow Jones U.S. Apparel Retailers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975995</wp:posOffset>
            </wp:positionV>
            <wp:extent cx="5507355" cy="3801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7355" cy="380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460"/>
        <w:spacing w:after="0"/>
        <w:rPr>
          <w:sz w:val="20"/>
          <w:szCs w:val="20"/>
          <w:color w:val="auto"/>
        </w:rPr>
      </w:pPr>
      <w:r>
        <w:rPr>
          <w:rFonts w:ascii="Arial" w:cs="Arial" w:eastAsia="Arial" w:hAnsi="Arial"/>
          <w:sz w:val="22"/>
          <w:szCs w:val="22"/>
          <w:color w:val="auto"/>
        </w:rPr>
        <w:t>TJX</w:t>
      </w:r>
    </w:p>
    <w:p>
      <w:pPr>
        <w:spacing w:after="0" w:line="327" w:lineRule="exact"/>
        <w:rPr>
          <w:sz w:val="20"/>
          <w:szCs w:val="20"/>
          <w:color w:val="auto"/>
        </w:rPr>
      </w:pPr>
    </w:p>
    <w:p>
      <w:pPr>
        <w:ind w:left="9460"/>
        <w:spacing w:after="0"/>
        <w:rPr>
          <w:sz w:val="20"/>
          <w:szCs w:val="20"/>
          <w:color w:val="auto"/>
        </w:rPr>
      </w:pPr>
      <w:r>
        <w:rPr>
          <w:rFonts w:ascii="Arial" w:cs="Arial" w:eastAsia="Arial" w:hAnsi="Arial"/>
          <w:sz w:val="22"/>
          <w:szCs w:val="22"/>
          <w:color w:val="auto"/>
        </w:rPr>
        <w:t>S&amp;P 500</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DJUSRA</w:t>
      </w:r>
    </w:p>
    <w:tbl>
      <w:tblPr>
        <w:tblLayout w:type="fixed"/>
        <w:tblInd w:w="27" w:type="dxa"/>
        <w:tblCellMar>
          <w:top w:w="0" w:type="dxa"/>
          <w:left w:w="0" w:type="dxa"/>
          <w:bottom w:w="0" w:type="dxa"/>
          <w:right w:w="0" w:type="dxa"/>
        </w:tblCellMar>
      </w:tblPr>
      <w:tr>
        <w:trPr>
          <w:trHeight w:val="980"/>
        </w:trPr>
        <w:tc>
          <w:tcPr>
            <w:tcW w:w="230" w:type="dxa"/>
            <w:vAlign w:val="bottom"/>
            <w:textDirection w:val="btLr"/>
          </w:tcPr>
          <w:p>
            <w:pPr>
              <w:spacing w:after="0"/>
              <w:rPr>
                <w:sz w:val="20"/>
                <w:szCs w:val="20"/>
                <w:color w:val="auto"/>
              </w:rPr>
            </w:pPr>
            <w:r>
              <w:rPr>
                <w:rFonts w:ascii="Arial" w:cs="Arial" w:eastAsia="Arial" w:hAnsi="Arial"/>
                <w:sz w:val="20"/>
                <w:szCs w:val="20"/>
                <w:color w:val="auto"/>
              </w:rPr>
              <w:t>DOLLARS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FISCAL YEARS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020" w:right="1520"/>
        <w:spacing w:after="0" w:line="341" w:lineRule="auto"/>
        <w:rPr>
          <w:sz w:val="20"/>
          <w:szCs w:val="20"/>
          <w:color w:val="auto"/>
        </w:rPr>
      </w:pPr>
      <w:r>
        <w:rPr>
          <w:rFonts w:ascii="Arial" w:cs="Arial" w:eastAsia="Arial" w:hAnsi="Arial"/>
          <w:sz w:val="22"/>
          <w:szCs w:val="22"/>
          <w:color w:val="auto"/>
        </w:rPr>
        <w:t>The line graph above compares the cumulative performance of TJX’s common stock with the S&amp;P 500 Index and the Dow Jones U.S. Apparel Retailers Index (DJUSRA) as of the date nearest the end of TJX’s fiscal year for which index data is readily available for each year in the five-year period ended January 31, 2026. The graph assumes that $100 was invested on January 29, 2021, in each of TJX’s common stock, the S&amp;P 500 Index, and the DJUSRA,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1115695</wp:posOffset>
            </wp:positionV>
            <wp:extent cx="4763"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7197725</wp:posOffset>
            </wp:positionH>
            <wp:positionV relativeFrom="paragraph">
              <wp:posOffset>1115695</wp:posOffset>
            </wp:positionV>
            <wp:extent cx="4763" cy="476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1">
            <w:col w:w="10340"/>
          </w:cols>
          <w:pgMar w:left="900" w:top="1440" w:right="1001" w:bottom="1440" w:gutter="0" w:footer="0" w:header="0"/>
        </w:sectPr>
      </w:pPr>
    </w:p>
    <w:bookmarkStart w:id="8" w:name="page9"/>
    <w:bookmarkEnd w:id="8"/>
    <w:tbl>
      <w:tblPr>
        <w:tblLayout w:type="fixed"/>
        <w:tblInd w:w="580" w:type="dxa"/>
        <w:tblCellMar>
          <w:top w:w="0" w:type="dxa"/>
          <w:left w:w="0" w:type="dxa"/>
          <w:bottom w:w="0" w:type="dxa"/>
          <w:right w:w="0" w:type="dxa"/>
        </w:tblCellMar>
      </w:tblPr>
      <w:tr>
        <w:trPr>
          <w:trHeight w:val="384"/>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center"/>
              <w:ind w:right="145"/>
              <w:spacing w:after="0"/>
              <w:rPr>
                <w:sz w:val="20"/>
                <w:szCs w:val="20"/>
                <w:color w:val="auto"/>
              </w:rPr>
            </w:pPr>
            <w:r>
              <w:rPr>
                <w:rFonts w:ascii="Arial" w:cs="Arial" w:eastAsia="Arial" w:hAnsi="Arial"/>
                <w:sz w:val="32"/>
                <w:szCs w:val="32"/>
                <w:color w:val="auto"/>
              </w:rPr>
              <w:t>NI</w:t>
            </w:r>
          </w:p>
        </w:tc>
        <w:tc>
          <w:tcPr>
            <w:tcW w:w="1060" w:type="dxa"/>
            <w:vAlign w:val="bottom"/>
            <w:gridSpan w:val="2"/>
          </w:tcPr>
          <w:p>
            <w:pPr>
              <w:ind w:left="20"/>
              <w:spacing w:after="0"/>
              <w:rPr>
                <w:sz w:val="20"/>
                <w:szCs w:val="20"/>
                <w:color w:val="auto"/>
              </w:rPr>
            </w:pPr>
            <w:r>
              <w:rPr>
                <w:rFonts w:ascii="Arial" w:cs="Arial" w:eastAsia="Arial" w:hAnsi="Arial"/>
                <w:sz w:val="32"/>
                <w:szCs w:val="32"/>
                <w:color w:val="auto"/>
              </w:rPr>
              <w:t>S</w:t>
            </w:r>
          </w:p>
        </w:tc>
        <w:tc>
          <w:tcPr>
            <w:tcW w:w="740" w:type="dxa"/>
            <w:vAlign w:val="bottom"/>
          </w:tcPr>
          <w:p>
            <w:pPr>
              <w:ind w:left="20"/>
              <w:spacing w:after="0"/>
              <w:rPr>
                <w:sz w:val="20"/>
                <w:szCs w:val="20"/>
                <w:color w:val="auto"/>
              </w:rPr>
            </w:pPr>
            <w:r>
              <w:rPr>
                <w:rFonts w:ascii="Arial" w:cs="Arial" w:eastAsia="Arial" w:hAnsi="Arial"/>
                <w:sz w:val="32"/>
                <w:szCs w:val="32"/>
                <w:color w:val="auto"/>
              </w:rPr>
              <w:t>S</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32"/>
                <w:szCs w:val="32"/>
                <w:color w:val="auto"/>
                <w:w w:val="74"/>
              </w:rPr>
              <w:t>S</w:t>
            </w:r>
          </w:p>
        </w:tc>
        <w:tc>
          <w:tcPr>
            <w:tcW w:w="520" w:type="dxa"/>
            <w:vAlign w:val="bottom"/>
          </w:tcPr>
          <w:p>
            <w:pPr>
              <w:jc w:val="center"/>
              <w:spacing w:after="0"/>
              <w:rPr>
                <w:sz w:val="20"/>
                <w:szCs w:val="20"/>
                <w:color w:val="auto"/>
              </w:rPr>
            </w:pPr>
            <w:r>
              <w:rPr>
                <w:rFonts w:ascii="Arial" w:cs="Arial" w:eastAsia="Arial" w:hAnsi="Arial"/>
                <w:sz w:val="32"/>
                <w:szCs w:val="32"/>
                <w:color w:val="auto"/>
              </w:rPr>
              <w:t>C</w:t>
            </w:r>
          </w:p>
        </w:tc>
        <w:tc>
          <w:tcPr>
            <w:tcW w:w="540" w:type="dxa"/>
            <w:vAlign w:val="bottom"/>
          </w:tcPr>
          <w:p>
            <w:pPr>
              <w:ind w:left="380"/>
              <w:spacing w:after="0"/>
              <w:rPr>
                <w:sz w:val="20"/>
                <w:szCs w:val="20"/>
                <w:color w:val="auto"/>
              </w:rPr>
            </w:pPr>
            <w:r>
              <w:rPr>
                <w:rFonts w:ascii="Arial" w:cs="Arial" w:eastAsia="Arial" w:hAnsi="Arial"/>
                <w:sz w:val="32"/>
                <w:szCs w:val="32"/>
                <w:color w:val="auto"/>
              </w:rPr>
              <w:t>I</w:t>
            </w:r>
          </w:p>
        </w:tc>
        <w:tc>
          <w:tcPr>
            <w:tcW w:w="380" w:type="dxa"/>
            <w:vAlign w:val="bottom"/>
          </w:tcPr>
          <w:p>
            <w:pPr>
              <w:jc w:val="right"/>
              <w:spacing w:after="0"/>
              <w:rPr>
                <w:sz w:val="20"/>
                <w:szCs w:val="20"/>
                <w:color w:val="auto"/>
              </w:rPr>
            </w:pPr>
            <w:r>
              <w:rPr>
                <w:rFonts w:ascii="Arial" w:cs="Arial" w:eastAsia="Arial" w:hAnsi="Arial"/>
                <w:sz w:val="32"/>
                <w:szCs w:val="32"/>
                <w:color w:val="auto"/>
              </w:rPr>
              <w:t>I</w:t>
            </w:r>
          </w:p>
        </w:tc>
        <w:tc>
          <w:tcPr>
            <w:tcW w:w="380" w:type="dxa"/>
            <w:vAlign w:val="bottom"/>
          </w:tcPr>
          <w:p>
            <w:pPr>
              <w:ind w:left="140"/>
              <w:spacing w:after="0"/>
              <w:rPr>
                <w:sz w:val="20"/>
                <w:szCs w:val="20"/>
                <w:color w:val="auto"/>
              </w:rPr>
            </w:pPr>
            <w:r>
              <w:rPr>
                <w:rFonts w:ascii="Arial" w:cs="Arial" w:eastAsia="Arial" w:hAnsi="Arial"/>
                <w:sz w:val="32"/>
                <w:szCs w:val="32"/>
                <w:color w:val="auto"/>
              </w:rPr>
              <w:t>S</w:t>
            </w:r>
          </w:p>
        </w:tc>
        <w:tc>
          <w:tcPr>
            <w:tcW w:w="480" w:type="dxa"/>
            <w:vAlign w:val="bottom"/>
          </w:tcPr>
          <w:p>
            <w:pPr>
              <w:ind w:left="240"/>
              <w:spacing w:after="0"/>
              <w:rPr>
                <w:sz w:val="20"/>
                <w:szCs w:val="20"/>
                <w:color w:val="auto"/>
              </w:rPr>
            </w:pPr>
            <w:r>
              <w:rPr>
                <w:rFonts w:ascii="Arial" w:cs="Arial" w:eastAsia="Arial" w:hAnsi="Arial"/>
                <w:sz w:val="32"/>
                <w:szCs w:val="32"/>
                <w:color w:val="auto"/>
                <w:w w:val="95"/>
              </w:rPr>
              <w:t>N</w:t>
            </w:r>
          </w:p>
        </w:tc>
        <w:tc>
          <w:tcPr>
            <w:tcW w:w="980" w:type="dxa"/>
            <w:vAlign w:val="bottom"/>
          </w:tcPr>
          <w:p>
            <w:pPr>
              <w:jc w:val="right"/>
              <w:spacing w:after="0"/>
              <w:rPr>
                <w:sz w:val="20"/>
                <w:szCs w:val="20"/>
                <w:color w:val="auto"/>
              </w:rPr>
            </w:pPr>
            <w:r>
              <w:rPr>
                <w:rFonts w:ascii="Arial" w:cs="Arial" w:eastAsia="Arial" w:hAnsi="Arial"/>
                <w:sz w:val="32"/>
                <w:szCs w:val="32"/>
                <w:color w:val="auto"/>
              </w:rPr>
              <w:t>C</w:t>
            </w:r>
          </w:p>
        </w:tc>
        <w:tc>
          <w:tcPr>
            <w:tcW w:w="160" w:type="dxa"/>
            <w:vAlign w:val="bottom"/>
          </w:tcPr>
          <w:p>
            <w:pPr>
              <w:spacing w:after="0"/>
              <w:rPr>
                <w:sz w:val="24"/>
                <w:szCs w:val="24"/>
                <w:color w:val="auto"/>
              </w:rPr>
            </w:pPr>
          </w:p>
        </w:tc>
        <w:tc>
          <w:tcPr>
            <w:tcW w:w="900" w:type="dxa"/>
            <w:vAlign w:val="bottom"/>
          </w:tcPr>
          <w:p>
            <w:pPr>
              <w:jc w:val="right"/>
              <w:ind w:right="198"/>
              <w:spacing w:after="0"/>
              <w:rPr>
                <w:sz w:val="20"/>
                <w:szCs w:val="20"/>
                <w:color w:val="auto"/>
              </w:rPr>
            </w:pPr>
            <w:r>
              <w:rPr>
                <w:rFonts w:ascii="Arial" w:cs="Arial" w:eastAsia="Arial" w:hAnsi="Arial"/>
                <w:sz w:val="32"/>
                <w:szCs w:val="32"/>
                <w:color w:val="auto"/>
              </w:rPr>
              <w:t>N</w:t>
            </w:r>
          </w:p>
        </w:tc>
        <w:tc>
          <w:tcPr>
            <w:tcW w:w="740" w:type="dxa"/>
            <w:vAlign w:val="bottom"/>
          </w:tcPr>
          <w:p>
            <w:pPr>
              <w:ind w:left="200"/>
              <w:spacing w:after="0"/>
              <w:rPr>
                <w:sz w:val="20"/>
                <w:szCs w:val="20"/>
                <w:color w:val="auto"/>
              </w:rPr>
            </w:pPr>
            <w:r>
              <w:rPr>
                <w:rFonts w:ascii="Arial" w:cs="Arial" w:eastAsia="Arial" w:hAnsi="Arial"/>
                <w:sz w:val="32"/>
                <w:szCs w:val="32"/>
                <w:color w:val="auto"/>
              </w:rPr>
              <w:t>CO</w:t>
            </w:r>
          </w:p>
        </w:tc>
        <w:tc>
          <w:tcPr>
            <w:tcW w:w="2360" w:type="dxa"/>
            <w:vAlign w:val="bottom"/>
          </w:tcPr>
          <w:p>
            <w:pPr>
              <w:ind w:left="540"/>
              <w:spacing w:after="0"/>
              <w:rPr>
                <w:sz w:val="20"/>
                <w:szCs w:val="20"/>
                <w:color w:val="auto"/>
              </w:rPr>
            </w:pPr>
            <w:r>
              <w:rPr>
                <w:rFonts w:ascii="Arial" w:cs="Arial" w:eastAsia="Arial" w:hAnsi="Arial"/>
                <w:sz w:val="32"/>
                <w:szCs w:val="32"/>
                <w:color w:val="auto"/>
              </w:rPr>
              <w:t>ISSION</w:t>
            </w: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ind w:left="20"/>
              <w:spacing w:after="0" w:line="247" w:lineRule="exact"/>
              <w:rPr>
                <w:sz w:val="20"/>
                <w:szCs w:val="20"/>
                <w:color w:val="auto"/>
              </w:rPr>
            </w:pPr>
            <w:r>
              <w:rPr>
                <w:rFonts w:ascii="Arial" w:cs="Arial" w:eastAsia="Arial" w:hAnsi="Arial"/>
                <w:sz w:val="24"/>
                <w:szCs w:val="24"/>
                <w:color w:val="auto"/>
                <w:w w:val="99"/>
              </w:rPr>
              <w:t>ashington,</w:t>
            </w:r>
          </w:p>
        </w:tc>
        <w:tc>
          <w:tcPr>
            <w:tcW w:w="1640" w:type="dxa"/>
            <w:vAlign w:val="bottom"/>
            <w:gridSpan w:val="2"/>
          </w:tcPr>
          <w:p>
            <w:pPr>
              <w:ind w:left="180"/>
              <w:spacing w:after="0" w:line="247" w:lineRule="exact"/>
              <w:rPr>
                <w:sz w:val="20"/>
                <w:szCs w:val="20"/>
                <w:color w:val="auto"/>
              </w:rPr>
            </w:pPr>
            <w:r>
              <w:rPr>
                <w:rFonts w:ascii="Arial" w:cs="Arial" w:eastAsia="Arial" w:hAnsi="Arial"/>
                <w:sz w:val="24"/>
                <w:szCs w:val="24"/>
                <w:color w:val="auto"/>
              </w:rPr>
              <w:t>C 20549</w:t>
            </w: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jc w:val="right"/>
              <w:ind w:right="345"/>
              <w:spacing w:after="0"/>
              <w:rPr>
                <w:sz w:val="20"/>
                <w:szCs w:val="20"/>
                <w:color w:val="auto"/>
              </w:rPr>
            </w:pPr>
            <w:r>
              <w:rPr>
                <w:rFonts w:ascii="Arial" w:cs="Arial" w:eastAsia="Arial" w:hAnsi="Arial"/>
                <w:sz w:val="36"/>
                <w:szCs w:val="36"/>
                <w:color w:val="auto"/>
              </w:rPr>
              <w:t>FO</w:t>
            </w:r>
          </w:p>
        </w:tc>
        <w:tc>
          <w:tcPr>
            <w:tcW w:w="160" w:type="dxa"/>
            <w:vAlign w:val="bottom"/>
          </w:tcPr>
          <w:p>
            <w:pPr>
              <w:spacing w:after="0"/>
              <w:rPr>
                <w:sz w:val="24"/>
                <w:szCs w:val="24"/>
                <w:color w:val="auto"/>
              </w:rPr>
            </w:pPr>
          </w:p>
        </w:tc>
        <w:tc>
          <w:tcPr>
            <w:tcW w:w="900" w:type="dxa"/>
            <w:vAlign w:val="bottom"/>
          </w:tcPr>
          <w:p>
            <w:pPr>
              <w:jc w:val="right"/>
              <w:ind w:right="358"/>
              <w:spacing w:after="0"/>
              <w:rPr>
                <w:sz w:val="20"/>
                <w:szCs w:val="20"/>
                <w:color w:val="auto"/>
              </w:rPr>
            </w:pPr>
            <w:r>
              <w:rPr>
                <w:rFonts w:ascii="Arial" w:cs="Arial" w:eastAsia="Arial" w:hAnsi="Arial"/>
                <w:sz w:val="36"/>
                <w:szCs w:val="36"/>
                <w:color w:val="auto"/>
                <w:w w:val="94"/>
              </w:rPr>
              <w:t>10</w:t>
            </w: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20" w:type="dxa"/>
            <w:vAlign w:val="bottom"/>
          </w:tcPr>
          <w:p>
            <w:pPr>
              <w:spacing w:after="0" w:line="201" w:lineRule="exact"/>
              <w:rPr>
                <w:sz w:val="20"/>
                <w:szCs w:val="20"/>
                <w:color w:val="auto"/>
              </w:rPr>
            </w:pPr>
            <w:r>
              <w:rPr>
                <w:rFonts w:ascii="MS PGothic" w:cs="MS PGothic" w:eastAsia="MS PGothic" w:hAnsi="MS PGothic"/>
                <w:sz w:val="20"/>
                <w:szCs w:val="20"/>
                <w:color w:val="auto"/>
                <w:w w:val="99"/>
              </w:rPr>
              <w:t>☒</w:t>
            </w:r>
          </w:p>
        </w:tc>
        <w:tc>
          <w:tcPr>
            <w:tcW w:w="1160" w:type="dxa"/>
            <w:vAlign w:val="bottom"/>
          </w:tcPr>
          <w:p>
            <w:pPr>
              <w:jc w:val="center"/>
              <w:ind w:left="124"/>
              <w:spacing w:after="0"/>
              <w:rPr>
                <w:sz w:val="20"/>
                <w:szCs w:val="20"/>
                <w:color w:val="auto"/>
              </w:rPr>
            </w:pPr>
            <w:r>
              <w:rPr>
                <w:rFonts w:ascii="Arial" w:cs="Arial" w:eastAsia="Arial" w:hAnsi="Arial"/>
                <w:sz w:val="22"/>
                <w:szCs w:val="22"/>
                <w:color w:val="auto"/>
              </w:rPr>
              <w:t>nnual</w:t>
            </w:r>
          </w:p>
        </w:tc>
        <w:tc>
          <w:tcPr>
            <w:tcW w:w="3540" w:type="dxa"/>
            <w:vAlign w:val="bottom"/>
            <w:gridSpan w:val="7"/>
          </w:tcPr>
          <w:p>
            <w:pPr>
              <w:jc w:val="right"/>
              <w:spacing w:after="0"/>
              <w:rPr>
                <w:sz w:val="20"/>
                <w:szCs w:val="20"/>
                <w:color w:val="auto"/>
              </w:rPr>
            </w:pPr>
            <w:r>
              <w:rPr>
                <w:rFonts w:ascii="Arial" w:cs="Arial" w:eastAsia="Arial" w:hAnsi="Arial"/>
                <w:sz w:val="22"/>
                <w:szCs w:val="22"/>
                <w:color w:val="auto"/>
                <w:w w:val="98"/>
              </w:rPr>
              <w:t>eport  ursuant to Section 13 or 15 d</w:t>
            </w:r>
          </w:p>
        </w:tc>
        <w:tc>
          <w:tcPr>
            <w:tcW w:w="1800" w:type="dxa"/>
            <w:vAlign w:val="bottom"/>
            <w:gridSpan w:val="3"/>
          </w:tcPr>
          <w:p>
            <w:pPr>
              <w:ind w:left="20"/>
              <w:spacing w:after="0"/>
              <w:rPr>
                <w:sz w:val="20"/>
                <w:szCs w:val="20"/>
                <w:color w:val="auto"/>
              </w:rPr>
            </w:pPr>
            <w:r>
              <w:rPr>
                <w:rFonts w:ascii="Arial" w:cs="Arial" w:eastAsia="Arial" w:hAnsi="Arial"/>
                <w:sz w:val="22"/>
                <w:szCs w:val="22"/>
                <w:color w:val="auto"/>
              </w:rPr>
              <w:t>of the Securities</w:t>
            </w:r>
          </w:p>
        </w:tc>
        <w:tc>
          <w:tcPr>
            <w:tcW w:w="2360" w:type="dxa"/>
            <w:vAlign w:val="bottom"/>
          </w:tcPr>
          <w:p>
            <w:pPr>
              <w:ind w:left="20"/>
              <w:spacing w:after="0"/>
              <w:rPr>
                <w:sz w:val="20"/>
                <w:szCs w:val="20"/>
                <w:color w:val="auto"/>
              </w:rPr>
            </w:pPr>
            <w:r>
              <w:rPr>
                <w:rFonts w:ascii="Arial" w:cs="Arial" w:eastAsia="Arial" w:hAnsi="Arial"/>
                <w:sz w:val="22"/>
                <w:szCs w:val="22"/>
                <w:color w:val="auto"/>
              </w:rPr>
              <w:t>change  ct of 1934</w:t>
            </w:r>
          </w:p>
        </w:tc>
        <w:tc>
          <w:tcPr>
            <w:tcW w:w="0" w:type="dxa"/>
            <w:vAlign w:val="bottom"/>
          </w:tcPr>
          <w:p>
            <w:pPr>
              <w:spacing w:after="0"/>
              <w:rPr>
                <w:sz w:val="1"/>
                <w:szCs w:val="1"/>
                <w:color w:val="auto"/>
              </w:rPr>
            </w:pPr>
          </w:p>
        </w:tc>
      </w:tr>
      <w:tr>
        <w:trPr>
          <w:trHeight w:val="278"/>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gridSpan w:val="6"/>
          </w:tcPr>
          <w:p>
            <w:pPr>
              <w:jc w:val="center"/>
              <w:spacing w:after="0"/>
              <w:rPr>
                <w:sz w:val="20"/>
                <w:szCs w:val="20"/>
                <w:color w:val="auto"/>
              </w:rPr>
            </w:pPr>
            <w:r>
              <w:rPr>
                <w:rFonts w:ascii="Arial" w:cs="Arial" w:eastAsia="Arial" w:hAnsi="Arial"/>
                <w:sz w:val="20"/>
                <w:szCs w:val="20"/>
                <w:color w:val="auto"/>
                <w:w w:val="95"/>
              </w:rPr>
              <w:t>For the fiscal year ended January 31, 2026</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O</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20" w:type="dxa"/>
            <w:vAlign w:val="bottom"/>
          </w:tcPr>
          <w:p>
            <w:pPr>
              <w:ind w:left="20"/>
              <w:spacing w:after="0" w:line="201" w:lineRule="exact"/>
              <w:rPr>
                <w:sz w:val="20"/>
                <w:szCs w:val="20"/>
                <w:color w:val="auto"/>
              </w:rPr>
            </w:pPr>
            <w:r>
              <w:rPr>
                <w:rFonts w:ascii="MS PGothic" w:cs="MS PGothic" w:eastAsia="MS PGothic" w:hAnsi="MS PGothic"/>
                <w:sz w:val="20"/>
                <w:szCs w:val="20"/>
                <w:color w:val="auto"/>
                <w:w w:val="89"/>
              </w:rPr>
              <w:t>☐</w:t>
            </w:r>
          </w:p>
        </w:tc>
        <w:tc>
          <w:tcPr>
            <w:tcW w:w="1420" w:type="dxa"/>
            <w:vAlign w:val="bottom"/>
            <w:gridSpan w:val="2"/>
          </w:tcPr>
          <w:p>
            <w:pPr>
              <w:ind w:left="360"/>
              <w:spacing w:after="0"/>
              <w:rPr>
                <w:sz w:val="20"/>
                <w:szCs w:val="20"/>
                <w:color w:val="auto"/>
              </w:rPr>
            </w:pPr>
            <w:r>
              <w:rPr>
                <w:rFonts w:ascii="Arial" w:cs="Arial" w:eastAsia="Arial" w:hAnsi="Arial"/>
                <w:sz w:val="22"/>
                <w:szCs w:val="22"/>
                <w:color w:val="auto"/>
              </w:rPr>
              <w:t>ransition</w:t>
            </w:r>
          </w:p>
        </w:tc>
        <w:tc>
          <w:tcPr>
            <w:tcW w:w="520" w:type="dxa"/>
            <w:vAlign w:val="bottom"/>
          </w:tcPr>
          <w:p>
            <w:pPr>
              <w:spacing w:after="0"/>
              <w:rPr>
                <w:sz w:val="20"/>
                <w:szCs w:val="20"/>
                <w:color w:val="auto"/>
              </w:rPr>
            </w:pPr>
            <w:r>
              <w:rPr>
                <w:rFonts w:ascii="Arial" w:cs="Arial" w:eastAsia="Arial" w:hAnsi="Arial"/>
                <w:sz w:val="22"/>
                <w:szCs w:val="22"/>
                <w:color w:val="auto"/>
                <w:w w:val="99"/>
              </w:rPr>
              <w:t>eport</w:t>
            </w:r>
          </w:p>
        </w:tc>
        <w:tc>
          <w:tcPr>
            <w:tcW w:w="2920" w:type="dxa"/>
            <w:vAlign w:val="bottom"/>
            <w:gridSpan w:val="6"/>
          </w:tcPr>
          <w:p>
            <w:pPr>
              <w:ind w:left="180"/>
              <w:spacing w:after="0"/>
              <w:rPr>
                <w:sz w:val="20"/>
                <w:szCs w:val="20"/>
                <w:color w:val="auto"/>
              </w:rPr>
            </w:pPr>
            <w:r>
              <w:rPr>
                <w:rFonts w:ascii="Arial" w:cs="Arial" w:eastAsia="Arial" w:hAnsi="Arial"/>
                <w:sz w:val="22"/>
                <w:szCs w:val="22"/>
                <w:color w:val="auto"/>
                <w:w w:val="96"/>
              </w:rPr>
              <w:t>ursuant to Section 13 or 15 d</w:t>
            </w:r>
          </w:p>
        </w:tc>
        <w:tc>
          <w:tcPr>
            <w:tcW w:w="1640" w:type="dxa"/>
            <w:vAlign w:val="bottom"/>
            <w:gridSpan w:val="2"/>
          </w:tcPr>
          <w:p>
            <w:pPr>
              <w:ind w:left="100"/>
              <w:spacing w:after="0"/>
              <w:rPr>
                <w:sz w:val="20"/>
                <w:szCs w:val="20"/>
                <w:color w:val="auto"/>
              </w:rPr>
            </w:pPr>
            <w:r>
              <w:rPr>
                <w:rFonts w:ascii="Arial" w:cs="Arial" w:eastAsia="Arial" w:hAnsi="Arial"/>
                <w:sz w:val="22"/>
                <w:szCs w:val="22"/>
                <w:color w:val="auto"/>
                <w:w w:val="96"/>
              </w:rPr>
              <w:t>of the Securities</w:t>
            </w:r>
          </w:p>
        </w:tc>
        <w:tc>
          <w:tcPr>
            <w:tcW w:w="2360" w:type="dxa"/>
            <w:vAlign w:val="bottom"/>
          </w:tcPr>
          <w:p>
            <w:pPr>
              <w:ind w:left="280"/>
              <w:spacing w:after="0"/>
              <w:rPr>
                <w:sz w:val="20"/>
                <w:szCs w:val="20"/>
                <w:color w:val="auto"/>
              </w:rPr>
            </w:pPr>
            <w:r>
              <w:rPr>
                <w:rFonts w:ascii="Arial" w:cs="Arial" w:eastAsia="Arial" w:hAnsi="Arial"/>
                <w:sz w:val="22"/>
                <w:szCs w:val="22"/>
                <w:color w:val="auto"/>
              </w:rPr>
              <w:t>change  ct of 1934</w:t>
            </w:r>
          </w:p>
        </w:tc>
        <w:tc>
          <w:tcPr>
            <w:tcW w:w="0" w:type="dxa"/>
            <w:vAlign w:val="bottom"/>
          </w:tcPr>
          <w:p>
            <w:pPr>
              <w:spacing w:after="0"/>
              <w:rPr>
                <w:sz w:val="1"/>
                <w:szCs w:val="1"/>
                <w:color w:val="auto"/>
              </w:rPr>
            </w:pPr>
          </w:p>
        </w:tc>
      </w:tr>
      <w:tr>
        <w:trPr>
          <w:trHeight w:val="278"/>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6"/>
          </w:tcPr>
          <w:p>
            <w:pPr>
              <w:jc w:val="center"/>
              <w:ind w:right="458"/>
              <w:spacing w:after="0"/>
              <w:rPr>
                <w:sz w:val="20"/>
                <w:szCs w:val="20"/>
                <w:color w:val="auto"/>
              </w:rPr>
            </w:pPr>
            <w:r>
              <w:rPr>
                <w:rFonts w:ascii="Arial" w:cs="Arial" w:eastAsia="Arial" w:hAnsi="Arial"/>
                <w:sz w:val="20"/>
                <w:szCs w:val="20"/>
                <w:color w:val="auto"/>
              </w:rPr>
              <w:t>For the transition period from</w:t>
            </w:r>
          </w:p>
        </w:tc>
        <w:tc>
          <w:tcPr>
            <w:tcW w:w="740" w:type="dxa"/>
            <w:vAlign w:val="bottom"/>
          </w:tcPr>
          <w:p>
            <w:pPr>
              <w:ind w:left="160"/>
              <w:spacing w:after="0"/>
              <w:rPr>
                <w:sz w:val="20"/>
                <w:szCs w:val="20"/>
                <w:color w:val="auto"/>
              </w:rPr>
            </w:pPr>
            <w:r>
              <w:rPr>
                <w:rFonts w:ascii="Arial" w:cs="Arial" w:eastAsia="Arial" w:hAnsi="Arial"/>
                <w:sz w:val="20"/>
                <w:szCs w:val="20"/>
                <w:color w:val="auto"/>
              </w:rPr>
              <w:t>to</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48"/>
                <w:szCs w:val="48"/>
                <w:color w:val="auto"/>
              </w:rPr>
              <w:t>he</w:t>
            </w:r>
          </w:p>
        </w:tc>
        <w:tc>
          <w:tcPr>
            <w:tcW w:w="380" w:type="dxa"/>
            <w:vAlign w:val="bottom"/>
          </w:tcPr>
          <w:p>
            <w:pPr>
              <w:spacing w:after="0"/>
              <w:rPr>
                <w:sz w:val="17"/>
                <w:szCs w:val="17"/>
                <w:color w:val="auto"/>
              </w:rPr>
            </w:pPr>
          </w:p>
        </w:tc>
        <w:tc>
          <w:tcPr>
            <w:tcW w:w="3260" w:type="dxa"/>
            <w:vAlign w:val="bottom"/>
            <w:gridSpan w:val="5"/>
          </w:tcPr>
          <w:p>
            <w:pPr>
              <w:jc w:val="center"/>
              <w:ind w:right="250"/>
              <w:spacing w:after="0" w:line="206" w:lineRule="exact"/>
              <w:rPr>
                <w:sz w:val="20"/>
                <w:szCs w:val="20"/>
                <w:color w:val="auto"/>
              </w:rPr>
            </w:pPr>
            <w:r>
              <w:rPr>
                <w:rFonts w:ascii="Arial" w:cs="Arial" w:eastAsia="Arial" w:hAnsi="Arial"/>
                <w:sz w:val="20"/>
                <w:szCs w:val="20"/>
                <w:color w:val="auto"/>
                <w:w w:val="96"/>
              </w:rPr>
              <w:t>Commission file number 1 4908</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1"/>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48"/>
                <w:szCs w:val="48"/>
                <w:color w:val="auto"/>
              </w:rPr>
              <w:t>J</w:t>
            </w:r>
          </w:p>
        </w:tc>
        <w:tc>
          <w:tcPr>
            <w:tcW w:w="5140" w:type="dxa"/>
            <w:vAlign w:val="bottom"/>
            <w:gridSpan w:val="5"/>
          </w:tcPr>
          <w:p>
            <w:pPr>
              <w:ind w:left="280"/>
              <w:spacing w:after="0"/>
              <w:rPr>
                <w:sz w:val="20"/>
                <w:szCs w:val="20"/>
                <w:color w:val="auto"/>
              </w:rPr>
            </w:pPr>
            <w:r>
              <w:rPr>
                <w:rFonts w:ascii="Arial" w:cs="Arial" w:eastAsia="Arial" w:hAnsi="Arial"/>
                <w:sz w:val="48"/>
                <w:szCs w:val="48"/>
                <w:color w:val="auto"/>
              </w:rPr>
              <w:t>Companies, Inc.</w:t>
            </w:r>
          </w:p>
        </w:tc>
        <w:tc>
          <w:tcPr>
            <w:tcW w:w="0" w:type="dxa"/>
            <w:vAlign w:val="bottom"/>
          </w:tcPr>
          <w:p>
            <w:pPr>
              <w:spacing w:after="0"/>
              <w:rPr>
                <w:sz w:val="1"/>
                <w:szCs w:val="1"/>
                <w:color w:val="auto"/>
              </w:rPr>
            </w:pPr>
          </w:p>
        </w:tc>
      </w:tr>
      <w:tr>
        <w:trPr>
          <w:trHeight w:val="265"/>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380" w:type="dxa"/>
            <w:vAlign w:val="bottom"/>
            <w:gridSpan w:val="8"/>
          </w:tcPr>
          <w:p>
            <w:pPr>
              <w:ind w:left="300"/>
              <w:spacing w:after="0"/>
              <w:rPr>
                <w:sz w:val="20"/>
                <w:szCs w:val="20"/>
                <w:color w:val="auto"/>
              </w:rPr>
            </w:pPr>
            <w:r>
              <w:rPr>
                <w:rFonts w:ascii="Arial" w:cs="Arial" w:eastAsia="Arial" w:hAnsi="Arial"/>
                <w:sz w:val="20"/>
                <w:szCs w:val="20"/>
                <w:color w:val="auto"/>
              </w:rPr>
              <w:t>act name of registrant as specified in its charter</w:t>
            </w: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20"/>
                <w:szCs w:val="20"/>
                <w:color w:val="auto"/>
                <w:w w:val="91"/>
              </w:rPr>
              <w:t>elaware</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jc w:val="right"/>
              <w:ind w:right="574"/>
              <w:spacing w:after="0"/>
              <w:rPr>
                <w:sz w:val="20"/>
                <w:szCs w:val="20"/>
                <w:color w:val="auto"/>
              </w:rPr>
            </w:pPr>
            <w:r>
              <w:rPr>
                <w:rFonts w:ascii="Arial" w:cs="Arial" w:eastAsia="Arial" w:hAnsi="Arial"/>
                <w:sz w:val="20"/>
                <w:szCs w:val="20"/>
                <w:color w:val="auto"/>
              </w:rPr>
              <w:t>04 2207613</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Arial" w:cs="Arial" w:eastAsia="Arial" w:hAnsi="Arial"/>
                <w:sz w:val="16"/>
                <w:szCs w:val="16"/>
                <w:color w:val="auto"/>
                <w:w w:val="98"/>
              </w:rPr>
              <w:t>State or other</w:t>
            </w:r>
          </w:p>
        </w:tc>
        <w:tc>
          <w:tcPr>
            <w:tcW w:w="3540" w:type="dxa"/>
            <w:vAlign w:val="bottom"/>
            <w:gridSpan w:val="7"/>
          </w:tcPr>
          <w:p>
            <w:pPr>
              <w:jc w:val="right"/>
              <w:ind w:right="345"/>
              <w:spacing w:after="0"/>
              <w:rPr>
                <w:sz w:val="20"/>
                <w:szCs w:val="20"/>
                <w:color w:val="auto"/>
              </w:rPr>
            </w:pPr>
            <w:r>
              <w:rPr>
                <w:rFonts w:ascii="Arial" w:cs="Arial" w:eastAsia="Arial" w:hAnsi="Arial"/>
                <w:sz w:val="16"/>
                <w:szCs w:val="16"/>
                <w:color w:val="auto"/>
              </w:rPr>
              <w:t>urisdiction of incorporation or organi ation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I.  .S.  mployer Identification No.</w:t>
            </w:r>
          </w:p>
        </w:tc>
        <w:tc>
          <w:tcPr>
            <w:tcW w:w="0" w:type="dxa"/>
            <w:vAlign w:val="bottom"/>
          </w:tcPr>
          <w:p>
            <w:pPr>
              <w:spacing w:after="0"/>
              <w:rPr>
                <w:sz w:val="1"/>
                <w:szCs w:val="1"/>
                <w:color w:val="auto"/>
              </w:rPr>
            </w:pPr>
          </w:p>
        </w:tc>
      </w:tr>
      <w:tr>
        <w:trPr>
          <w:trHeight w:val="275"/>
        </w:trPr>
        <w:tc>
          <w:tcPr>
            <w:tcW w:w="220" w:type="dxa"/>
            <w:vAlign w:val="bottom"/>
          </w:tcPr>
          <w:p>
            <w:pPr>
              <w:spacing w:after="0"/>
              <w:rPr>
                <w:sz w:val="23"/>
                <w:szCs w:val="23"/>
                <w:color w:val="auto"/>
              </w:rPr>
            </w:pPr>
          </w:p>
        </w:tc>
        <w:tc>
          <w:tcPr>
            <w:tcW w:w="1420" w:type="dxa"/>
            <w:vAlign w:val="bottom"/>
            <w:gridSpan w:val="2"/>
          </w:tcPr>
          <w:p>
            <w:pPr>
              <w:jc w:val="center"/>
              <w:spacing w:after="0"/>
              <w:rPr>
                <w:sz w:val="20"/>
                <w:szCs w:val="20"/>
                <w:color w:val="auto"/>
              </w:rPr>
            </w:pPr>
            <w:r>
              <w:rPr>
                <w:rFonts w:ascii="Arial" w:cs="Arial" w:eastAsia="Arial" w:hAnsi="Arial"/>
                <w:sz w:val="20"/>
                <w:szCs w:val="20"/>
                <w:color w:val="auto"/>
                <w:w w:val="95"/>
              </w:rPr>
              <w:t>770 Cochituate</w:t>
            </w:r>
          </w:p>
        </w:tc>
        <w:tc>
          <w:tcPr>
            <w:tcW w:w="1820" w:type="dxa"/>
            <w:vAlign w:val="bottom"/>
            <w:gridSpan w:val="4"/>
          </w:tcPr>
          <w:p>
            <w:pPr>
              <w:ind w:left="100"/>
              <w:spacing w:after="0"/>
              <w:rPr>
                <w:sz w:val="20"/>
                <w:szCs w:val="20"/>
                <w:color w:val="auto"/>
              </w:rPr>
            </w:pPr>
            <w:r>
              <w:rPr>
                <w:rFonts w:ascii="Arial" w:cs="Arial" w:eastAsia="Arial" w:hAnsi="Arial"/>
                <w:sz w:val="20"/>
                <w:szCs w:val="20"/>
                <w:color w:val="auto"/>
              </w:rPr>
              <w:t>oad Framingham,</w:t>
            </w:r>
          </w:p>
        </w:tc>
        <w:tc>
          <w:tcPr>
            <w:tcW w:w="1460" w:type="dxa"/>
            <w:vAlign w:val="bottom"/>
            <w:gridSpan w:val="2"/>
          </w:tcPr>
          <w:p>
            <w:pPr>
              <w:jc w:val="center"/>
              <w:ind w:right="145"/>
              <w:spacing w:after="0"/>
              <w:rPr>
                <w:sz w:val="20"/>
                <w:szCs w:val="20"/>
                <w:color w:val="auto"/>
              </w:rPr>
            </w:pPr>
            <w:r>
              <w:rPr>
                <w:rFonts w:ascii="Arial" w:cs="Arial" w:eastAsia="Arial" w:hAnsi="Arial"/>
                <w:sz w:val="20"/>
                <w:szCs w:val="20"/>
                <w:color w:val="auto"/>
                <w:w w:val="89"/>
              </w:rPr>
              <w:t>assachusetts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60" w:type="dxa"/>
            <w:vAlign w:val="bottom"/>
          </w:tcPr>
          <w:p>
            <w:pPr>
              <w:jc w:val="right"/>
              <w:ind w:right="814"/>
              <w:spacing w:after="0"/>
              <w:rPr>
                <w:sz w:val="20"/>
                <w:szCs w:val="20"/>
                <w:color w:val="auto"/>
              </w:rPr>
            </w:pPr>
            <w:r>
              <w:rPr>
                <w:rFonts w:ascii="Arial" w:cs="Arial" w:eastAsia="Arial" w:hAnsi="Arial"/>
                <w:sz w:val="20"/>
                <w:szCs w:val="20"/>
                <w:color w:val="auto"/>
              </w:rPr>
              <w:t>01701</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480" w:type="dxa"/>
            <w:vAlign w:val="bottom"/>
            <w:gridSpan w:val="4"/>
          </w:tcPr>
          <w:p>
            <w:pPr>
              <w:jc w:val="center"/>
              <w:ind w:left="904"/>
              <w:spacing w:after="0"/>
              <w:rPr>
                <w:sz w:val="20"/>
                <w:szCs w:val="20"/>
                <w:color w:val="auto"/>
              </w:rPr>
            </w:pPr>
            <w:r>
              <w:rPr>
                <w:rFonts w:ascii="Arial" w:cs="Arial" w:eastAsia="Arial" w:hAnsi="Arial"/>
                <w:sz w:val="16"/>
                <w:szCs w:val="16"/>
                <w:color w:val="auto"/>
                <w:w w:val="97"/>
              </w:rPr>
              <w:t>ddress of principal e</w:t>
            </w:r>
          </w:p>
        </w:tc>
        <w:tc>
          <w:tcPr>
            <w:tcW w:w="380" w:type="dxa"/>
            <w:vAlign w:val="bottom"/>
          </w:tcPr>
          <w:p>
            <w:pPr>
              <w:jc w:val="right"/>
              <w:spacing w:after="0"/>
              <w:rPr>
                <w:sz w:val="20"/>
                <w:szCs w:val="20"/>
                <w:color w:val="auto"/>
              </w:rPr>
            </w:pPr>
            <w:r>
              <w:rPr>
                <w:rFonts w:ascii="Arial" w:cs="Arial" w:eastAsia="Arial" w:hAnsi="Arial"/>
                <w:sz w:val="16"/>
                <w:szCs w:val="16"/>
                <w:color w:val="auto"/>
              </w:rPr>
              <w:t>ecuti</w:t>
            </w: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e offices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ind w:left="980"/>
              <w:spacing w:after="0"/>
              <w:rPr>
                <w:sz w:val="20"/>
                <w:szCs w:val="20"/>
                <w:color w:val="auto"/>
              </w:rPr>
            </w:pPr>
            <w:r>
              <w:rPr>
                <w:rFonts w:ascii="Arial" w:cs="Arial" w:eastAsia="Arial" w:hAnsi="Arial"/>
                <w:sz w:val="16"/>
                <w:szCs w:val="16"/>
                <w:color w:val="auto"/>
              </w:rPr>
              <w:t>ip Code</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20" w:type="dxa"/>
            <w:vAlign w:val="bottom"/>
            <w:gridSpan w:val="7"/>
          </w:tcPr>
          <w:p>
            <w:pPr>
              <w:ind w:left="400"/>
              <w:spacing w:after="0"/>
              <w:rPr>
                <w:sz w:val="20"/>
                <w:szCs w:val="20"/>
                <w:color w:val="auto"/>
              </w:rPr>
            </w:pPr>
            <w:r>
              <w:rPr>
                <w:rFonts w:ascii="Arial" w:cs="Arial" w:eastAsia="Arial" w:hAnsi="Arial"/>
                <w:sz w:val="16"/>
                <w:szCs w:val="16"/>
                <w:color w:val="auto"/>
                <w:w w:val="95"/>
              </w:rPr>
              <w:t>egistrant s telephone number, including area code</w:t>
            </w:r>
          </w:p>
        </w:tc>
        <w:tc>
          <w:tcPr>
            <w:tcW w:w="3100" w:type="dxa"/>
            <w:vAlign w:val="bottom"/>
            <w:gridSpan w:val="2"/>
          </w:tcPr>
          <w:p>
            <w:pPr>
              <w:ind w:left="200"/>
              <w:spacing w:after="0"/>
              <w:rPr>
                <w:sz w:val="20"/>
                <w:szCs w:val="20"/>
                <w:color w:val="auto"/>
              </w:rPr>
            </w:pPr>
            <w:r>
              <w:rPr>
                <w:rFonts w:ascii="Arial" w:cs="Arial" w:eastAsia="Arial" w:hAnsi="Arial"/>
                <w:sz w:val="20"/>
                <w:szCs w:val="20"/>
                <w:color w:val="auto"/>
              </w:rPr>
              <w:t>508 390 1000</w:t>
            </w:r>
          </w:p>
        </w:tc>
        <w:tc>
          <w:tcPr>
            <w:tcW w:w="0" w:type="dxa"/>
            <w:vAlign w:val="bottom"/>
          </w:tcPr>
          <w:p>
            <w:pPr>
              <w:spacing w:after="0"/>
              <w:rPr>
                <w:sz w:val="1"/>
                <w:szCs w:val="1"/>
                <w:color w:val="auto"/>
              </w:rPr>
            </w:pPr>
          </w:p>
        </w:tc>
      </w:tr>
    </w:tbl>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20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20"/>
                <w:szCs w:val="20"/>
                <w:color w:val="auto"/>
              </w:rPr>
              <w:t>itle of each class</w:t>
            </w:r>
          </w:p>
        </w:tc>
        <w:tc>
          <w:tcPr>
            <w:tcW w:w="2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20"/>
                <w:szCs w:val="20"/>
                <w:color w:val="auto"/>
              </w:rPr>
              <w:t>rading Symbol s</w:t>
            </w:r>
          </w:p>
        </w:tc>
        <w:tc>
          <w:tcPr>
            <w:tcW w:w="4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5"/>
              </w:rPr>
              <w:t>Name of each e change on which registered</w:t>
            </w:r>
          </w:p>
        </w:tc>
      </w:tr>
      <w:tr>
        <w:trPr>
          <w:trHeight w:val="265"/>
        </w:trPr>
        <w:tc>
          <w:tcPr>
            <w:tcW w:w="4200" w:type="dxa"/>
            <w:vAlign w:val="bottom"/>
            <w:tcBorders>
              <w:bottom w:val="single" w:sz="8" w:color="auto"/>
            </w:tcBorders>
          </w:tcPr>
          <w:p>
            <w:pPr>
              <w:ind w:left="440"/>
              <w:spacing w:after="0"/>
              <w:rPr>
                <w:sz w:val="20"/>
                <w:szCs w:val="20"/>
                <w:color w:val="auto"/>
              </w:rPr>
            </w:pPr>
            <w:r>
              <w:rPr>
                <w:rFonts w:ascii="Arial" w:cs="Arial" w:eastAsia="Arial" w:hAnsi="Arial"/>
                <w:sz w:val="20"/>
                <w:szCs w:val="20"/>
                <w:color w:val="auto"/>
                <w:w w:val="99"/>
              </w:rPr>
              <w:t>Common Stock, par value $1.00 per share</w:t>
            </w:r>
          </w:p>
        </w:tc>
        <w:tc>
          <w:tcPr>
            <w:tcW w:w="212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TJX</w:t>
            </w: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New York Stock Exchange</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Securities registered pursuant to Section 12(g) of the Act: N  NE</w:t>
      </w:r>
    </w:p>
    <w:p>
      <w:pPr>
        <w:spacing w:after="0" w:line="63" w:lineRule="exact"/>
        <w:rPr>
          <w:sz w:val="20"/>
          <w:szCs w:val="20"/>
          <w:color w:val="auto"/>
        </w:rPr>
      </w:pPr>
    </w:p>
    <w:p>
      <w:pPr>
        <w:jc w:val="both"/>
        <w:ind w:right="280"/>
        <w:spacing w:after="0" w:line="290"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 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 w:lineRule="exact"/>
        <w:rPr>
          <w:sz w:val="20"/>
          <w:szCs w:val="20"/>
          <w:color w:val="auto"/>
        </w:rPr>
      </w:pPr>
    </w:p>
    <w:p>
      <w:pPr>
        <w:ind w:right="240"/>
        <w:spacing w:after="0" w:line="251" w:lineRule="exact"/>
        <w:rPr>
          <w:sz w:val="20"/>
          <w:szCs w:val="20"/>
          <w:color w:val="auto"/>
        </w:rPr>
      </w:pPr>
      <w:r>
        <w:rPr>
          <w:rFonts w:ascii="Arial" w:cs="Arial" w:eastAsia="Arial" w:hAnsi="Arial"/>
          <w:sz w:val="20"/>
          <w:szCs w:val="20"/>
          <w:color w:val="auto"/>
        </w:rPr>
        <w:t xml:space="preserve">Indicate by check mark whether the registrant (1) has filed all reports re uired to be filed by Section 13 or 15(d) of the Securities Exchange Act of 1 34 during the preceding 12 months (or for such shorter period that the registrant was re uired to file such reports), and (2) has been subject to such filing re uirements for the past 0 days.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30" w:lineRule="exact"/>
        <w:rPr>
          <w:sz w:val="20"/>
          <w:szCs w:val="20"/>
          <w:color w:val="auto"/>
        </w:rPr>
      </w:pPr>
    </w:p>
    <w:p>
      <w:pPr>
        <w:jc w:val="both"/>
        <w:ind w:right="80"/>
        <w:spacing w:after="0" w:line="252" w:lineRule="exact"/>
        <w:rPr>
          <w:sz w:val="20"/>
          <w:szCs w:val="20"/>
          <w:color w:val="auto"/>
        </w:rPr>
      </w:pPr>
      <w:r>
        <w:rPr>
          <w:rFonts w:ascii="Arial" w:cs="Arial" w:eastAsia="Arial" w:hAnsi="Arial"/>
          <w:sz w:val="20"/>
          <w:szCs w:val="20"/>
          <w:color w:val="auto"/>
        </w:rPr>
        <w:t xml:space="preserve">Indicate by check mark whether the registrant has submitted electronically every Interactive Data File re uired to be submitted pursuant to ule 405 of egulation S-T ( 232.405 of this chapter) during the preceding 12 months (or for such shorter period that the registrant was re uired to submit such files).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r>
        <w:rPr>
          <w:rFonts w:ascii="Arial" w:cs="Arial" w:eastAsia="Arial" w:hAnsi="Arial"/>
          <w:sz w:val="20"/>
          <w:szCs w:val="20"/>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gridSpan w:val="2"/>
          </w:tcPr>
          <w:p>
            <w:pPr>
              <w:spacing w:after="0"/>
              <w:rPr>
                <w:sz w:val="20"/>
                <w:szCs w:val="20"/>
                <w:color w:val="auto"/>
              </w:rPr>
            </w:pPr>
            <w:r>
              <w:rPr>
                <w:rFonts w:ascii="Arial" w:cs="Arial" w:eastAsia="Arial" w:hAnsi="Arial"/>
                <w:sz w:val="20"/>
                <w:szCs w:val="20"/>
                <w:color w:val="auto"/>
                <w:w w:val="92"/>
              </w:rPr>
              <w:t>company, or an emerging growth company. See the definitions of  large accelerated filer,</w:t>
            </w:r>
          </w:p>
        </w:tc>
        <w:tc>
          <w:tcPr>
            <w:tcW w:w="3040" w:type="dxa"/>
            <w:vAlign w:val="bottom"/>
            <w:gridSpan w:val="2"/>
          </w:tcPr>
          <w:p>
            <w:pPr>
              <w:ind w:left="120"/>
              <w:spacing w:after="0"/>
              <w:rPr>
                <w:sz w:val="20"/>
                <w:szCs w:val="20"/>
                <w:color w:val="auto"/>
              </w:rPr>
            </w:pPr>
            <w:r>
              <w:rPr>
                <w:rFonts w:ascii="Arial" w:cs="Arial" w:eastAsia="Arial" w:hAnsi="Arial"/>
                <w:sz w:val="20"/>
                <w:szCs w:val="20"/>
                <w:color w:val="auto"/>
                <w:w w:val="94"/>
              </w:rPr>
              <w:t>accelerated filer,  smaller reporting</w:t>
            </w:r>
          </w:p>
        </w:tc>
      </w:tr>
      <w:tr>
        <w:trPr>
          <w:trHeight w:val="261"/>
        </w:trPr>
        <w:tc>
          <w:tcPr>
            <w:tcW w:w="7260" w:type="dxa"/>
            <w:vAlign w:val="bottom"/>
            <w:gridSpan w:val="2"/>
          </w:tcPr>
          <w:p>
            <w:pPr>
              <w:spacing w:after="0"/>
              <w:rPr>
                <w:sz w:val="20"/>
                <w:szCs w:val="20"/>
                <w:color w:val="auto"/>
              </w:rPr>
            </w:pPr>
            <w:r>
              <w:rPr>
                <w:rFonts w:ascii="Arial" w:cs="Arial" w:eastAsia="Arial" w:hAnsi="Arial"/>
                <w:sz w:val="20"/>
                <w:szCs w:val="20"/>
                <w:color w:val="auto"/>
              </w:rPr>
              <w:t>company  and  emerging growth company  in  ule 12b-2 of the Exchange Act.</w:t>
            </w:r>
          </w:p>
        </w:tc>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336"/>
        </w:trPr>
        <w:tc>
          <w:tcPr>
            <w:tcW w:w="2340" w:type="dxa"/>
            <w:vAlign w:val="bottom"/>
          </w:tcPr>
          <w:p>
            <w:pPr>
              <w:ind w:left="40"/>
              <w:spacing w:after="0"/>
              <w:rPr>
                <w:sz w:val="20"/>
                <w:szCs w:val="20"/>
                <w:color w:val="auto"/>
              </w:rPr>
            </w:pPr>
            <w:r>
              <w:rPr>
                <w:rFonts w:ascii="Arial" w:cs="Arial" w:eastAsia="Arial" w:hAnsi="Arial"/>
                <w:sz w:val="20"/>
                <w:szCs w:val="20"/>
                <w:color w:val="auto"/>
              </w:rPr>
              <w:t>Large accelerated filer</w:t>
            </w:r>
          </w:p>
        </w:tc>
        <w:tc>
          <w:tcPr>
            <w:tcW w:w="4920" w:type="dxa"/>
            <w:vAlign w:val="bottom"/>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20"/>
                <w:szCs w:val="20"/>
                <w:color w:val="auto"/>
              </w:rPr>
              <w:t>Accelerated filer</w:t>
            </w:r>
          </w:p>
        </w:tc>
        <w:tc>
          <w:tcPr>
            <w:tcW w:w="400" w:type="dxa"/>
            <w:vAlign w:val="bottom"/>
          </w:tcPr>
          <w:p>
            <w:pPr>
              <w:ind w:left="100"/>
              <w:spacing w:after="0" w:line="201" w:lineRule="exact"/>
              <w:rPr>
                <w:sz w:val="20"/>
                <w:szCs w:val="20"/>
                <w:color w:val="auto"/>
              </w:rPr>
            </w:pPr>
            <w:r>
              <w:rPr>
                <w:rFonts w:ascii="MS PGothic" w:cs="MS PGothic" w:eastAsia="MS PGothic" w:hAnsi="MS PGothic"/>
                <w:sz w:val="20"/>
                <w:szCs w:val="20"/>
                <w:color w:val="auto"/>
              </w:rPr>
              <w:t>☐</w:t>
            </w:r>
          </w:p>
        </w:tc>
      </w:tr>
      <w:tr>
        <w:trPr>
          <w:trHeight w:val="300"/>
        </w:trPr>
        <w:tc>
          <w:tcPr>
            <w:tcW w:w="2340" w:type="dxa"/>
            <w:vAlign w:val="bottom"/>
          </w:tcPr>
          <w:p>
            <w:pPr>
              <w:ind w:left="40"/>
              <w:spacing w:after="0"/>
              <w:rPr>
                <w:sz w:val="20"/>
                <w:szCs w:val="20"/>
                <w:color w:val="auto"/>
              </w:rPr>
            </w:pPr>
            <w:r>
              <w:rPr>
                <w:rFonts w:ascii="Arial" w:cs="Arial" w:eastAsia="Arial" w:hAnsi="Arial"/>
                <w:sz w:val="20"/>
                <w:szCs w:val="20"/>
                <w:color w:val="auto"/>
              </w:rPr>
              <w:t>Non-accelerated filer</w:t>
            </w:r>
          </w:p>
        </w:tc>
        <w:tc>
          <w:tcPr>
            <w:tcW w:w="4920" w:type="dxa"/>
            <w:vAlign w:val="bottom"/>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2640" w:type="dxa"/>
            <w:vAlign w:val="bottom"/>
          </w:tcPr>
          <w:p>
            <w:pPr>
              <w:ind w:left="340"/>
              <w:spacing w:after="0"/>
              <w:rPr>
                <w:sz w:val="20"/>
                <w:szCs w:val="20"/>
                <w:color w:val="auto"/>
              </w:rPr>
            </w:pPr>
            <w:r>
              <w:rPr>
                <w:rFonts w:ascii="Arial" w:cs="Arial" w:eastAsia="Arial" w:hAnsi="Arial"/>
                <w:sz w:val="20"/>
                <w:szCs w:val="20"/>
                <w:color w:val="auto"/>
                <w:w w:val="95"/>
              </w:rPr>
              <w:t>Smaller reporting company</w:t>
            </w:r>
          </w:p>
        </w:tc>
        <w:tc>
          <w:tcPr>
            <w:tcW w:w="400" w:type="dxa"/>
            <w:vAlign w:val="bottom"/>
          </w:tcPr>
          <w:p>
            <w:pPr>
              <w:ind w:left="100"/>
              <w:spacing w:after="0" w:line="201" w:lineRule="exact"/>
              <w:rPr>
                <w:sz w:val="20"/>
                <w:szCs w:val="20"/>
                <w:color w:val="auto"/>
              </w:rPr>
            </w:pPr>
            <w:r>
              <w:rPr>
                <w:rFonts w:ascii="MS PGothic" w:cs="MS PGothic" w:eastAsia="MS PGothic" w:hAnsi="MS PGothic"/>
                <w:sz w:val="20"/>
                <w:szCs w:val="20"/>
                <w:color w:val="auto"/>
              </w:rPr>
              <w:t>☐</w:t>
            </w:r>
          </w:p>
        </w:tc>
      </w:tr>
      <w:tr>
        <w:trPr>
          <w:trHeight w:val="300"/>
        </w:trPr>
        <w:tc>
          <w:tcPr>
            <w:tcW w:w="2340" w:type="dxa"/>
            <w:vAlign w:val="bottom"/>
          </w:tcPr>
          <w:p>
            <w:pPr>
              <w:ind w:left="40"/>
              <w:spacing w:after="0"/>
              <w:rPr>
                <w:sz w:val="20"/>
                <w:szCs w:val="20"/>
                <w:color w:val="auto"/>
              </w:rPr>
            </w:pPr>
            <w:r>
              <w:rPr>
                <w:rFonts w:ascii="Arial" w:cs="Arial" w:eastAsia="Arial" w:hAnsi="Arial"/>
                <w:sz w:val="20"/>
                <w:szCs w:val="20"/>
                <w:color w:val="auto"/>
                <w:w w:val="95"/>
              </w:rPr>
              <w:t>Emerging growth company</w:t>
            </w:r>
          </w:p>
        </w:tc>
        <w:tc>
          <w:tcPr>
            <w:tcW w:w="4920" w:type="dxa"/>
            <w:vAlign w:val="bottom"/>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03" w:lineRule="exact"/>
        <w:rPr>
          <w:sz w:val="20"/>
          <w:szCs w:val="20"/>
          <w:color w:val="auto"/>
        </w:rPr>
      </w:pPr>
    </w:p>
    <w:p>
      <w:pPr>
        <w:ind w:right="720"/>
        <w:spacing w:after="0" w:line="25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 w:lineRule="exact"/>
        <w:rPr>
          <w:sz w:val="20"/>
          <w:szCs w:val="20"/>
          <w:color w:val="auto"/>
        </w:rPr>
      </w:pPr>
    </w:p>
    <w:p>
      <w:pPr>
        <w:jc w:val="both"/>
        <w:ind w:right="20"/>
        <w:spacing w:after="0" w:line="253" w:lineRule="exact"/>
        <w:rPr>
          <w:sz w:val="20"/>
          <w:szCs w:val="20"/>
          <w:color w:val="auto"/>
        </w:rPr>
      </w:pPr>
      <w:r>
        <w:rPr>
          <w:rFonts w:ascii="Arial" w:cs="Arial" w:eastAsia="Arial" w:hAnsi="Arial"/>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 xley Act (15 .S.C.7262(b)) by the registered public accounting firm that prepared or issued its audit report. </w:t>
      </w:r>
      <w:r>
        <w:rPr>
          <w:rFonts w:ascii="MS PGothic" w:cs="MS PGothic" w:eastAsia="MS PGothic" w:hAnsi="MS PGothic"/>
          <w:sz w:val="20"/>
          <w:szCs w:val="20"/>
          <w:color w:val="auto"/>
        </w:rPr>
        <w:t>☒</w:t>
      </w:r>
    </w:p>
    <w:p>
      <w:pPr>
        <w:spacing w:after="0" w:line="21" w:lineRule="exact"/>
        <w:rPr>
          <w:sz w:val="20"/>
          <w:szCs w:val="20"/>
          <w:color w:val="auto"/>
        </w:rPr>
      </w:pPr>
    </w:p>
    <w:p>
      <w:pPr>
        <w:ind w:right="60"/>
        <w:spacing w:after="0" w:line="260" w:lineRule="exact"/>
        <w:rPr>
          <w:sz w:val="20"/>
          <w:szCs w:val="20"/>
          <w:color w:val="auto"/>
        </w:rPr>
      </w:pPr>
      <w:r>
        <w:rPr>
          <w:rFonts w:ascii="Arial" w:cs="Arial" w:eastAsia="Arial" w:hAnsi="Arial"/>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pacing w:after="0" w:line="21" w:lineRule="exact"/>
        <w:rPr>
          <w:sz w:val="20"/>
          <w:szCs w:val="20"/>
          <w:color w:val="auto"/>
        </w:rPr>
      </w:pPr>
    </w:p>
    <w:p>
      <w:pPr>
        <w:ind w:right="280"/>
        <w:spacing w:after="0" w:line="260"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 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4" w:lineRule="exact"/>
        <w:rPr>
          <w:sz w:val="20"/>
          <w:szCs w:val="20"/>
          <w:color w:val="auto"/>
        </w:rPr>
      </w:pPr>
    </w:p>
    <w:p>
      <w:pPr>
        <w:spacing w:after="0" w:line="230" w:lineRule="exact"/>
        <w:tabs>
          <w:tab w:leader="none" w:pos="6480" w:val="left"/>
        </w:tabs>
        <w:rPr>
          <w:sz w:val="20"/>
          <w:szCs w:val="20"/>
          <w:color w:val="auto"/>
        </w:rPr>
      </w:pPr>
      <w:r>
        <w:rPr>
          <w:rFonts w:ascii="Arial" w:cs="Arial" w:eastAsia="Arial" w:hAnsi="Arial"/>
          <w:sz w:val="20"/>
          <w:szCs w:val="20"/>
          <w:color w:val="auto"/>
        </w:rPr>
        <w:t>Indicate by check mark whether the registrant is a shell company (as defined in</w:t>
      </w:r>
      <w:r>
        <w:rPr>
          <w:sz w:val="20"/>
          <w:szCs w:val="20"/>
          <w:color w:val="auto"/>
        </w:rPr>
        <w:tab/>
      </w:r>
      <w:r>
        <w:rPr>
          <w:rFonts w:ascii="Arial" w:cs="Arial" w:eastAsia="Arial" w:hAnsi="Arial"/>
          <w:sz w:val="18"/>
          <w:szCs w:val="18"/>
          <w:color w:val="auto"/>
        </w:rPr>
        <w:t xml:space="preserve">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The aggregate market value of the voting common stock held by non-affiliates of the registrant on </w:t>
      </w:r>
      <w:r>
        <w:rPr>
          <w:rFonts w:ascii="Arial" w:cs="Arial" w:eastAsia="Arial" w:hAnsi="Arial"/>
          <w:sz w:val="20"/>
          <w:szCs w:val="20"/>
          <w:color w:val="auto"/>
          <w:highlight w:val="white"/>
        </w:rPr>
        <w:t>August 2, 2025</w:t>
      </w:r>
      <w:r>
        <w:rPr>
          <w:rFonts w:ascii="Arial" w:cs="Arial" w:eastAsia="Arial" w:hAnsi="Arial"/>
          <w:sz w:val="20"/>
          <w:szCs w:val="20"/>
          <w:color w:val="auto"/>
        </w:rPr>
        <w:t>, the last business day of the registrant’s most recently completed second fiscal uarter, was $140 billion based on the closing sale price as reported on the New York Stock Exchange.</w:t>
      </w:r>
    </w:p>
    <w:p>
      <w:pPr>
        <w:spacing w:after="0" w:line="15" w:lineRule="exact"/>
        <w:rPr>
          <w:sz w:val="20"/>
          <w:szCs w:val="20"/>
          <w:color w:val="auto"/>
        </w:rPr>
      </w:pPr>
    </w:p>
    <w:p>
      <w:pPr>
        <w:spacing w:after="0"/>
        <w:tabs>
          <w:tab w:leader="none" w:pos="8340" w:val="left"/>
        </w:tabs>
        <w:rPr>
          <w:sz w:val="20"/>
          <w:szCs w:val="20"/>
          <w:color w:val="auto"/>
        </w:rPr>
      </w:pPr>
      <w:r>
        <w:rPr>
          <w:rFonts w:ascii="Arial" w:cs="Arial" w:eastAsia="Arial" w:hAnsi="Arial"/>
          <w:sz w:val="20"/>
          <w:szCs w:val="20"/>
          <w:color w:val="auto"/>
        </w:rPr>
        <w:t>There were 1,106,810,654 shares of the registrant’s common stock, $1.00 par value, outstanding as of</w:t>
      </w:r>
      <w:r>
        <w:rPr>
          <w:sz w:val="20"/>
          <w:szCs w:val="20"/>
          <w:color w:val="auto"/>
        </w:rPr>
        <w:tab/>
      </w:r>
      <w:r>
        <w:rPr>
          <w:rFonts w:ascii="Arial" w:cs="Arial" w:eastAsia="Arial" w:hAnsi="Arial"/>
          <w:sz w:val="17"/>
          <w:szCs w:val="17"/>
          <w:color w:val="auto"/>
        </w:rPr>
        <w:t>arch 20, 2026.</w:t>
      </w:r>
    </w:p>
    <w:p>
      <w:pPr>
        <w:sectPr>
          <w:pgSz w:w="12240" w:h="15841" w:orient="portrait"/>
          <w:cols w:equalWidth="0" w:num="1">
            <w:col w:w="10940"/>
          </w:cols>
          <w:pgMar w:left="640" w:top="608" w:right="661" w:bottom="185" w:gutter="0" w:footer="0" w:header="0"/>
        </w:sectPr>
      </w:pPr>
    </w:p>
    <w:bookmarkStart w:id="9" w:name="page10"/>
    <w:bookmarkEnd w:id="9"/>
    <w:p>
      <w:pPr>
        <w:spacing w:after="0"/>
        <w:tabs>
          <w:tab w:leader="none" w:pos="720" w:val="left"/>
          <w:tab w:leader="none" w:pos="1880" w:val="left"/>
          <w:tab w:leader="none" w:pos="2280" w:val="left"/>
          <w:tab w:leader="none" w:pos="332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D  C</w:t>
      </w:r>
      <w:r>
        <w:rPr>
          <w:sz w:val="20"/>
          <w:szCs w:val="20"/>
          <w:color w:val="auto"/>
        </w:rPr>
        <w:tab/>
      </w:r>
      <w:r>
        <w:rPr>
          <w:rFonts w:ascii="Arial" w:cs="Arial" w:eastAsia="Arial" w:hAnsi="Arial"/>
          <w:sz w:val="20"/>
          <w:szCs w:val="20"/>
          <w:color w:val="auto"/>
        </w:rPr>
        <w:t>ENTS INC</w:t>
        <w:tab/>
        <w:t>P</w:t>
        <w:tab/>
        <w:t>ATED BY</w:t>
      </w:r>
      <w:r>
        <w:rPr>
          <w:sz w:val="20"/>
          <w:szCs w:val="20"/>
          <w:color w:val="auto"/>
        </w:rPr>
        <w:tab/>
      </w:r>
      <w:r>
        <w:rPr>
          <w:rFonts w:ascii="Arial" w:cs="Arial" w:eastAsia="Arial" w:hAnsi="Arial"/>
          <w:sz w:val="18"/>
          <w:szCs w:val="18"/>
          <w:color w:val="auto"/>
        </w:rPr>
        <w:t>EFE  ENCE</w:t>
      </w:r>
    </w:p>
    <w:p>
      <w:pPr>
        <w:spacing w:after="0" w:line="70"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 xml:space="preserve">Portions of the Proxy Statement to be filed with the Securities and Exchange Commission in connection with the Annual eeting of Shareholders to be held on </w:t>
      </w:r>
      <w:r>
        <w:rPr>
          <w:rFonts w:ascii="Arial" w:cs="Arial" w:eastAsia="Arial" w:hAnsi="Arial"/>
          <w:sz w:val="20"/>
          <w:szCs w:val="20"/>
          <w:color w:val="auto"/>
          <w:highlight w:val="white"/>
        </w:rPr>
        <w:t>June , 2026</w:t>
      </w:r>
      <w:r>
        <w:rPr>
          <w:rFonts w:ascii="Arial" w:cs="Arial" w:eastAsia="Arial" w:hAnsi="Arial"/>
          <w:sz w:val="20"/>
          <w:szCs w:val="20"/>
          <w:color w:val="auto"/>
        </w:rPr>
        <w:t xml:space="preserve"> (Part III).</w:t>
      </w:r>
    </w:p>
    <w:p>
      <w:pPr>
        <w:sectPr>
          <w:pgSz w:w="12240" w:h="15841" w:orient="portrait"/>
          <w:cols w:equalWidth="0" w:num="1">
            <w:col w:w="10580"/>
          </w:cols>
          <w:pgMar w:left="640" w:top="657" w:right="1021" w:bottom="1440" w:gutter="0" w:footer="0" w:header="0"/>
        </w:sectPr>
      </w:pPr>
    </w:p>
    <w:bookmarkStart w:id="10" w:name="page11"/>
    <w:bookmarkEnd w:id="10"/>
    <w:p>
      <w:pPr>
        <w:spacing w:after="0"/>
        <w:tabs>
          <w:tab w:leader="none" w:pos="600" w:val="left"/>
          <w:tab w:leader="none" w:pos="1540" w:val="left"/>
          <w:tab w:leader="none" w:pos="3180" w:val="left"/>
          <w:tab w:leader="none" w:pos="3640" w:val="left"/>
          <w:tab w:leader="none" w:pos="5020" w:val="left"/>
          <w:tab w:leader="none" w:pos="6000" w:val="left"/>
          <w:tab w:leader="none" w:pos="70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w:t>
      </w:r>
      <w:r>
        <w:rPr>
          <w:sz w:val="20"/>
          <w:szCs w:val="20"/>
          <w:color w:val="auto"/>
        </w:rPr>
        <w:tab/>
      </w:r>
      <w:r>
        <w:rPr>
          <w:rFonts w:ascii="Arial" w:cs="Arial" w:eastAsia="Arial" w:hAnsi="Arial"/>
          <w:sz w:val="22"/>
          <w:szCs w:val="22"/>
          <w:color w:val="auto"/>
        </w:rPr>
        <w:t>ION</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IN</w:t>
        <w:tab/>
        <w:t>FO</w:t>
      </w:r>
      <w:r>
        <w:rPr>
          <w:sz w:val="20"/>
          <w:szCs w:val="20"/>
          <w:color w:val="auto"/>
        </w:rPr>
        <w:tab/>
      </w:r>
      <w:r>
        <w:rPr>
          <w:rFonts w:ascii="Arial" w:cs="Arial" w:eastAsia="Arial" w:hAnsi="Arial"/>
          <w:sz w:val="22"/>
          <w:szCs w:val="22"/>
          <w:color w:val="auto"/>
        </w:rPr>
        <w:t>OO  IN</w:t>
        <w:tab/>
        <w:t>S</w:t>
      </w:r>
      <w:r>
        <w:rPr>
          <w:sz w:val="20"/>
          <w:szCs w:val="20"/>
          <w:color w:val="auto"/>
        </w:rPr>
        <w:tab/>
      </w:r>
      <w:r>
        <w:rPr>
          <w:rFonts w:ascii="Arial" w:cs="Arial" w:eastAsia="Arial" w:hAnsi="Arial"/>
          <w:sz w:val="22"/>
          <w:szCs w:val="22"/>
          <w:color w:val="auto"/>
        </w:rPr>
        <w:t>N S</w:t>
      </w:r>
    </w:p>
    <w:p>
      <w:pPr>
        <w:spacing w:after="0" w:line="265" w:lineRule="exact"/>
        <w:rPr>
          <w:sz w:val="20"/>
          <w:szCs w:val="20"/>
          <w:color w:val="auto"/>
        </w:rPr>
      </w:pPr>
    </w:p>
    <w:p>
      <w:pPr>
        <w:spacing w:after="0"/>
        <w:tabs>
          <w:tab w:leader="none" w:pos="1320" w:val="left"/>
          <w:tab w:leader="none" w:pos="3200" w:val="left"/>
        </w:tabs>
        <w:rPr>
          <w:sz w:val="20"/>
          <w:szCs w:val="20"/>
          <w:color w:val="auto"/>
        </w:rPr>
      </w:pPr>
      <w:r>
        <w:rPr>
          <w:rFonts w:ascii="Arial" w:cs="Arial" w:eastAsia="Arial" w:hAnsi="Arial"/>
          <w:sz w:val="20"/>
          <w:szCs w:val="20"/>
          <w:color w:val="auto"/>
        </w:rPr>
        <w:t>This Form 10-</w:t>
        <w:tab/>
        <w:t>and our 2025 Annual</w:t>
      </w:r>
      <w:r>
        <w:rPr>
          <w:sz w:val="20"/>
          <w:szCs w:val="20"/>
          <w:color w:val="auto"/>
        </w:rPr>
        <w:tab/>
      </w:r>
      <w:r>
        <w:rPr>
          <w:rFonts w:ascii="Arial" w:cs="Arial" w:eastAsia="Arial" w:hAnsi="Arial"/>
          <w:sz w:val="18"/>
          <w:szCs w:val="18"/>
          <w:color w:val="auto"/>
        </w:rPr>
        <w:t>eport to Shareholders contain  forward-looking statements.  These forward-looking</w:t>
      </w:r>
    </w:p>
    <w:p>
      <w:pPr>
        <w:spacing w:after="0" w:line="10" w:lineRule="exact"/>
        <w:rPr>
          <w:sz w:val="20"/>
          <w:szCs w:val="20"/>
          <w:color w:val="auto"/>
        </w:rPr>
      </w:pPr>
    </w:p>
    <w:p>
      <w:pPr>
        <w:spacing w:after="0"/>
        <w:tabs>
          <w:tab w:leader="none" w:pos="5960" w:val="left"/>
          <w:tab w:leader="none" w:pos="7000" w:val="left"/>
          <w:tab w:leader="none" w:pos="8440" w:val="left"/>
          <w:tab w:leader="none" w:pos="9280" w:val="left"/>
        </w:tabs>
        <w:rPr>
          <w:sz w:val="20"/>
          <w:szCs w:val="20"/>
          <w:color w:val="auto"/>
        </w:rPr>
      </w:pPr>
      <w:r>
        <w:rPr>
          <w:rFonts w:ascii="Arial" w:cs="Arial" w:eastAsia="Arial" w:hAnsi="Arial"/>
          <w:sz w:val="20"/>
          <w:szCs w:val="20"/>
          <w:color w:val="auto"/>
        </w:rPr>
        <w:t>statements generally can be identified by the use of words such as  aim,</w:t>
        <w:tab/>
        <w:t>anticipate,</w:t>
        <w:tab/>
        <w:t>approximately,</w:t>
        <w:tab/>
        <w:t>believe,</w:t>
      </w:r>
      <w:r>
        <w:rPr>
          <w:sz w:val="20"/>
          <w:szCs w:val="20"/>
          <w:color w:val="auto"/>
        </w:rPr>
        <w:tab/>
      </w:r>
      <w:r>
        <w:rPr>
          <w:rFonts w:ascii="Arial" w:cs="Arial" w:eastAsia="Arial" w:hAnsi="Arial"/>
          <w:sz w:val="18"/>
          <w:szCs w:val="18"/>
          <w:color w:val="auto"/>
        </w:rPr>
        <w:t>continue,</w:t>
      </w:r>
    </w:p>
    <w:p>
      <w:pPr>
        <w:spacing w:after="0" w:line="10" w:lineRule="exact"/>
        <w:rPr>
          <w:sz w:val="20"/>
          <w:szCs w:val="20"/>
          <w:color w:val="auto"/>
        </w:rPr>
      </w:pPr>
    </w:p>
    <w:p>
      <w:pPr>
        <w:ind w:left="80"/>
        <w:spacing w:after="0"/>
        <w:tabs>
          <w:tab w:leader="none" w:pos="780" w:val="left"/>
          <w:tab w:leader="none" w:pos="1720" w:val="left"/>
          <w:tab w:leader="none" w:pos="2520" w:val="left"/>
          <w:tab w:leader="none" w:pos="3440" w:val="left"/>
          <w:tab w:leader="none" w:pos="4060" w:val="left"/>
          <w:tab w:leader="none" w:pos="4820" w:val="left"/>
          <w:tab w:leader="none" w:pos="5440" w:val="left"/>
          <w:tab w:leader="none" w:pos="6080" w:val="left"/>
          <w:tab w:leader="none" w:pos="7040" w:val="left"/>
          <w:tab w:leader="none" w:pos="7880" w:val="left"/>
          <w:tab w:leader="none" w:pos="8520" w:val="left"/>
          <w:tab w:leader="none" w:pos="9320" w:val="left"/>
        </w:tabs>
        <w:rPr>
          <w:sz w:val="20"/>
          <w:szCs w:val="20"/>
          <w:color w:val="auto"/>
        </w:rPr>
      </w:pPr>
      <w:r>
        <w:rPr>
          <w:rFonts w:ascii="Arial" w:cs="Arial" w:eastAsia="Arial" w:hAnsi="Arial"/>
          <w:sz w:val="20"/>
          <w:szCs w:val="20"/>
          <w:color w:val="auto"/>
        </w:rPr>
        <w:t>could,</w:t>
        <w:tab/>
        <w:t>estimate,</w:t>
        <w:tab/>
        <w:t>expect,</w:t>
        <w:tab/>
        <w:t>forecast,</w:t>
        <w:tab/>
        <w:t>goal,</w:t>
        <w:tab/>
        <w:t>intend,</w:t>
        <w:tab/>
        <w:t>may,</w:t>
        <w:tab/>
        <w:t>plan,</w:t>
        <w:tab/>
        <w:t>potential,</w:t>
        <w:tab/>
        <w:t>project,</w:t>
        <w:tab/>
        <w:t>seek,</w:t>
        <w:tab/>
        <w:t>should,</w:t>
      </w:r>
      <w:r>
        <w:rPr>
          <w:sz w:val="20"/>
          <w:szCs w:val="20"/>
          <w:color w:val="auto"/>
        </w:rPr>
        <w:tab/>
      </w:r>
      <w:r>
        <w:rPr>
          <w:rFonts w:ascii="Arial" w:cs="Arial" w:eastAsia="Arial" w:hAnsi="Arial"/>
          <w:sz w:val="18"/>
          <w:szCs w:val="18"/>
          <w:color w:val="auto"/>
        </w:rPr>
        <w:t>strive,</w:t>
      </w:r>
    </w:p>
    <w:p>
      <w:pPr>
        <w:spacing w:after="0" w:line="10"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9"/>
          <w:szCs w:val="19"/>
          <w:color w:val="auto"/>
        </w:rPr>
        <w:t>target,</w:t>
        <w:tab/>
        <w:t>will,  and  would,  or any variations of these words or other words with similar meanings. These forward-looking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statements address various matters that we intend, expect or believe may occur in the future, including, among others, some of</w:t>
      </w:r>
    </w:p>
    <w:p>
      <w:pPr>
        <w:spacing w:after="0" w:line="33" w:lineRule="exact"/>
        <w:rPr>
          <w:sz w:val="20"/>
          <w:szCs w:val="20"/>
          <w:color w:val="auto"/>
        </w:rPr>
      </w:pPr>
    </w:p>
    <w:p>
      <w:pPr>
        <w:spacing w:after="0"/>
        <w:tabs>
          <w:tab w:leader="none" w:pos="2640" w:val="left"/>
          <w:tab w:leader="none" w:pos="5740" w:val="left"/>
          <w:tab w:leader="none" w:pos="7680" w:val="left"/>
        </w:tabs>
        <w:rPr>
          <w:sz w:val="20"/>
          <w:szCs w:val="20"/>
          <w:color w:val="auto"/>
        </w:rPr>
      </w:pPr>
      <w:r>
        <w:rPr>
          <w:rFonts w:ascii="Arial" w:cs="Arial" w:eastAsia="Arial" w:hAnsi="Arial"/>
          <w:sz w:val="20"/>
          <w:szCs w:val="20"/>
          <w:color w:val="auto"/>
        </w:rPr>
        <w:t>the statements in this Form 10-</w:t>
        <w:tab/>
        <w:t>under Item 1,  Business,  Item 1A,</w:t>
        <w:tab/>
        <w:t>isk Factors,  Item 7,</w:t>
      </w:r>
      <w:r>
        <w:rPr>
          <w:sz w:val="20"/>
          <w:szCs w:val="20"/>
          <w:color w:val="auto"/>
        </w:rPr>
        <w:tab/>
      </w:r>
      <w:r>
        <w:rPr>
          <w:rFonts w:ascii="Arial" w:cs="Arial" w:eastAsia="Arial" w:hAnsi="Arial"/>
          <w:sz w:val="17"/>
          <w:szCs w:val="17"/>
          <w:color w:val="auto"/>
        </w:rPr>
        <w:t>anagement’s Discussion and</w:t>
      </w:r>
    </w:p>
    <w:p>
      <w:pPr>
        <w:spacing w:after="0" w:line="10"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Analysis of Financial Condition and esults of perations, and Item 8, Financial Statements and Supplementary Data, relating to, among others, the Company s anticipated operating and financial performance, business plans and prospects, investments, the availability of merchandise, execution of our business model, payment of dividends, plans for future stock repurchases, future use and availability of cash and cash e uivalents, expected capital expenditures, trends in demand for our products, the impact of foreign exchange rates, expectations with respect to future store openings, and the impact of fuel resources and supply chain on our inventory flow and financial performance and plans with respect to long-term indebtedness. Each forward-looking statement contained in this Form 10- and our Annual eport to Shareholders is inherently subject to risks, uncertainties and potentially inaccurate assumptions that could cause actual results to differ materially from those expressed or implied by such statement.</w:t>
      </w:r>
    </w:p>
    <w:p>
      <w:pPr>
        <w:spacing w:after="0" w:line="76" w:lineRule="exact"/>
        <w:rPr>
          <w:sz w:val="20"/>
          <w:szCs w:val="20"/>
          <w:color w:val="auto"/>
        </w:rPr>
      </w:pPr>
    </w:p>
    <w:p>
      <w:pPr>
        <w:ind w:right="60" w:firstLine="189"/>
        <w:spacing w:after="0" w:line="278" w:lineRule="auto"/>
        <w:rPr>
          <w:sz w:val="20"/>
          <w:szCs w:val="20"/>
          <w:color w:val="auto"/>
        </w:rPr>
      </w:pPr>
      <w:r>
        <w:rPr>
          <w:rFonts w:ascii="Arial" w:cs="Arial" w:eastAsia="Arial" w:hAnsi="Arial"/>
          <w:sz w:val="18"/>
          <w:szCs w:val="18"/>
          <w:color w:val="auto"/>
        </w:rPr>
        <w:t>e cannot guarantee that the results and other expectations expressed, anticipated or implied in any forward-looking statement will be reali ed. Applicable risks and uncertainties include, among others: execution of buying strategy and inventory management customer trends and preferences competition various marketing efforts operational and business expansion management of large si 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uarterly and annual operating results, financial performance, business plan prospects, investments and market expectations inventory or asset loss cash flow and plans with respect to long-term indebtedness mergers,</w:t>
      </w:r>
    </w:p>
    <w:p>
      <w:pPr>
        <w:spacing w:after="0" w:line="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ac 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compliance with laws, regulations and orders and changes in laws, regulations and applicable</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20"/>
          <w:szCs w:val="20"/>
          <w:color w:val="auto"/>
        </w:rPr>
        <w:t>accounting standards outcomes of litigation, legal proceedings and other legal or regulatory matters uality, safety and other issues with our merchandise tax matters and other factors set forth under Item 1A of this Form 10- , as well as the other information we file with the .S. Securities and Exchange Commission ( SEC ).</w:t>
      </w:r>
    </w:p>
    <w:p>
      <w:pPr>
        <w:spacing w:after="0" w:line="75" w:lineRule="exact"/>
        <w:rPr>
          <w:sz w:val="20"/>
          <w:szCs w:val="20"/>
          <w:color w:val="auto"/>
        </w:rPr>
      </w:pPr>
    </w:p>
    <w:p>
      <w:pPr>
        <w:ind w:right="40" w:firstLine="189"/>
        <w:spacing w:after="0" w:line="261" w:lineRule="auto"/>
        <w:rPr>
          <w:sz w:val="20"/>
          <w:szCs w:val="20"/>
          <w:color w:val="auto"/>
        </w:rPr>
      </w:pPr>
      <w:r>
        <w:rPr>
          <w:rFonts w:ascii="Arial" w:cs="Arial" w:eastAsia="Arial" w:hAnsi="Arial"/>
          <w:sz w:val="20"/>
          <w:szCs w:val="20"/>
          <w:color w:val="auto"/>
        </w:rPr>
        <w:t>e caution investors, potential investors and others not to place considerable reliance on the forward-looking statements contained in this Form 10- and our 2025 Annual eport to Shareholders. You are encouraged to read our filings with the SEC and any further disclosures we may make in our future reports to the SEC, available at www.sec.gov, on our website, or otherwise, for a discussion of these and other risks and uncertainties.</w:t>
      </w:r>
    </w:p>
    <w:p>
      <w:pPr>
        <w:spacing w:after="0" w:line="80" w:lineRule="exact"/>
        <w:rPr>
          <w:sz w:val="20"/>
          <w:szCs w:val="20"/>
          <w:color w:val="auto"/>
        </w:rPr>
      </w:pPr>
    </w:p>
    <w:p>
      <w:pPr>
        <w:ind w:firstLine="145"/>
        <w:spacing w:after="0" w:line="258" w:lineRule="auto"/>
        <w:rPr>
          <w:sz w:val="20"/>
          <w:szCs w:val="20"/>
          <w:color w:val="auto"/>
        </w:rPr>
      </w:pPr>
      <w:r>
        <w:rPr>
          <w:rFonts w:ascii="Arial" w:cs="Arial" w:eastAsia="Arial" w:hAnsi="Arial"/>
          <w:sz w:val="20"/>
          <w:szCs w:val="20"/>
          <w:color w:val="auto"/>
        </w:rPr>
        <w:t>ur forward-looking statements in this Form 10- and our 2025 Annual eport to Shareholders speak only as of the date of this Form 10- , and we undertake no obligation to update or revise any of these statements even if experience or future changes make it clear that any projected results expressed or implied in such statements will not be reali ed. ur business is subject to substantial risks and uncertainties, including those referenced above. Investors, potential investors, and others should give careful consideration to these risks and uncertainties.</w:t>
      </w:r>
    </w:p>
    <w:p>
      <w:pPr>
        <w:sectPr>
          <w:pgSz w:w="12240" w:h="15841" w:orient="portrait"/>
          <w:cols w:equalWidth="0" w:num="1">
            <w:col w:w="10240"/>
          </w:cols>
          <w:pgMar w:left="1000" w:top="77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1" w:orient="portrait"/>
          <w:cols w:equalWidth="0" w:num="1">
            <w:col w:w="10240"/>
          </w:cols>
          <w:pgMar w:left="1000" w:top="778" w:right="1001"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318"/>
        </w:trPr>
        <w:tc>
          <w:tcPr>
            <w:tcW w:w="560" w:type="dxa"/>
            <w:vAlign w:val="bottom"/>
            <w:gridSpan w:val="2"/>
          </w:tcPr>
          <w:p>
            <w:pPr>
              <w:ind w:left="120"/>
              <w:spacing w:after="0"/>
              <w:rPr>
                <w:sz w:val="20"/>
                <w:szCs w:val="20"/>
                <w:color w:val="auto"/>
              </w:rPr>
            </w:pPr>
            <w:r>
              <w:rPr>
                <w:rFonts w:ascii="Arial" w:cs="Arial" w:eastAsia="Arial" w:hAnsi="Arial"/>
                <w:sz w:val="24"/>
                <w:szCs w:val="24"/>
                <w:color w:val="auto"/>
              </w:rPr>
              <w:t>he</w:t>
            </w:r>
          </w:p>
        </w:tc>
        <w:tc>
          <w:tcPr>
            <w:tcW w:w="360" w:type="dxa"/>
            <w:vAlign w:val="bottom"/>
            <w:gridSpan w:val="2"/>
          </w:tcPr>
          <w:p>
            <w:pPr>
              <w:ind w:left="20"/>
              <w:spacing w:after="0"/>
              <w:rPr>
                <w:sz w:val="20"/>
                <w:szCs w:val="20"/>
                <w:color w:val="auto"/>
              </w:rPr>
            </w:pPr>
            <w:r>
              <w:rPr>
                <w:rFonts w:ascii="Arial" w:cs="Arial" w:eastAsia="Arial" w:hAnsi="Arial"/>
                <w:sz w:val="24"/>
                <w:szCs w:val="24"/>
                <w:color w:val="auto"/>
              </w:rPr>
              <w:t>J</w:t>
            </w:r>
          </w:p>
        </w:tc>
        <w:tc>
          <w:tcPr>
            <w:tcW w:w="2460" w:type="dxa"/>
            <w:vAlign w:val="bottom"/>
            <w:gridSpan w:val="8"/>
          </w:tcPr>
          <w:p>
            <w:pPr>
              <w:spacing w:after="0"/>
              <w:rPr>
                <w:sz w:val="20"/>
                <w:szCs w:val="20"/>
                <w:color w:val="auto"/>
              </w:rPr>
            </w:pPr>
            <w:r>
              <w:rPr>
                <w:rFonts w:ascii="Arial" w:cs="Arial" w:eastAsia="Arial" w:hAnsi="Arial"/>
                <w:sz w:val="24"/>
                <w:szCs w:val="24"/>
                <w:color w:val="auto"/>
              </w:rPr>
              <w:t>Companies, Inc.</w:t>
            </w: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9"/>
          </w:tcPr>
          <w:p>
            <w:pPr>
              <w:ind w:left="20"/>
              <w:spacing w:after="0"/>
              <w:rPr>
                <w:sz w:val="20"/>
                <w:szCs w:val="20"/>
                <w:color w:val="auto"/>
              </w:rPr>
            </w:pPr>
            <w:r>
              <w:rPr>
                <w:rFonts w:ascii="Arial" w:cs="Arial" w:eastAsia="Arial" w:hAnsi="Arial"/>
                <w:sz w:val="22"/>
                <w:szCs w:val="22"/>
                <w:color w:val="auto"/>
              </w:rPr>
              <w:t>OF CON   N S</w:t>
            </w: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22"/>
                <w:szCs w:val="22"/>
                <w:color w:val="303030"/>
              </w:rPr>
              <w:t>I</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Borders>
              <w:top w:val="single" w:sz="8" w:color="303030"/>
            </w:tcBorders>
          </w:tcPr>
          <w:p>
            <w:pPr>
              <w:spacing w:after="0"/>
              <w:rPr>
                <w:sz w:val="24"/>
                <w:szCs w:val="24"/>
                <w:color w:val="auto"/>
              </w:rPr>
            </w:pPr>
          </w:p>
        </w:tc>
        <w:tc>
          <w:tcPr>
            <w:tcW w:w="340" w:type="dxa"/>
            <w:vAlign w:val="bottom"/>
            <w:tcBorders>
              <w:top w:val="single" w:sz="8" w:color="303030"/>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180" w:type="dxa"/>
            <w:vAlign w:val="bottom"/>
            <w:tcBorders>
              <w:top w:val="single" w:sz="8" w:color="303030"/>
              <w:bottom w:val="single" w:sz="8" w:color="303030"/>
            </w:tcBorders>
          </w:tcPr>
          <w:p>
            <w:pPr>
              <w:spacing w:after="0"/>
              <w:rPr>
                <w:sz w:val="24"/>
                <w:szCs w:val="24"/>
                <w:color w:val="auto"/>
              </w:rPr>
            </w:pPr>
          </w:p>
        </w:tc>
        <w:tc>
          <w:tcPr>
            <w:tcW w:w="180" w:type="dxa"/>
            <w:vAlign w:val="bottom"/>
            <w:tcBorders>
              <w:bottom w:val="single" w:sz="8" w:color="303030"/>
            </w:tcBorders>
          </w:tcPr>
          <w:p>
            <w:pPr>
              <w:ind w:left="20"/>
              <w:spacing w:after="0"/>
              <w:rPr>
                <w:sz w:val="20"/>
                <w:szCs w:val="20"/>
                <w:color w:val="auto"/>
              </w:rPr>
            </w:pPr>
            <w:r>
              <w:rPr>
                <w:rFonts w:ascii="Arial" w:cs="Arial" w:eastAsia="Arial" w:hAnsi="Arial"/>
                <w:sz w:val="20"/>
                <w:szCs w:val="20"/>
                <w:color w:val="303030"/>
                <w:w w:val="83"/>
              </w:rPr>
              <w:t>1.</w:t>
            </w:r>
          </w:p>
        </w:tc>
        <w:tc>
          <w:tcPr>
            <w:tcW w:w="760" w:type="dxa"/>
            <w:vAlign w:val="bottom"/>
            <w:tcBorders>
              <w:bottom w:val="single" w:sz="8" w:color="303030"/>
            </w:tcBorders>
            <w:gridSpan w:val="2"/>
          </w:tcPr>
          <w:p>
            <w:pPr>
              <w:ind w:left="40"/>
              <w:spacing w:after="0"/>
              <w:rPr>
                <w:sz w:val="20"/>
                <w:szCs w:val="20"/>
                <w:color w:val="auto"/>
              </w:rPr>
            </w:pPr>
            <w:r>
              <w:rPr>
                <w:rFonts w:ascii="Arial" w:cs="Arial" w:eastAsia="Arial" w:hAnsi="Arial"/>
                <w:sz w:val="20"/>
                <w:szCs w:val="20"/>
                <w:color w:val="303030"/>
                <w:w w:val="86"/>
              </w:rPr>
              <w:t>Business</w:t>
            </w:r>
          </w:p>
        </w:tc>
        <w:tc>
          <w:tcPr>
            <w:tcW w:w="1700" w:type="dxa"/>
            <w:vAlign w:val="bottom"/>
            <w:gridSpan w:val="6"/>
          </w:tcPr>
          <w:p>
            <w:pPr>
              <w:spacing w:after="0"/>
              <w:rPr>
                <w:sz w:val="24"/>
                <w:szCs w:val="24"/>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180" w:type="dxa"/>
            <w:vAlign w:val="bottom"/>
          </w:tcPr>
          <w:p>
            <w:pPr>
              <w:spacing w:after="0" w:line="20" w:lineRule="exact"/>
              <w:rPr>
                <w:sz w:val="1"/>
                <w:szCs w:val="1"/>
                <w:color w:val="auto"/>
              </w:rPr>
            </w:pPr>
          </w:p>
        </w:tc>
        <w:tc>
          <w:tcPr>
            <w:tcW w:w="360" w:type="dxa"/>
            <w:vAlign w:val="bottom"/>
            <w:gridSpan w:val="2"/>
            <w:vMerge w:val="restart"/>
          </w:tcPr>
          <w:p>
            <w:pPr>
              <w:ind w:left="20"/>
              <w:spacing w:after="0"/>
              <w:rPr>
                <w:sz w:val="20"/>
                <w:szCs w:val="20"/>
                <w:color w:val="auto"/>
              </w:rPr>
            </w:pPr>
            <w:r>
              <w:rPr>
                <w:rFonts w:ascii="Arial" w:cs="Arial" w:eastAsia="Arial" w:hAnsi="Arial"/>
                <w:sz w:val="20"/>
                <w:szCs w:val="20"/>
                <w:color w:val="303030"/>
              </w:rPr>
              <w:t>1A.</w:t>
            </w:r>
          </w:p>
        </w:tc>
        <w:tc>
          <w:tcPr>
            <w:tcW w:w="1020" w:type="dxa"/>
            <w:vAlign w:val="bottom"/>
            <w:gridSpan w:val="3"/>
            <w:vMerge w:val="restart"/>
          </w:tcPr>
          <w:p>
            <w:pPr>
              <w:ind w:left="140"/>
              <w:spacing w:after="0"/>
              <w:rPr>
                <w:sz w:val="20"/>
                <w:szCs w:val="20"/>
                <w:color w:val="auto"/>
              </w:rPr>
            </w:pPr>
            <w:r>
              <w:rPr>
                <w:rFonts w:ascii="Arial" w:cs="Arial" w:eastAsia="Arial" w:hAnsi="Arial"/>
                <w:sz w:val="20"/>
                <w:szCs w:val="20"/>
                <w:color w:val="303030"/>
                <w:w w:val="88"/>
              </w:rPr>
              <w:t>isk Factors</w:t>
            </w:r>
          </w:p>
        </w:tc>
        <w:tc>
          <w:tcPr>
            <w:tcW w:w="1260" w:type="dxa"/>
            <w:vAlign w:val="bottom"/>
            <w:gridSpan w:val="4"/>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340" w:type="dxa"/>
            <w:vAlign w:val="bottom"/>
            <w:tcBorders>
              <w:bottom w:val="single" w:sz="8" w:color="303030"/>
            </w:tcBorders>
            <w:vMerge w:val="continue"/>
          </w:tcPr>
          <w:p>
            <w:pPr>
              <w:spacing w:after="0"/>
              <w:rPr>
                <w:sz w:val="22"/>
                <w:szCs w:val="22"/>
                <w:color w:val="auto"/>
              </w:rPr>
            </w:pPr>
          </w:p>
        </w:tc>
        <w:tc>
          <w:tcPr>
            <w:tcW w:w="180" w:type="dxa"/>
            <w:vAlign w:val="bottom"/>
            <w:tcBorders>
              <w:bottom w:val="single" w:sz="8" w:color="303030"/>
            </w:tcBorders>
          </w:tcPr>
          <w:p>
            <w:pPr>
              <w:spacing w:after="0"/>
              <w:rPr>
                <w:sz w:val="22"/>
                <w:szCs w:val="22"/>
                <w:color w:val="auto"/>
              </w:rPr>
            </w:pPr>
          </w:p>
        </w:tc>
        <w:tc>
          <w:tcPr>
            <w:tcW w:w="360" w:type="dxa"/>
            <w:vAlign w:val="bottom"/>
            <w:tcBorders>
              <w:bottom w:val="single" w:sz="8" w:color="303030"/>
            </w:tcBorders>
            <w:gridSpan w:val="2"/>
            <w:vMerge w:val="continue"/>
          </w:tcPr>
          <w:p>
            <w:pPr>
              <w:spacing w:after="0"/>
              <w:rPr>
                <w:sz w:val="22"/>
                <w:szCs w:val="22"/>
                <w:color w:val="auto"/>
              </w:rPr>
            </w:pPr>
          </w:p>
        </w:tc>
        <w:tc>
          <w:tcPr>
            <w:tcW w:w="1020" w:type="dxa"/>
            <w:vAlign w:val="bottom"/>
            <w:tcBorders>
              <w:bottom w:val="single" w:sz="8" w:color="303030"/>
            </w:tcBorders>
            <w:gridSpan w:val="3"/>
            <w:vMerge w:val="continue"/>
          </w:tcPr>
          <w:p>
            <w:pPr>
              <w:spacing w:after="0"/>
              <w:rPr>
                <w:sz w:val="22"/>
                <w:szCs w:val="22"/>
                <w:color w:val="auto"/>
              </w:rPr>
            </w:pPr>
          </w:p>
        </w:tc>
        <w:tc>
          <w:tcPr>
            <w:tcW w:w="1260" w:type="dxa"/>
            <w:vAlign w:val="bottom"/>
            <w:gridSpan w:val="4"/>
            <w:vMerge w:val="continue"/>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180" w:type="dxa"/>
            <w:vAlign w:val="bottom"/>
          </w:tcPr>
          <w:p>
            <w:pPr>
              <w:spacing w:after="0" w:line="20" w:lineRule="exact"/>
              <w:rPr>
                <w:sz w:val="1"/>
                <w:szCs w:val="1"/>
                <w:color w:val="auto"/>
              </w:rPr>
            </w:pPr>
          </w:p>
        </w:tc>
        <w:tc>
          <w:tcPr>
            <w:tcW w:w="360" w:type="dxa"/>
            <w:vAlign w:val="bottom"/>
            <w:gridSpan w:val="2"/>
            <w:vMerge w:val="restart"/>
          </w:tcPr>
          <w:p>
            <w:pPr>
              <w:ind w:left="20"/>
              <w:spacing w:after="0"/>
              <w:rPr>
                <w:sz w:val="20"/>
                <w:szCs w:val="20"/>
                <w:color w:val="auto"/>
              </w:rPr>
            </w:pPr>
            <w:r>
              <w:rPr>
                <w:rFonts w:ascii="Arial" w:cs="Arial" w:eastAsia="Arial" w:hAnsi="Arial"/>
                <w:sz w:val="20"/>
                <w:szCs w:val="20"/>
                <w:color w:val="303030"/>
              </w:rPr>
              <w:t>1B.</w:t>
            </w:r>
          </w:p>
        </w:tc>
        <w:tc>
          <w:tcPr>
            <w:tcW w:w="2280" w:type="dxa"/>
            <w:vAlign w:val="bottom"/>
            <w:gridSpan w:val="7"/>
            <w:vMerge w:val="restart"/>
          </w:tcPr>
          <w:p>
            <w:pPr>
              <w:ind w:left="140"/>
              <w:spacing w:after="0"/>
              <w:rPr>
                <w:sz w:val="20"/>
                <w:szCs w:val="20"/>
                <w:color w:val="auto"/>
              </w:rPr>
            </w:pPr>
            <w:r>
              <w:rPr>
                <w:rFonts w:ascii="Arial" w:cs="Arial" w:eastAsia="Arial" w:hAnsi="Arial"/>
                <w:sz w:val="20"/>
                <w:szCs w:val="20"/>
                <w:color w:val="303030"/>
                <w:w w:val="89"/>
              </w:rPr>
              <w:t>nresolved Staff Comments</w:t>
            </w:r>
          </w:p>
        </w:tc>
        <w:tc>
          <w:tcPr>
            <w:tcW w:w="6580" w:type="dxa"/>
            <w:vAlign w:val="bottom"/>
          </w:tcPr>
          <w:p>
            <w:pPr>
              <w:spacing w:after="0" w:line="20" w:lineRule="exact"/>
              <w:rPr>
                <w:sz w:val="1"/>
                <w:szCs w:val="1"/>
                <w:color w:val="auto"/>
              </w:rPr>
            </w:pPr>
          </w:p>
        </w:tc>
        <w:tc>
          <w:tcPr>
            <w:tcW w:w="200" w:type="dxa"/>
            <w:vAlign w:val="bottom"/>
            <w:gridSpan w:val="2"/>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340" w:type="dxa"/>
            <w:vAlign w:val="bottom"/>
            <w:tcBorders>
              <w:bottom w:val="single" w:sz="8" w:color="303030"/>
            </w:tcBorders>
            <w:vMerge w:val="continue"/>
          </w:tcPr>
          <w:p>
            <w:pPr>
              <w:spacing w:after="0"/>
              <w:rPr>
                <w:sz w:val="22"/>
                <w:szCs w:val="22"/>
                <w:color w:val="auto"/>
              </w:rPr>
            </w:pPr>
          </w:p>
        </w:tc>
        <w:tc>
          <w:tcPr>
            <w:tcW w:w="180" w:type="dxa"/>
            <w:vAlign w:val="bottom"/>
            <w:tcBorders>
              <w:bottom w:val="single" w:sz="8" w:color="303030"/>
            </w:tcBorders>
          </w:tcPr>
          <w:p>
            <w:pPr>
              <w:spacing w:after="0"/>
              <w:rPr>
                <w:sz w:val="22"/>
                <w:szCs w:val="22"/>
                <w:color w:val="auto"/>
              </w:rPr>
            </w:pPr>
          </w:p>
        </w:tc>
        <w:tc>
          <w:tcPr>
            <w:tcW w:w="360" w:type="dxa"/>
            <w:vAlign w:val="bottom"/>
            <w:tcBorders>
              <w:bottom w:val="single" w:sz="8" w:color="303030"/>
            </w:tcBorders>
            <w:gridSpan w:val="2"/>
            <w:vMerge w:val="continue"/>
          </w:tcPr>
          <w:p>
            <w:pPr>
              <w:spacing w:after="0"/>
              <w:rPr>
                <w:sz w:val="22"/>
                <w:szCs w:val="22"/>
                <w:color w:val="auto"/>
              </w:rPr>
            </w:pPr>
          </w:p>
        </w:tc>
        <w:tc>
          <w:tcPr>
            <w:tcW w:w="2280" w:type="dxa"/>
            <w:vAlign w:val="bottom"/>
            <w:tcBorders>
              <w:bottom w:val="single" w:sz="8" w:color="303030"/>
            </w:tcBorders>
            <w:gridSpan w:val="7"/>
            <w:vMerge w:val="continue"/>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180" w:type="dxa"/>
            <w:vAlign w:val="bottom"/>
          </w:tcPr>
          <w:p>
            <w:pPr>
              <w:spacing w:after="0" w:line="20" w:lineRule="exact"/>
              <w:rPr>
                <w:sz w:val="1"/>
                <w:szCs w:val="1"/>
                <w:color w:val="auto"/>
              </w:rPr>
            </w:pPr>
          </w:p>
        </w:tc>
        <w:tc>
          <w:tcPr>
            <w:tcW w:w="2640" w:type="dxa"/>
            <w:vAlign w:val="bottom"/>
            <w:gridSpan w:val="9"/>
            <w:vMerge w:val="restart"/>
          </w:tcPr>
          <w:p>
            <w:pPr>
              <w:ind w:left="20"/>
              <w:spacing w:after="0"/>
              <w:rPr>
                <w:sz w:val="20"/>
                <w:szCs w:val="20"/>
                <w:color w:val="auto"/>
              </w:rPr>
            </w:pPr>
            <w:r>
              <w:rPr>
                <w:rFonts w:ascii="Arial" w:cs="Arial" w:eastAsia="Arial" w:hAnsi="Arial"/>
                <w:sz w:val="20"/>
                <w:szCs w:val="20"/>
                <w:color w:val="303030"/>
              </w:rPr>
              <w:t>1C. Cybersecurity</w:t>
            </w:r>
          </w:p>
        </w:tc>
        <w:tc>
          <w:tcPr>
            <w:tcW w:w="6580" w:type="dxa"/>
            <w:vAlign w:val="bottom"/>
          </w:tcPr>
          <w:p>
            <w:pPr>
              <w:spacing w:after="0" w:line="20" w:lineRule="exact"/>
              <w:rPr>
                <w:sz w:val="1"/>
                <w:szCs w:val="1"/>
                <w:color w:val="auto"/>
              </w:rPr>
            </w:pPr>
          </w:p>
        </w:tc>
        <w:tc>
          <w:tcPr>
            <w:tcW w:w="200" w:type="dxa"/>
            <w:vAlign w:val="bottom"/>
            <w:gridSpan w:val="2"/>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640" w:type="dxa"/>
            <w:vAlign w:val="bottom"/>
            <w:gridSpan w:val="9"/>
            <w:vMerge w:val="continue"/>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tcBorders>
              <w:top w:val="single" w:sz="8" w:color="303030"/>
            </w:tcBorders>
            <w:vMerge w:val="restart"/>
          </w:tcPr>
          <w:p>
            <w:pPr>
              <w:spacing w:after="0"/>
              <w:rPr>
                <w:sz w:val="20"/>
                <w:szCs w:val="20"/>
                <w:color w:val="auto"/>
              </w:rPr>
            </w:pPr>
            <w:r>
              <w:rPr>
                <w:rFonts w:ascii="Arial" w:cs="Arial" w:eastAsia="Arial" w:hAnsi="Arial"/>
                <w:sz w:val="20"/>
                <w:szCs w:val="20"/>
                <w:color w:val="303030"/>
              </w:rPr>
              <w:t>ITE</w:t>
            </w:r>
          </w:p>
        </w:tc>
        <w:tc>
          <w:tcPr>
            <w:tcW w:w="360" w:type="dxa"/>
            <w:vAlign w:val="bottom"/>
            <w:tcBorders>
              <w:top w:val="single" w:sz="8" w:color="303030"/>
            </w:tcBorders>
            <w:gridSpan w:val="2"/>
            <w:vMerge w:val="restart"/>
          </w:tcPr>
          <w:p>
            <w:pPr>
              <w:ind w:left="200"/>
              <w:spacing w:after="0"/>
              <w:rPr>
                <w:sz w:val="20"/>
                <w:szCs w:val="20"/>
                <w:color w:val="auto"/>
              </w:rPr>
            </w:pPr>
            <w:r>
              <w:rPr>
                <w:rFonts w:ascii="Arial" w:cs="Arial" w:eastAsia="Arial" w:hAnsi="Arial"/>
                <w:sz w:val="20"/>
                <w:szCs w:val="20"/>
                <w:color w:val="303030"/>
                <w:w w:val="83"/>
              </w:rPr>
              <w:t>2.</w:t>
            </w:r>
          </w:p>
        </w:tc>
        <w:tc>
          <w:tcPr>
            <w:tcW w:w="860" w:type="dxa"/>
            <w:vAlign w:val="bottom"/>
            <w:tcBorders>
              <w:top w:val="single" w:sz="8" w:color="303030"/>
            </w:tcBorders>
            <w:gridSpan w:val="3"/>
            <w:vMerge w:val="restart"/>
          </w:tcPr>
          <w:p>
            <w:pPr>
              <w:ind w:left="40"/>
              <w:spacing w:after="0"/>
              <w:rPr>
                <w:sz w:val="20"/>
                <w:szCs w:val="20"/>
                <w:color w:val="auto"/>
              </w:rPr>
            </w:pPr>
            <w:r>
              <w:rPr>
                <w:rFonts w:ascii="Arial" w:cs="Arial" w:eastAsia="Arial" w:hAnsi="Arial"/>
                <w:sz w:val="20"/>
                <w:szCs w:val="20"/>
                <w:color w:val="303030"/>
                <w:w w:val="87"/>
              </w:rPr>
              <w:t>Properties</w:t>
            </w:r>
          </w:p>
        </w:tc>
        <w:tc>
          <w:tcPr>
            <w:tcW w:w="440" w:type="dxa"/>
            <w:vAlign w:val="bottom"/>
            <w:tcBorders>
              <w:top w:val="single" w:sz="8" w:color="303030"/>
            </w:tcBorders>
            <w:gridSpan w:val="2"/>
            <w:vMerge w:val="restart"/>
          </w:tcPr>
          <w:p>
            <w:pPr>
              <w:spacing w:after="0" w:line="20" w:lineRule="exact"/>
              <w:rPr>
                <w:sz w:val="1"/>
                <w:szCs w:val="1"/>
                <w:color w:val="auto"/>
              </w:rPr>
            </w:pPr>
          </w:p>
        </w:tc>
        <w:tc>
          <w:tcPr>
            <w:tcW w:w="1160" w:type="dxa"/>
            <w:vAlign w:val="bottom"/>
            <w:gridSpan w:val="3"/>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gridSpan w:val="2"/>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20" w:type="dxa"/>
            <w:vAlign w:val="bottom"/>
          </w:tcPr>
          <w:p>
            <w:pPr>
              <w:spacing w:after="0"/>
              <w:rPr>
                <w:sz w:val="22"/>
                <w:szCs w:val="22"/>
                <w:color w:val="auto"/>
              </w:rPr>
            </w:pPr>
          </w:p>
        </w:tc>
        <w:tc>
          <w:tcPr>
            <w:tcW w:w="340" w:type="dxa"/>
            <w:vAlign w:val="bottom"/>
            <w:tcBorders>
              <w:bottom w:val="single" w:sz="8" w:color="303030"/>
            </w:tcBorders>
            <w:vMerge w:val="continue"/>
          </w:tcPr>
          <w:p>
            <w:pPr>
              <w:spacing w:after="0"/>
              <w:rPr>
                <w:sz w:val="22"/>
                <w:szCs w:val="22"/>
                <w:color w:val="auto"/>
              </w:rPr>
            </w:pPr>
          </w:p>
        </w:tc>
        <w:tc>
          <w:tcPr>
            <w:tcW w:w="360" w:type="dxa"/>
            <w:vAlign w:val="bottom"/>
            <w:tcBorders>
              <w:bottom w:val="single" w:sz="8" w:color="303030"/>
            </w:tcBorders>
            <w:gridSpan w:val="2"/>
            <w:vMerge w:val="continue"/>
          </w:tcPr>
          <w:p>
            <w:pPr>
              <w:spacing w:after="0"/>
              <w:rPr>
                <w:sz w:val="22"/>
                <w:szCs w:val="22"/>
                <w:color w:val="auto"/>
              </w:rPr>
            </w:pPr>
          </w:p>
        </w:tc>
        <w:tc>
          <w:tcPr>
            <w:tcW w:w="860" w:type="dxa"/>
            <w:vAlign w:val="bottom"/>
            <w:tcBorders>
              <w:bottom w:val="single" w:sz="8" w:color="303030"/>
            </w:tcBorders>
            <w:gridSpan w:val="3"/>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360" w:type="dxa"/>
            <w:vAlign w:val="bottom"/>
            <w:gridSpan w:val="2"/>
            <w:vMerge w:val="restart"/>
          </w:tcPr>
          <w:p>
            <w:pPr>
              <w:ind w:left="200"/>
              <w:spacing w:after="0"/>
              <w:rPr>
                <w:sz w:val="20"/>
                <w:szCs w:val="20"/>
                <w:color w:val="auto"/>
              </w:rPr>
            </w:pPr>
            <w:r>
              <w:rPr>
                <w:rFonts w:ascii="Arial" w:cs="Arial" w:eastAsia="Arial" w:hAnsi="Arial"/>
                <w:sz w:val="20"/>
                <w:szCs w:val="20"/>
                <w:color w:val="303030"/>
                <w:w w:val="83"/>
              </w:rPr>
              <w:t>3.</w:t>
            </w:r>
          </w:p>
        </w:tc>
        <w:tc>
          <w:tcPr>
            <w:tcW w:w="2460" w:type="dxa"/>
            <w:vAlign w:val="bottom"/>
            <w:gridSpan w:val="8"/>
            <w:vMerge w:val="restart"/>
          </w:tcPr>
          <w:p>
            <w:pPr>
              <w:ind w:left="40"/>
              <w:spacing w:after="0"/>
              <w:rPr>
                <w:sz w:val="20"/>
                <w:szCs w:val="20"/>
                <w:color w:val="auto"/>
              </w:rPr>
            </w:pPr>
            <w:r>
              <w:rPr>
                <w:rFonts w:ascii="Arial" w:cs="Arial" w:eastAsia="Arial" w:hAnsi="Arial"/>
                <w:sz w:val="20"/>
                <w:szCs w:val="20"/>
                <w:color w:val="303030"/>
              </w:rPr>
              <w:t>Legal Proceedings</w:t>
            </w:r>
          </w:p>
        </w:tc>
        <w:tc>
          <w:tcPr>
            <w:tcW w:w="6580" w:type="dxa"/>
            <w:vAlign w:val="bottom"/>
          </w:tcPr>
          <w:p>
            <w:pPr>
              <w:spacing w:after="0" w:line="20" w:lineRule="exact"/>
              <w:rPr>
                <w:sz w:val="1"/>
                <w:szCs w:val="1"/>
                <w:color w:val="auto"/>
              </w:rPr>
            </w:pPr>
          </w:p>
        </w:tc>
        <w:tc>
          <w:tcPr>
            <w:tcW w:w="200" w:type="dxa"/>
            <w:vAlign w:val="bottom"/>
            <w:gridSpan w:val="2"/>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2460" w:type="dxa"/>
            <w:vAlign w:val="bottom"/>
            <w:gridSpan w:val="8"/>
            <w:vMerge w:val="continue"/>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303030"/>
          </w:tcPr>
          <w:p>
            <w:pPr>
              <w:spacing w:after="0" w:line="20" w:lineRule="exact"/>
              <w:rPr>
                <w:sz w:val="1"/>
                <w:szCs w:val="1"/>
                <w:color w:val="auto"/>
              </w:rPr>
            </w:pPr>
          </w:p>
        </w:tc>
        <w:tc>
          <w:tcPr>
            <w:tcW w:w="180" w:type="dxa"/>
            <w:vAlign w:val="bottom"/>
            <w:shd w:val="clear" w:color="auto" w:fill="303030"/>
          </w:tcPr>
          <w:p>
            <w:pPr>
              <w:spacing w:after="0" w:line="20" w:lineRule="exact"/>
              <w:rPr>
                <w:sz w:val="1"/>
                <w:szCs w:val="1"/>
                <w:color w:val="auto"/>
              </w:rPr>
            </w:pPr>
          </w:p>
        </w:tc>
        <w:tc>
          <w:tcPr>
            <w:tcW w:w="180" w:type="dxa"/>
            <w:vAlign w:val="bottom"/>
            <w:shd w:val="clear" w:color="auto" w:fill="303030"/>
          </w:tcPr>
          <w:p>
            <w:pPr>
              <w:spacing w:after="0" w:line="20" w:lineRule="exact"/>
              <w:rPr>
                <w:sz w:val="1"/>
                <w:szCs w:val="1"/>
                <w:color w:val="auto"/>
              </w:rPr>
            </w:pPr>
          </w:p>
        </w:tc>
        <w:tc>
          <w:tcPr>
            <w:tcW w:w="180" w:type="dxa"/>
            <w:vAlign w:val="bottom"/>
            <w:shd w:val="clear" w:color="auto" w:fill="303030"/>
          </w:tcPr>
          <w:p>
            <w:pPr>
              <w:spacing w:after="0" w:line="20" w:lineRule="exact"/>
              <w:rPr>
                <w:sz w:val="1"/>
                <w:szCs w:val="1"/>
                <w:color w:val="auto"/>
              </w:rPr>
            </w:pPr>
          </w:p>
        </w:tc>
        <w:tc>
          <w:tcPr>
            <w:tcW w:w="1340" w:type="dxa"/>
            <w:vAlign w:val="bottom"/>
            <w:gridSpan w:val="5"/>
            <w:shd w:val="clear" w:color="auto" w:fill="30303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30303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20"/>
                <w:szCs w:val="20"/>
                <w:color w:val="303030"/>
              </w:rPr>
              <w:t>ITE</w:t>
            </w:r>
          </w:p>
        </w:tc>
        <w:tc>
          <w:tcPr>
            <w:tcW w:w="360" w:type="dxa"/>
            <w:vAlign w:val="bottom"/>
            <w:gridSpan w:val="2"/>
          </w:tcPr>
          <w:p>
            <w:pPr>
              <w:ind w:left="200"/>
              <w:spacing w:after="0"/>
              <w:rPr>
                <w:sz w:val="20"/>
                <w:szCs w:val="20"/>
                <w:color w:val="auto"/>
              </w:rPr>
            </w:pPr>
            <w:r>
              <w:rPr>
                <w:rFonts w:ascii="Arial" w:cs="Arial" w:eastAsia="Arial" w:hAnsi="Arial"/>
                <w:sz w:val="20"/>
                <w:szCs w:val="20"/>
                <w:color w:val="303030"/>
                <w:w w:val="83"/>
              </w:rPr>
              <w:t>4.</w:t>
            </w:r>
          </w:p>
        </w:tc>
        <w:tc>
          <w:tcPr>
            <w:tcW w:w="180" w:type="dxa"/>
            <w:vAlign w:val="bottom"/>
          </w:tcPr>
          <w:p>
            <w:pPr>
              <w:spacing w:after="0"/>
              <w:rPr>
                <w:sz w:val="22"/>
                <w:szCs w:val="22"/>
                <w:color w:val="auto"/>
              </w:rPr>
            </w:pPr>
          </w:p>
        </w:tc>
        <w:tc>
          <w:tcPr>
            <w:tcW w:w="1840" w:type="dxa"/>
            <w:vAlign w:val="bottom"/>
            <w:gridSpan w:val="6"/>
          </w:tcPr>
          <w:p>
            <w:pPr>
              <w:ind w:left="40"/>
              <w:spacing w:after="0"/>
              <w:rPr>
                <w:sz w:val="20"/>
                <w:szCs w:val="20"/>
                <w:color w:val="auto"/>
              </w:rPr>
            </w:pPr>
            <w:r>
              <w:rPr>
                <w:rFonts w:ascii="Arial" w:cs="Arial" w:eastAsia="Arial" w:hAnsi="Arial"/>
                <w:sz w:val="20"/>
                <w:szCs w:val="20"/>
                <w:color w:val="303030"/>
                <w:w w:val="89"/>
              </w:rPr>
              <w:t>ine Safety Disclosures</w:t>
            </w:r>
          </w:p>
        </w:tc>
        <w:tc>
          <w:tcPr>
            <w:tcW w:w="440" w:type="dxa"/>
            <w:vAlign w:val="bottom"/>
          </w:tcPr>
          <w:p>
            <w:pPr>
              <w:spacing w:after="0"/>
              <w:rPr>
                <w:sz w:val="22"/>
                <w:szCs w:val="22"/>
                <w:color w:val="auto"/>
              </w:rPr>
            </w:pPr>
          </w:p>
        </w:tc>
        <w:tc>
          <w:tcPr>
            <w:tcW w:w="6780" w:type="dxa"/>
            <w:vAlign w:val="bottom"/>
            <w:gridSpan w:val="3"/>
          </w:tcPr>
          <w:p>
            <w:pPr>
              <w:jc w:val="right"/>
              <w:spacing w:after="0"/>
              <w:rPr>
                <w:sz w:val="20"/>
                <w:szCs w:val="20"/>
                <w:color w:val="auto"/>
              </w:rPr>
            </w:pPr>
            <w:r>
              <w:rPr>
                <w:rFonts w:ascii="Arial" w:cs="Arial" w:eastAsia="Arial" w:hAnsi="Arial"/>
                <w:sz w:val="20"/>
                <w:szCs w:val="20"/>
                <w:color w:val="303030"/>
              </w:rPr>
              <w:t>27</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340" w:type="dxa"/>
            <w:vAlign w:val="bottom"/>
            <w:shd w:val="clear" w:color="auto" w:fill="303030"/>
          </w:tcPr>
          <w:p>
            <w:pPr>
              <w:spacing w:after="0"/>
              <w:rPr>
                <w:sz w:val="2"/>
                <w:szCs w:val="2"/>
                <w:color w:val="auto"/>
              </w:rPr>
            </w:pPr>
          </w:p>
        </w:tc>
        <w:tc>
          <w:tcPr>
            <w:tcW w:w="180" w:type="dxa"/>
            <w:vAlign w:val="bottom"/>
            <w:shd w:val="clear" w:color="auto" w:fill="303030"/>
          </w:tcPr>
          <w:p>
            <w:pPr>
              <w:spacing w:after="0"/>
              <w:rPr>
                <w:sz w:val="2"/>
                <w:szCs w:val="2"/>
                <w:color w:val="auto"/>
              </w:rPr>
            </w:pPr>
          </w:p>
        </w:tc>
        <w:tc>
          <w:tcPr>
            <w:tcW w:w="180" w:type="dxa"/>
            <w:vAlign w:val="bottom"/>
            <w:shd w:val="clear" w:color="auto" w:fill="303030"/>
          </w:tcPr>
          <w:p>
            <w:pPr>
              <w:spacing w:after="0"/>
              <w:rPr>
                <w:sz w:val="2"/>
                <w:szCs w:val="2"/>
                <w:color w:val="auto"/>
              </w:rPr>
            </w:pPr>
          </w:p>
        </w:tc>
        <w:tc>
          <w:tcPr>
            <w:tcW w:w="180" w:type="dxa"/>
            <w:vAlign w:val="bottom"/>
            <w:shd w:val="clear" w:color="auto" w:fill="303030"/>
          </w:tcPr>
          <w:p>
            <w:pPr>
              <w:spacing w:after="0"/>
              <w:rPr>
                <w:sz w:val="2"/>
                <w:szCs w:val="2"/>
                <w:color w:val="auto"/>
              </w:rPr>
            </w:pPr>
          </w:p>
        </w:tc>
        <w:tc>
          <w:tcPr>
            <w:tcW w:w="580" w:type="dxa"/>
            <w:vAlign w:val="bottom"/>
            <w:shd w:val="clear" w:color="auto" w:fill="303030"/>
          </w:tcPr>
          <w:p>
            <w:pPr>
              <w:spacing w:after="0"/>
              <w:rPr>
                <w:sz w:val="2"/>
                <w:szCs w:val="2"/>
                <w:color w:val="auto"/>
              </w:rPr>
            </w:pPr>
          </w:p>
        </w:tc>
        <w:tc>
          <w:tcPr>
            <w:tcW w:w="100" w:type="dxa"/>
            <w:vAlign w:val="bottom"/>
            <w:shd w:val="clear" w:color="auto" w:fill="303030"/>
          </w:tcPr>
          <w:p>
            <w:pPr>
              <w:spacing w:after="0"/>
              <w:rPr>
                <w:sz w:val="2"/>
                <w:szCs w:val="2"/>
                <w:color w:val="auto"/>
              </w:rPr>
            </w:pPr>
          </w:p>
        </w:tc>
        <w:tc>
          <w:tcPr>
            <w:tcW w:w="340" w:type="dxa"/>
            <w:vAlign w:val="bottom"/>
            <w:shd w:val="clear" w:color="auto" w:fill="303030"/>
          </w:tcPr>
          <w:p>
            <w:pPr>
              <w:spacing w:after="0"/>
              <w:rPr>
                <w:sz w:val="2"/>
                <w:szCs w:val="2"/>
                <w:color w:val="auto"/>
              </w:rPr>
            </w:pPr>
          </w:p>
        </w:tc>
        <w:tc>
          <w:tcPr>
            <w:tcW w:w="100" w:type="dxa"/>
            <w:vAlign w:val="bottom"/>
            <w:shd w:val="clear" w:color="auto" w:fill="303030"/>
          </w:tcPr>
          <w:p>
            <w:pPr>
              <w:spacing w:after="0"/>
              <w:rPr>
                <w:sz w:val="2"/>
                <w:szCs w:val="2"/>
                <w:color w:val="auto"/>
              </w:rPr>
            </w:pPr>
          </w:p>
        </w:tc>
        <w:tc>
          <w:tcPr>
            <w:tcW w:w="220" w:type="dxa"/>
            <w:vAlign w:val="bottom"/>
            <w:shd w:val="clear" w:color="auto" w:fill="303030"/>
          </w:tcPr>
          <w:p>
            <w:pPr>
              <w:spacing w:after="0"/>
              <w:rPr>
                <w:sz w:val="2"/>
                <w:szCs w:val="2"/>
                <w:color w:val="auto"/>
              </w:rPr>
            </w:pPr>
          </w:p>
        </w:tc>
        <w:tc>
          <w:tcPr>
            <w:tcW w:w="500" w:type="dxa"/>
            <w:vAlign w:val="bottom"/>
            <w:shd w:val="clear" w:color="auto" w:fill="303030"/>
          </w:tcPr>
          <w:p>
            <w:pPr>
              <w:spacing w:after="0"/>
              <w:rPr>
                <w:sz w:val="2"/>
                <w:szCs w:val="2"/>
                <w:color w:val="auto"/>
              </w:rPr>
            </w:pPr>
          </w:p>
        </w:tc>
        <w:tc>
          <w:tcPr>
            <w:tcW w:w="4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303030"/>
          </w:tcPr>
          <w:p>
            <w:pPr>
              <w:spacing w:after="0"/>
              <w:rPr>
                <w:sz w:val="2"/>
                <w:szCs w:val="2"/>
                <w:color w:val="auto"/>
              </w:rPr>
            </w:pPr>
          </w:p>
        </w:tc>
        <w:tc>
          <w:tcPr>
            <w:tcW w:w="100" w:type="dxa"/>
            <w:vAlign w:val="bottom"/>
            <w:shd w:val="clear" w:color="auto" w:fill="30303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2240" w:h="15841" w:orient="portrait"/>
          <w:cols w:equalWidth="0" w:num="1">
            <w:col w:w="10160"/>
          </w:cols>
          <w:pgMar w:left="1040" w:top="771" w:right="1041"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22"/>
          <w:szCs w:val="22"/>
          <w:color w:val="303030"/>
        </w:rPr>
        <w:t>II</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40" w:type="dxa"/>
            <w:vAlign w:val="bottom"/>
            <w:tcBorders>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280" w:type="dxa"/>
            <w:vAlign w:val="bottom"/>
            <w:tcBorders>
              <w:bottom w:val="single" w:sz="8" w:color="303030"/>
            </w:tcBorders>
          </w:tcPr>
          <w:p>
            <w:pPr>
              <w:ind w:left="100"/>
              <w:spacing w:after="0"/>
              <w:rPr>
                <w:sz w:val="20"/>
                <w:szCs w:val="20"/>
                <w:color w:val="auto"/>
              </w:rPr>
            </w:pPr>
            <w:r>
              <w:rPr>
                <w:rFonts w:ascii="Arial" w:cs="Arial" w:eastAsia="Arial" w:hAnsi="Arial"/>
                <w:sz w:val="20"/>
                <w:szCs w:val="20"/>
                <w:color w:val="303030"/>
                <w:w w:val="95"/>
              </w:rPr>
              <w:t>5.</w:t>
            </w:r>
          </w:p>
        </w:tc>
        <w:tc>
          <w:tcPr>
            <w:tcW w:w="80" w:type="dxa"/>
            <w:vAlign w:val="bottom"/>
            <w:tcBorders>
              <w:bottom w:val="single" w:sz="8" w:color="303030"/>
            </w:tcBorders>
          </w:tcPr>
          <w:p>
            <w:pPr>
              <w:spacing w:after="0"/>
              <w:rPr>
                <w:sz w:val="19"/>
                <w:szCs w:val="19"/>
                <w:color w:val="auto"/>
              </w:rPr>
            </w:pPr>
          </w:p>
        </w:tc>
        <w:tc>
          <w:tcPr>
            <w:tcW w:w="60" w:type="dxa"/>
            <w:vAlign w:val="bottom"/>
            <w:tcBorders>
              <w:bottom w:val="single" w:sz="8" w:color="303030"/>
            </w:tcBorders>
          </w:tcPr>
          <w:p>
            <w:pPr>
              <w:spacing w:after="0"/>
              <w:rPr>
                <w:sz w:val="19"/>
                <w:szCs w:val="19"/>
                <w:color w:val="auto"/>
              </w:rPr>
            </w:pPr>
          </w:p>
        </w:tc>
        <w:tc>
          <w:tcPr>
            <w:tcW w:w="1040" w:type="dxa"/>
            <w:vAlign w:val="bottom"/>
            <w:tcBorders>
              <w:bottom w:val="single" w:sz="8" w:color="303030"/>
            </w:tcBorders>
            <w:gridSpan w:val="2"/>
          </w:tcPr>
          <w:p>
            <w:pPr>
              <w:ind w:left="60"/>
              <w:spacing w:after="0"/>
              <w:rPr>
                <w:sz w:val="20"/>
                <w:szCs w:val="20"/>
                <w:color w:val="auto"/>
              </w:rPr>
            </w:pPr>
            <w:r>
              <w:rPr>
                <w:rFonts w:ascii="Arial" w:cs="Arial" w:eastAsia="Arial" w:hAnsi="Arial"/>
                <w:sz w:val="20"/>
                <w:szCs w:val="20"/>
                <w:color w:val="303030"/>
                <w:w w:val="89"/>
              </w:rPr>
              <w:t>arket for the</w:t>
            </w:r>
          </w:p>
        </w:tc>
        <w:tc>
          <w:tcPr>
            <w:tcW w:w="4280" w:type="dxa"/>
            <w:vAlign w:val="bottom"/>
            <w:tcBorders>
              <w:bottom w:val="single" w:sz="8" w:color="303030"/>
            </w:tcBorders>
            <w:gridSpan w:val="5"/>
          </w:tcPr>
          <w:p>
            <w:pPr>
              <w:ind w:left="180"/>
              <w:spacing w:after="0"/>
              <w:rPr>
                <w:sz w:val="20"/>
                <w:szCs w:val="20"/>
                <w:color w:val="auto"/>
              </w:rPr>
            </w:pPr>
            <w:r>
              <w:rPr>
                <w:rFonts w:ascii="Arial" w:cs="Arial" w:eastAsia="Arial" w:hAnsi="Arial"/>
                <w:sz w:val="20"/>
                <w:szCs w:val="20"/>
                <w:color w:val="303030"/>
                <w:w w:val="98"/>
              </w:rPr>
              <w:t>egistrant’s Common E uity,  elated Stockholder</w:t>
            </w:r>
          </w:p>
        </w:tc>
        <w:tc>
          <w:tcPr>
            <w:tcW w:w="3060" w:type="dxa"/>
            <w:vAlign w:val="bottom"/>
            <w:tcBorders>
              <w:bottom w:val="single" w:sz="8" w:color="303030"/>
            </w:tcBorders>
            <w:gridSpan w:val="4"/>
          </w:tcPr>
          <w:p>
            <w:pPr>
              <w:ind w:left="60"/>
              <w:spacing w:after="0"/>
              <w:rPr>
                <w:sz w:val="20"/>
                <w:szCs w:val="20"/>
                <w:color w:val="auto"/>
              </w:rPr>
            </w:pPr>
            <w:r>
              <w:rPr>
                <w:rFonts w:ascii="Arial" w:cs="Arial" w:eastAsia="Arial" w:hAnsi="Arial"/>
                <w:sz w:val="20"/>
                <w:szCs w:val="20"/>
                <w:color w:val="303030"/>
                <w:w w:val="91"/>
              </w:rPr>
              <w:t>atters and Issuer Purchases of E uity</w:t>
            </w:r>
          </w:p>
        </w:tc>
      </w:tr>
      <w:tr>
        <w:trPr>
          <w:trHeight w:val="180"/>
        </w:trPr>
        <w:tc>
          <w:tcPr>
            <w:tcW w:w="860" w:type="dxa"/>
            <w:vAlign w:val="bottom"/>
            <w:gridSpan w:val="4"/>
          </w:tcPr>
          <w:p>
            <w:pPr>
              <w:spacing w:after="0" w:line="180" w:lineRule="exact"/>
              <w:rPr>
                <w:sz w:val="20"/>
                <w:szCs w:val="20"/>
                <w:color w:val="auto"/>
              </w:rPr>
            </w:pPr>
            <w:r>
              <w:rPr>
                <w:rFonts w:ascii="Arial" w:cs="Arial" w:eastAsia="Arial" w:hAnsi="Arial"/>
                <w:sz w:val="20"/>
                <w:szCs w:val="20"/>
                <w:color w:val="303030"/>
                <w:w w:val="95"/>
              </w:rPr>
              <w:t>Securities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5"/>
        </w:trPr>
        <w:tc>
          <w:tcPr>
            <w:tcW w:w="440" w:type="dxa"/>
            <w:vAlign w:val="bottom"/>
            <w:tcBorders>
              <w:top w:val="single" w:sz="8" w:color="303030"/>
            </w:tcBorders>
          </w:tcPr>
          <w:p>
            <w:pPr>
              <w:spacing w:after="0"/>
              <w:rPr>
                <w:sz w:val="20"/>
                <w:szCs w:val="20"/>
                <w:color w:val="auto"/>
              </w:rPr>
            </w:pPr>
            <w:r>
              <w:rPr>
                <w:rFonts w:ascii="Arial" w:cs="Arial" w:eastAsia="Arial" w:hAnsi="Arial"/>
                <w:sz w:val="20"/>
                <w:szCs w:val="20"/>
                <w:color w:val="303030"/>
              </w:rPr>
              <w:t>ITE</w:t>
            </w:r>
          </w:p>
        </w:tc>
        <w:tc>
          <w:tcPr>
            <w:tcW w:w="280" w:type="dxa"/>
            <w:vAlign w:val="bottom"/>
            <w:tcBorders>
              <w:top w:val="single" w:sz="8" w:color="303030"/>
            </w:tcBorders>
          </w:tcPr>
          <w:p>
            <w:pPr>
              <w:ind w:left="100"/>
              <w:spacing w:after="0"/>
              <w:rPr>
                <w:sz w:val="20"/>
                <w:szCs w:val="20"/>
                <w:color w:val="auto"/>
              </w:rPr>
            </w:pPr>
            <w:r>
              <w:rPr>
                <w:rFonts w:ascii="Arial" w:cs="Arial" w:eastAsia="Arial" w:hAnsi="Arial"/>
                <w:sz w:val="20"/>
                <w:szCs w:val="20"/>
                <w:color w:val="303030"/>
                <w:w w:val="95"/>
              </w:rPr>
              <w:t>6.</w:t>
            </w:r>
          </w:p>
        </w:tc>
        <w:tc>
          <w:tcPr>
            <w:tcW w:w="80" w:type="dxa"/>
            <w:vAlign w:val="bottom"/>
            <w:tcBorders>
              <w:top w:val="single" w:sz="8" w:color="303030"/>
            </w:tcBorders>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color w:val="303030"/>
              </w:rPr>
              <w:t>eserved</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
        </w:trPr>
        <w:tc>
          <w:tcPr>
            <w:tcW w:w="440" w:type="dxa"/>
            <w:vAlign w:val="bottom"/>
            <w:shd w:val="clear" w:color="auto" w:fill="303030"/>
          </w:tcPr>
          <w:p>
            <w:pPr>
              <w:spacing w:after="0" w:line="20" w:lineRule="exact"/>
              <w:rPr>
                <w:sz w:val="1"/>
                <w:szCs w:val="1"/>
                <w:color w:val="auto"/>
              </w:rPr>
            </w:pPr>
          </w:p>
        </w:tc>
        <w:tc>
          <w:tcPr>
            <w:tcW w:w="280" w:type="dxa"/>
            <w:vAlign w:val="bottom"/>
            <w:shd w:val="clear" w:color="auto" w:fill="303030"/>
          </w:tcPr>
          <w:p>
            <w:pPr>
              <w:spacing w:after="0" w:line="20" w:lineRule="exact"/>
              <w:rPr>
                <w:sz w:val="1"/>
                <w:szCs w:val="1"/>
                <w:color w:val="auto"/>
              </w:rPr>
            </w:pPr>
          </w:p>
        </w:tc>
        <w:tc>
          <w:tcPr>
            <w:tcW w:w="80" w:type="dxa"/>
            <w:vAlign w:val="bottom"/>
            <w:shd w:val="clear" w:color="auto" w:fill="303030"/>
          </w:tcPr>
          <w:p>
            <w:pPr>
              <w:spacing w:after="0" w:line="20" w:lineRule="exact"/>
              <w:rPr>
                <w:sz w:val="1"/>
                <w:szCs w:val="1"/>
                <w:color w:val="auto"/>
              </w:rPr>
            </w:pPr>
          </w:p>
        </w:tc>
        <w:tc>
          <w:tcPr>
            <w:tcW w:w="60" w:type="dxa"/>
            <w:vAlign w:val="bottom"/>
            <w:shd w:val="clear" w:color="auto" w:fill="303030"/>
          </w:tcPr>
          <w:p>
            <w:pPr>
              <w:spacing w:after="0" w:line="20" w:lineRule="exact"/>
              <w:rPr>
                <w:sz w:val="1"/>
                <w:szCs w:val="1"/>
                <w:color w:val="auto"/>
              </w:rPr>
            </w:pPr>
          </w:p>
        </w:tc>
        <w:tc>
          <w:tcPr>
            <w:tcW w:w="620" w:type="dxa"/>
            <w:vAlign w:val="bottom"/>
            <w:shd w:val="clear" w:color="auto" w:fill="30303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0"/>
        </w:trPr>
        <w:tc>
          <w:tcPr>
            <w:tcW w:w="440" w:type="dxa"/>
            <w:vAlign w:val="bottom"/>
          </w:tcPr>
          <w:p>
            <w:pPr>
              <w:spacing w:after="0"/>
              <w:rPr>
                <w:sz w:val="20"/>
                <w:szCs w:val="20"/>
                <w:color w:val="auto"/>
              </w:rPr>
            </w:pPr>
            <w:r>
              <w:rPr>
                <w:rFonts w:ascii="Arial" w:cs="Arial" w:eastAsia="Arial" w:hAnsi="Arial"/>
                <w:sz w:val="20"/>
                <w:szCs w:val="20"/>
                <w:color w:val="303030"/>
              </w:rPr>
              <w:t>ITE</w:t>
            </w:r>
          </w:p>
        </w:tc>
        <w:tc>
          <w:tcPr>
            <w:tcW w:w="280" w:type="dxa"/>
            <w:vAlign w:val="bottom"/>
          </w:tcPr>
          <w:p>
            <w:pPr>
              <w:ind w:left="100"/>
              <w:spacing w:after="0"/>
              <w:rPr>
                <w:sz w:val="20"/>
                <w:szCs w:val="20"/>
                <w:color w:val="auto"/>
              </w:rPr>
            </w:pPr>
            <w:r>
              <w:rPr>
                <w:rFonts w:ascii="Arial" w:cs="Arial" w:eastAsia="Arial" w:hAnsi="Arial"/>
                <w:sz w:val="20"/>
                <w:szCs w:val="20"/>
                <w:color w:val="303030"/>
                <w:w w:val="95"/>
              </w:rPr>
              <w:t>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7"/>
          </w:tcPr>
          <w:p>
            <w:pPr>
              <w:ind w:left="60"/>
              <w:spacing w:after="0"/>
              <w:rPr>
                <w:sz w:val="20"/>
                <w:szCs w:val="20"/>
                <w:color w:val="auto"/>
              </w:rPr>
            </w:pPr>
            <w:r>
              <w:rPr>
                <w:rFonts w:ascii="Arial" w:cs="Arial" w:eastAsia="Arial" w:hAnsi="Arial"/>
                <w:sz w:val="20"/>
                <w:szCs w:val="20"/>
                <w:color w:val="303030"/>
                <w:w w:val="91"/>
              </w:rPr>
              <w:t>anagement s Discussion and Analysis of Financial Condition and</w:t>
            </w:r>
          </w:p>
        </w:tc>
        <w:tc>
          <w:tcPr>
            <w:tcW w:w="3060" w:type="dxa"/>
            <w:vAlign w:val="bottom"/>
            <w:gridSpan w:val="4"/>
          </w:tcPr>
          <w:p>
            <w:pPr>
              <w:ind w:left="120"/>
              <w:spacing w:after="0"/>
              <w:rPr>
                <w:sz w:val="20"/>
                <w:szCs w:val="20"/>
                <w:color w:val="auto"/>
              </w:rPr>
            </w:pPr>
            <w:r>
              <w:rPr>
                <w:rFonts w:ascii="Arial" w:cs="Arial" w:eastAsia="Arial" w:hAnsi="Arial"/>
                <w:sz w:val="20"/>
                <w:szCs w:val="20"/>
                <w:color w:val="303030"/>
              </w:rPr>
              <w:t>esults of  peration</w:t>
            </w:r>
          </w:p>
        </w:tc>
      </w:tr>
      <w:tr>
        <w:trPr>
          <w:trHeight w:val="280"/>
        </w:trPr>
        <w:tc>
          <w:tcPr>
            <w:tcW w:w="440" w:type="dxa"/>
            <w:vAlign w:val="bottom"/>
            <w:tcBorders>
              <w:top w:val="single" w:sz="8" w:color="303030"/>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420" w:type="dxa"/>
            <w:vAlign w:val="bottom"/>
            <w:tcBorders>
              <w:top w:val="single" w:sz="8" w:color="303030"/>
              <w:bottom w:val="single" w:sz="8" w:color="303030"/>
            </w:tcBorders>
            <w:gridSpan w:val="3"/>
          </w:tcPr>
          <w:p>
            <w:pPr>
              <w:ind w:left="100"/>
              <w:spacing w:after="0"/>
              <w:rPr>
                <w:sz w:val="20"/>
                <w:szCs w:val="20"/>
                <w:color w:val="auto"/>
              </w:rPr>
            </w:pPr>
            <w:r>
              <w:rPr>
                <w:rFonts w:ascii="Arial" w:cs="Arial" w:eastAsia="Arial" w:hAnsi="Arial"/>
                <w:sz w:val="20"/>
                <w:szCs w:val="20"/>
                <w:color w:val="303030"/>
                <w:w w:val="99"/>
              </w:rPr>
              <w:t>7A.</w:t>
            </w:r>
          </w:p>
        </w:tc>
        <w:tc>
          <w:tcPr>
            <w:tcW w:w="4740" w:type="dxa"/>
            <w:vAlign w:val="bottom"/>
            <w:tcBorders>
              <w:top w:val="single" w:sz="8" w:color="303030"/>
              <w:bottom w:val="single" w:sz="8" w:color="303030"/>
            </w:tcBorders>
            <w:gridSpan w:val="6"/>
          </w:tcPr>
          <w:p>
            <w:pPr>
              <w:ind w:left="180"/>
              <w:spacing w:after="0"/>
              <w:rPr>
                <w:sz w:val="20"/>
                <w:szCs w:val="20"/>
                <w:color w:val="auto"/>
              </w:rPr>
            </w:pPr>
            <w:r>
              <w:rPr>
                <w:rFonts w:ascii="Arial" w:cs="Arial" w:eastAsia="Arial" w:hAnsi="Arial"/>
                <w:sz w:val="20"/>
                <w:szCs w:val="20"/>
                <w:color w:val="303030"/>
                <w:w w:val="97"/>
              </w:rPr>
              <w:t>uantitative and  ualitative Disclosure about  arket  isk</w:t>
            </w:r>
          </w:p>
        </w:tc>
        <w:tc>
          <w:tcPr>
            <w:tcW w:w="580" w:type="dxa"/>
            <w:vAlign w:val="bottom"/>
            <w:tcBorders>
              <w:top w:val="single" w:sz="8" w:color="303030"/>
            </w:tcBorders>
          </w:tcPr>
          <w:p>
            <w:pPr>
              <w:spacing w:after="0"/>
              <w:rPr>
                <w:sz w:val="24"/>
                <w:szCs w:val="24"/>
                <w:color w:val="auto"/>
              </w:rPr>
            </w:pPr>
          </w:p>
        </w:tc>
        <w:tc>
          <w:tcPr>
            <w:tcW w:w="140" w:type="dxa"/>
            <w:vAlign w:val="bottom"/>
            <w:tcBorders>
              <w:top w:val="single" w:sz="8" w:color="303030"/>
            </w:tcBorders>
          </w:tcPr>
          <w:p>
            <w:pPr>
              <w:spacing w:after="0"/>
              <w:rPr>
                <w:sz w:val="24"/>
                <w:szCs w:val="24"/>
                <w:color w:val="auto"/>
              </w:rPr>
            </w:pPr>
          </w:p>
        </w:tc>
        <w:tc>
          <w:tcPr>
            <w:tcW w:w="1500" w:type="dxa"/>
            <w:vAlign w:val="bottom"/>
            <w:tcBorders>
              <w:top w:val="single" w:sz="8" w:color="303030"/>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440" w:type="dxa"/>
            <w:vAlign w:val="bottom"/>
          </w:tcPr>
          <w:p>
            <w:pPr>
              <w:spacing w:after="0"/>
              <w:rPr>
                <w:sz w:val="20"/>
                <w:szCs w:val="20"/>
                <w:color w:val="auto"/>
              </w:rPr>
            </w:pPr>
            <w:r>
              <w:rPr>
                <w:rFonts w:ascii="Arial" w:cs="Arial" w:eastAsia="Arial" w:hAnsi="Arial"/>
                <w:sz w:val="20"/>
                <w:szCs w:val="20"/>
                <w:color w:val="303030"/>
              </w:rPr>
              <w:t>ITE</w:t>
            </w:r>
          </w:p>
        </w:tc>
        <w:tc>
          <w:tcPr>
            <w:tcW w:w="280" w:type="dxa"/>
            <w:vAlign w:val="bottom"/>
          </w:tcPr>
          <w:p>
            <w:pPr>
              <w:ind w:left="100"/>
              <w:spacing w:after="0"/>
              <w:rPr>
                <w:sz w:val="20"/>
                <w:szCs w:val="20"/>
                <w:color w:val="auto"/>
              </w:rPr>
            </w:pPr>
            <w:r>
              <w:rPr>
                <w:rFonts w:ascii="Arial" w:cs="Arial" w:eastAsia="Arial" w:hAnsi="Arial"/>
                <w:sz w:val="20"/>
                <w:szCs w:val="20"/>
                <w:color w:val="303030"/>
                <w:w w:val="95"/>
              </w:rPr>
              <w:t>8.</w:t>
            </w:r>
          </w:p>
        </w:tc>
        <w:tc>
          <w:tcPr>
            <w:tcW w:w="5460" w:type="dxa"/>
            <w:vAlign w:val="bottom"/>
            <w:gridSpan w:val="9"/>
          </w:tcPr>
          <w:p>
            <w:pPr>
              <w:ind w:left="20"/>
              <w:spacing w:after="0"/>
              <w:rPr>
                <w:sz w:val="20"/>
                <w:szCs w:val="20"/>
                <w:color w:val="auto"/>
              </w:rPr>
            </w:pPr>
            <w:r>
              <w:rPr>
                <w:rFonts w:ascii="Arial" w:cs="Arial" w:eastAsia="Arial" w:hAnsi="Arial"/>
                <w:sz w:val="20"/>
                <w:szCs w:val="20"/>
                <w:color w:val="303030"/>
              </w:rPr>
              <w:t>Financial Statements and Supplementary Data</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440" w:type="dxa"/>
            <w:vAlign w:val="bottom"/>
            <w:shd w:val="clear" w:color="auto" w:fill="303030"/>
          </w:tcPr>
          <w:p>
            <w:pPr>
              <w:spacing w:after="0" w:line="20" w:lineRule="exact"/>
              <w:rPr>
                <w:sz w:val="1"/>
                <w:szCs w:val="1"/>
                <w:color w:val="auto"/>
              </w:rPr>
            </w:pPr>
          </w:p>
        </w:tc>
        <w:tc>
          <w:tcPr>
            <w:tcW w:w="1900" w:type="dxa"/>
            <w:vAlign w:val="bottom"/>
            <w:gridSpan w:val="6"/>
            <w:shd w:val="clear" w:color="auto" w:fill="303030"/>
          </w:tcPr>
          <w:p>
            <w:pPr>
              <w:spacing w:after="0" w:line="20" w:lineRule="exact"/>
              <w:rPr>
                <w:sz w:val="1"/>
                <w:szCs w:val="1"/>
                <w:color w:val="auto"/>
              </w:rPr>
            </w:pPr>
          </w:p>
        </w:tc>
        <w:tc>
          <w:tcPr>
            <w:tcW w:w="520" w:type="dxa"/>
            <w:vAlign w:val="bottom"/>
            <w:shd w:val="clear" w:color="auto" w:fill="303030"/>
          </w:tcPr>
          <w:p>
            <w:pPr>
              <w:spacing w:after="0" w:line="20" w:lineRule="exact"/>
              <w:rPr>
                <w:sz w:val="1"/>
                <w:szCs w:val="1"/>
                <w:color w:val="auto"/>
              </w:rPr>
            </w:pPr>
          </w:p>
        </w:tc>
        <w:tc>
          <w:tcPr>
            <w:tcW w:w="1580" w:type="dxa"/>
            <w:vAlign w:val="bottom"/>
            <w:shd w:val="clear" w:color="auto" w:fill="30303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0"/>
        </w:trPr>
        <w:tc>
          <w:tcPr>
            <w:tcW w:w="440" w:type="dxa"/>
            <w:vAlign w:val="bottom"/>
          </w:tcPr>
          <w:p>
            <w:pPr>
              <w:spacing w:after="0"/>
              <w:rPr>
                <w:sz w:val="20"/>
                <w:szCs w:val="20"/>
                <w:color w:val="auto"/>
              </w:rPr>
            </w:pPr>
            <w:r>
              <w:rPr>
                <w:rFonts w:ascii="Arial" w:cs="Arial" w:eastAsia="Arial" w:hAnsi="Arial"/>
                <w:sz w:val="20"/>
                <w:szCs w:val="20"/>
                <w:color w:val="303030"/>
              </w:rPr>
              <w:t>ITE</w:t>
            </w:r>
          </w:p>
        </w:tc>
        <w:tc>
          <w:tcPr>
            <w:tcW w:w="8800" w:type="dxa"/>
            <w:vAlign w:val="bottom"/>
            <w:gridSpan w:val="14"/>
          </w:tcPr>
          <w:p>
            <w:pPr>
              <w:ind w:left="200"/>
              <w:spacing w:after="0"/>
              <w:rPr>
                <w:sz w:val="20"/>
                <w:szCs w:val="20"/>
                <w:color w:val="auto"/>
              </w:rPr>
            </w:pPr>
            <w:r>
              <w:rPr>
                <w:rFonts w:ascii="Arial" w:cs="Arial" w:eastAsia="Arial" w:hAnsi="Arial"/>
                <w:sz w:val="20"/>
                <w:szCs w:val="20"/>
                <w:color w:val="303030"/>
              </w:rPr>
              <w:t>. Changes in and Disagreements with Accountants on Accounting and Financial Disclosure</w:t>
            </w:r>
          </w:p>
        </w:tc>
      </w:tr>
      <w:tr>
        <w:trPr>
          <w:trHeight w:val="280"/>
        </w:trPr>
        <w:tc>
          <w:tcPr>
            <w:tcW w:w="440" w:type="dxa"/>
            <w:vAlign w:val="bottom"/>
            <w:tcBorders>
              <w:top w:val="single" w:sz="8" w:color="303030"/>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2420" w:type="dxa"/>
            <w:vAlign w:val="bottom"/>
            <w:tcBorders>
              <w:top w:val="single" w:sz="8" w:color="303030"/>
              <w:bottom w:val="single" w:sz="8" w:color="303030"/>
            </w:tcBorders>
            <w:gridSpan w:val="7"/>
          </w:tcPr>
          <w:p>
            <w:pPr>
              <w:ind w:left="200"/>
              <w:spacing w:after="0"/>
              <w:rPr>
                <w:sz w:val="20"/>
                <w:szCs w:val="20"/>
                <w:color w:val="auto"/>
              </w:rPr>
            </w:pPr>
            <w:r>
              <w:rPr>
                <w:rFonts w:ascii="Arial" w:cs="Arial" w:eastAsia="Arial" w:hAnsi="Arial"/>
                <w:sz w:val="20"/>
                <w:szCs w:val="20"/>
                <w:color w:val="303030"/>
                <w:w w:val="89"/>
              </w:rPr>
              <w:t>A. Controls and Procedures</w:t>
            </w:r>
          </w:p>
        </w:tc>
        <w:tc>
          <w:tcPr>
            <w:tcW w:w="3320" w:type="dxa"/>
            <w:vAlign w:val="bottom"/>
            <w:tcBorders>
              <w:top w:val="single" w:sz="8" w:color="303030"/>
            </w:tcBorders>
            <w:gridSpan w:val="3"/>
          </w:tcPr>
          <w:p>
            <w:pPr>
              <w:spacing w:after="0"/>
              <w:rPr>
                <w:sz w:val="24"/>
                <w:szCs w:val="24"/>
                <w:color w:val="auto"/>
              </w:rPr>
            </w:pPr>
          </w:p>
        </w:tc>
        <w:tc>
          <w:tcPr>
            <w:tcW w:w="140" w:type="dxa"/>
            <w:vAlign w:val="bottom"/>
            <w:tcBorders>
              <w:top w:val="single" w:sz="8" w:color="303030"/>
            </w:tcBorders>
          </w:tcPr>
          <w:p>
            <w:pPr>
              <w:spacing w:after="0"/>
              <w:rPr>
                <w:sz w:val="24"/>
                <w:szCs w:val="24"/>
                <w:color w:val="auto"/>
              </w:rPr>
            </w:pPr>
          </w:p>
        </w:tc>
        <w:tc>
          <w:tcPr>
            <w:tcW w:w="1500" w:type="dxa"/>
            <w:vAlign w:val="bottom"/>
            <w:tcBorders>
              <w:top w:val="single" w:sz="8" w:color="303030"/>
            </w:tcBorders>
          </w:tcPr>
          <w:p>
            <w:pPr>
              <w:spacing w:after="0"/>
              <w:rPr>
                <w:sz w:val="24"/>
                <w:szCs w:val="24"/>
                <w:color w:val="auto"/>
              </w:rPr>
            </w:pPr>
          </w:p>
        </w:tc>
        <w:tc>
          <w:tcPr>
            <w:tcW w:w="120" w:type="dxa"/>
            <w:vAlign w:val="bottom"/>
            <w:tcBorders>
              <w:top w:val="single" w:sz="8" w:color="303030"/>
            </w:tcBorders>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440" w:type="dxa"/>
            <w:vAlign w:val="bottom"/>
            <w:tcBorders>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420" w:type="dxa"/>
            <w:vAlign w:val="bottom"/>
            <w:tcBorders>
              <w:bottom w:val="single" w:sz="8" w:color="303030"/>
            </w:tcBorders>
            <w:gridSpan w:val="3"/>
          </w:tcPr>
          <w:p>
            <w:pPr>
              <w:ind w:left="200"/>
              <w:spacing w:after="0"/>
              <w:rPr>
                <w:sz w:val="20"/>
                <w:szCs w:val="20"/>
                <w:color w:val="auto"/>
              </w:rPr>
            </w:pPr>
            <w:r>
              <w:rPr>
                <w:rFonts w:ascii="Arial" w:cs="Arial" w:eastAsia="Arial" w:hAnsi="Arial"/>
                <w:sz w:val="20"/>
                <w:szCs w:val="20"/>
                <w:color w:val="303030"/>
              </w:rPr>
              <w:t>B.</w:t>
            </w:r>
          </w:p>
        </w:tc>
        <w:tc>
          <w:tcPr>
            <w:tcW w:w="1480" w:type="dxa"/>
            <w:vAlign w:val="bottom"/>
            <w:tcBorders>
              <w:bottom w:val="single" w:sz="8" w:color="303030"/>
            </w:tcBorders>
            <w:gridSpan w:val="3"/>
          </w:tcPr>
          <w:p>
            <w:pPr>
              <w:ind w:left="160"/>
              <w:spacing w:after="0"/>
              <w:rPr>
                <w:sz w:val="20"/>
                <w:szCs w:val="20"/>
                <w:color w:val="auto"/>
              </w:rPr>
            </w:pPr>
            <w:r>
              <w:rPr>
                <w:rFonts w:ascii="Arial" w:cs="Arial" w:eastAsia="Arial" w:hAnsi="Arial"/>
                <w:sz w:val="20"/>
                <w:szCs w:val="20"/>
                <w:color w:val="303030"/>
                <w:w w:val="92"/>
              </w:rPr>
              <w:t>ther Information</w:t>
            </w:r>
          </w:p>
        </w:tc>
        <w:tc>
          <w:tcPr>
            <w:tcW w:w="38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0"/>
        </w:trPr>
        <w:tc>
          <w:tcPr>
            <w:tcW w:w="440" w:type="dxa"/>
            <w:vAlign w:val="bottom"/>
            <w:tcBorders>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1460" w:type="dxa"/>
            <w:vAlign w:val="bottom"/>
            <w:tcBorders>
              <w:bottom w:val="single" w:sz="8" w:color="303030"/>
            </w:tcBorders>
            <w:gridSpan w:val="5"/>
          </w:tcPr>
          <w:p>
            <w:pPr>
              <w:ind w:left="200"/>
              <w:spacing w:after="0"/>
              <w:rPr>
                <w:sz w:val="20"/>
                <w:szCs w:val="20"/>
                <w:color w:val="auto"/>
              </w:rPr>
            </w:pPr>
            <w:r>
              <w:rPr>
                <w:rFonts w:ascii="Arial" w:cs="Arial" w:eastAsia="Arial" w:hAnsi="Arial"/>
                <w:sz w:val="20"/>
                <w:szCs w:val="20"/>
                <w:color w:val="303030"/>
              </w:rPr>
              <w:t>C. Disclosure</w:t>
            </w:r>
          </w:p>
        </w:tc>
        <w:tc>
          <w:tcPr>
            <w:tcW w:w="4420" w:type="dxa"/>
            <w:vAlign w:val="bottom"/>
            <w:tcBorders>
              <w:bottom w:val="single" w:sz="8" w:color="303030"/>
            </w:tcBorders>
            <w:gridSpan w:val="6"/>
          </w:tcPr>
          <w:p>
            <w:pPr>
              <w:ind w:left="20"/>
              <w:spacing w:after="0"/>
              <w:rPr>
                <w:sz w:val="20"/>
                <w:szCs w:val="20"/>
                <w:color w:val="auto"/>
              </w:rPr>
            </w:pPr>
            <w:r>
              <w:rPr>
                <w:rFonts w:ascii="Arial" w:cs="Arial" w:eastAsia="Arial" w:hAnsi="Arial"/>
                <w:sz w:val="20"/>
                <w:szCs w:val="20"/>
                <w:color w:val="303030"/>
                <w:w w:val="89"/>
              </w:rPr>
              <w:t>egarding Foreign Jurisdictions that Prevent Inspections</w:t>
            </w:r>
          </w:p>
        </w:tc>
        <w:tc>
          <w:tcPr>
            <w:tcW w:w="2920" w:type="dxa"/>
            <w:vAlign w:val="bottom"/>
            <w:gridSpan w:val="3"/>
          </w:tcPr>
          <w:p>
            <w:pPr>
              <w:spacing w:after="0"/>
              <w:rPr>
                <w:sz w:val="24"/>
                <w:szCs w:val="24"/>
                <w:color w:val="auto"/>
              </w:rPr>
            </w:pPr>
          </w:p>
        </w:tc>
      </w:tr>
    </w:tbl>
    <w:p>
      <w:pPr>
        <w:spacing w:after="0" w:line="358" w:lineRule="exact"/>
        <w:rPr>
          <w:sz w:val="20"/>
          <w:szCs w:val="20"/>
          <w:color w:val="auto"/>
        </w:rPr>
      </w:pPr>
    </w:p>
    <w:p>
      <w:pPr>
        <w:ind w:left="660"/>
        <w:spacing w:after="0"/>
        <w:rPr>
          <w:sz w:val="20"/>
          <w:szCs w:val="20"/>
          <w:color w:val="auto"/>
        </w:rPr>
      </w:pPr>
      <w:r>
        <w:rPr>
          <w:rFonts w:ascii="Arial" w:cs="Arial" w:eastAsia="Arial" w:hAnsi="Arial"/>
          <w:sz w:val="22"/>
          <w:szCs w:val="22"/>
          <w:color w:val="303030"/>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28</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303030"/>
        </w:rPr>
        <w:t>3</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40</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40</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40</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41</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303030"/>
        </w:rPr>
        <w:t>41</w:t>
      </w:r>
    </w:p>
    <w:p>
      <w:pPr>
        <w:spacing w:after="0" w:line="678" w:lineRule="exact"/>
        <w:rPr>
          <w:sz w:val="20"/>
          <w:szCs w:val="20"/>
          <w:color w:val="auto"/>
        </w:rPr>
      </w:pPr>
    </w:p>
    <w:p>
      <w:pPr>
        <w:sectPr>
          <w:pgSz w:w="12240" w:h="15841" w:orient="portrait"/>
          <w:cols w:equalWidth="0" w:num="2">
            <w:col w:w="9460" w:space="500"/>
            <w:col w:w="200"/>
          </w:cols>
          <w:pgMar w:left="1040" w:top="771" w:right="1041" w:bottom="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440" w:type="dxa"/>
            <w:vAlign w:val="bottom"/>
            <w:tcBorders>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380" w:type="dxa"/>
            <w:vAlign w:val="bottom"/>
            <w:tcBorders>
              <w:bottom w:val="single" w:sz="8" w:color="303030"/>
            </w:tcBorders>
          </w:tcPr>
          <w:p>
            <w:pPr>
              <w:jc w:val="right"/>
              <w:spacing w:after="0"/>
              <w:rPr>
                <w:sz w:val="20"/>
                <w:szCs w:val="20"/>
                <w:color w:val="auto"/>
              </w:rPr>
            </w:pPr>
            <w:r>
              <w:rPr>
                <w:rFonts w:ascii="Arial" w:cs="Arial" w:eastAsia="Arial" w:hAnsi="Arial"/>
                <w:sz w:val="20"/>
                <w:szCs w:val="20"/>
                <w:color w:val="303030"/>
              </w:rPr>
              <w:t>10.</w:t>
            </w:r>
          </w:p>
        </w:tc>
        <w:tc>
          <w:tcPr>
            <w:tcW w:w="4580" w:type="dxa"/>
            <w:vAlign w:val="bottom"/>
            <w:tcBorders>
              <w:bottom w:val="single" w:sz="8" w:color="303030"/>
            </w:tcBorders>
            <w:gridSpan w:val="4"/>
          </w:tcPr>
          <w:p>
            <w:pPr>
              <w:ind w:left="20"/>
              <w:spacing w:after="0"/>
              <w:rPr>
                <w:sz w:val="20"/>
                <w:szCs w:val="20"/>
                <w:color w:val="auto"/>
              </w:rPr>
            </w:pPr>
            <w:r>
              <w:rPr>
                <w:rFonts w:ascii="Arial" w:cs="Arial" w:eastAsia="Arial" w:hAnsi="Arial"/>
                <w:sz w:val="20"/>
                <w:szCs w:val="20"/>
                <w:color w:val="303030"/>
                <w:w w:val="94"/>
              </w:rPr>
              <w:t>Directors, Executive  fficers and Corporate  overnance</w:t>
            </w:r>
          </w:p>
        </w:tc>
        <w:tc>
          <w:tcPr>
            <w:tcW w:w="3540" w:type="dxa"/>
            <w:vAlign w:val="bottom"/>
            <w:gridSpan w:val="2"/>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303030"/>
              </w:rPr>
              <w:t>41</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303030"/>
              </w:rPr>
              <w:t>11.</w:t>
            </w:r>
          </w:p>
        </w:tc>
        <w:tc>
          <w:tcPr>
            <w:tcW w:w="8120" w:type="dxa"/>
            <w:vAlign w:val="bottom"/>
            <w:gridSpan w:val="6"/>
            <w:vMerge w:val="restart"/>
          </w:tcPr>
          <w:p>
            <w:pPr>
              <w:ind w:left="20"/>
              <w:spacing w:after="0"/>
              <w:rPr>
                <w:sz w:val="20"/>
                <w:szCs w:val="20"/>
                <w:color w:val="auto"/>
              </w:rPr>
            </w:pPr>
            <w:r>
              <w:rPr>
                <w:rFonts w:ascii="Arial" w:cs="Arial" w:eastAsia="Arial" w:hAnsi="Arial"/>
                <w:sz w:val="20"/>
                <w:szCs w:val="20"/>
                <w:color w:val="303030"/>
              </w:rPr>
              <w:t>Executive Compensation</w:t>
            </w:r>
          </w:p>
        </w:tc>
        <w:tc>
          <w:tcPr>
            <w:tcW w:w="800" w:type="dxa"/>
            <w:vAlign w:val="bottom"/>
          </w:tcPr>
          <w:p>
            <w:pPr>
              <w:spacing w:after="0" w:line="20" w:lineRule="exact"/>
              <w:rPr>
                <w:sz w:val="1"/>
                <w:szCs w:val="1"/>
                <w:color w:val="auto"/>
              </w:rPr>
            </w:pPr>
          </w:p>
        </w:tc>
        <w:tc>
          <w:tcPr>
            <w:tcW w:w="2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8120" w:type="dxa"/>
            <w:vAlign w:val="bottom"/>
            <w:gridSpan w:val="6"/>
            <w:vMerge w:val="continue"/>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303030"/>
              </w:rPr>
              <w:t>41</w:t>
            </w:r>
          </w:p>
        </w:tc>
        <w:tc>
          <w:tcPr>
            <w:tcW w:w="0" w:type="dxa"/>
            <w:vAlign w:val="bottom"/>
          </w:tcPr>
          <w:p>
            <w:pPr>
              <w:spacing w:after="0"/>
              <w:rPr>
                <w:sz w:val="1"/>
                <w:szCs w:val="1"/>
                <w:color w:val="auto"/>
              </w:rPr>
            </w:pPr>
          </w:p>
        </w:tc>
      </w:tr>
      <w:tr>
        <w:trPr>
          <w:trHeight w:val="20"/>
        </w:trPr>
        <w:tc>
          <w:tcPr>
            <w:tcW w:w="440" w:type="dxa"/>
            <w:vAlign w:val="bottom"/>
            <w:shd w:val="clear" w:color="auto" w:fill="303030"/>
          </w:tcPr>
          <w:p>
            <w:pPr>
              <w:spacing w:after="0" w:line="20" w:lineRule="exact"/>
              <w:rPr>
                <w:sz w:val="1"/>
                <w:szCs w:val="1"/>
                <w:color w:val="auto"/>
              </w:rPr>
            </w:pPr>
          </w:p>
        </w:tc>
        <w:tc>
          <w:tcPr>
            <w:tcW w:w="380" w:type="dxa"/>
            <w:vAlign w:val="bottom"/>
            <w:shd w:val="clear" w:color="auto" w:fill="303030"/>
          </w:tcPr>
          <w:p>
            <w:pPr>
              <w:spacing w:after="0" w:line="20" w:lineRule="exact"/>
              <w:rPr>
                <w:sz w:val="1"/>
                <w:szCs w:val="1"/>
                <w:color w:val="auto"/>
              </w:rPr>
            </w:pPr>
          </w:p>
        </w:tc>
        <w:tc>
          <w:tcPr>
            <w:tcW w:w="740" w:type="dxa"/>
            <w:vAlign w:val="bottom"/>
            <w:shd w:val="clear" w:color="auto" w:fill="303030"/>
          </w:tcPr>
          <w:p>
            <w:pPr>
              <w:spacing w:after="0" w:line="20" w:lineRule="exact"/>
              <w:rPr>
                <w:sz w:val="1"/>
                <w:szCs w:val="1"/>
                <w:color w:val="auto"/>
              </w:rPr>
            </w:pPr>
          </w:p>
        </w:tc>
        <w:tc>
          <w:tcPr>
            <w:tcW w:w="1280" w:type="dxa"/>
            <w:vAlign w:val="bottom"/>
            <w:shd w:val="clear" w:color="auto" w:fill="30303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30303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0" w:type="dxa"/>
            <w:vAlign w:val="bottom"/>
            <w:tcBorders>
              <w:bottom w:val="single" w:sz="8" w:color="303030"/>
            </w:tcBorders>
          </w:tcPr>
          <w:p>
            <w:pPr>
              <w:spacing w:after="0"/>
              <w:rPr>
                <w:sz w:val="20"/>
                <w:szCs w:val="20"/>
                <w:color w:val="auto"/>
              </w:rPr>
            </w:pPr>
            <w:r>
              <w:rPr>
                <w:rFonts w:ascii="Arial" w:cs="Arial" w:eastAsia="Arial" w:hAnsi="Arial"/>
                <w:sz w:val="20"/>
                <w:szCs w:val="20"/>
                <w:color w:val="303030"/>
              </w:rPr>
              <w:t>ITE</w:t>
            </w:r>
          </w:p>
        </w:tc>
        <w:tc>
          <w:tcPr>
            <w:tcW w:w="380" w:type="dxa"/>
            <w:vAlign w:val="bottom"/>
            <w:tcBorders>
              <w:bottom w:val="single" w:sz="8" w:color="303030"/>
            </w:tcBorders>
          </w:tcPr>
          <w:p>
            <w:pPr>
              <w:jc w:val="right"/>
              <w:spacing w:after="0"/>
              <w:rPr>
                <w:sz w:val="20"/>
                <w:szCs w:val="20"/>
                <w:color w:val="auto"/>
              </w:rPr>
            </w:pPr>
            <w:r>
              <w:rPr>
                <w:rFonts w:ascii="Arial" w:cs="Arial" w:eastAsia="Arial" w:hAnsi="Arial"/>
                <w:sz w:val="20"/>
                <w:szCs w:val="20"/>
                <w:color w:val="303030"/>
              </w:rPr>
              <w:t>12.</w:t>
            </w:r>
          </w:p>
        </w:tc>
        <w:tc>
          <w:tcPr>
            <w:tcW w:w="740" w:type="dxa"/>
            <w:vAlign w:val="bottom"/>
            <w:tcBorders>
              <w:bottom w:val="single" w:sz="8" w:color="303030"/>
            </w:tcBorders>
          </w:tcPr>
          <w:p>
            <w:pPr>
              <w:ind w:left="20"/>
              <w:spacing w:after="0"/>
              <w:rPr>
                <w:sz w:val="20"/>
                <w:szCs w:val="20"/>
                <w:color w:val="auto"/>
              </w:rPr>
            </w:pPr>
            <w:r>
              <w:rPr>
                <w:rFonts w:ascii="Arial" w:cs="Arial" w:eastAsia="Arial" w:hAnsi="Arial"/>
                <w:sz w:val="20"/>
                <w:szCs w:val="20"/>
                <w:color w:val="303030"/>
                <w:w w:val="96"/>
              </w:rPr>
              <w:t>Security</w:t>
            </w:r>
          </w:p>
        </w:tc>
        <w:tc>
          <w:tcPr>
            <w:tcW w:w="7380" w:type="dxa"/>
            <w:vAlign w:val="bottom"/>
            <w:tcBorders>
              <w:bottom w:val="single" w:sz="8" w:color="303030"/>
            </w:tcBorders>
            <w:gridSpan w:val="5"/>
          </w:tcPr>
          <w:p>
            <w:pPr>
              <w:ind w:left="140"/>
              <w:spacing w:after="0"/>
              <w:rPr>
                <w:sz w:val="20"/>
                <w:szCs w:val="20"/>
                <w:color w:val="auto"/>
              </w:rPr>
            </w:pPr>
            <w:r>
              <w:rPr>
                <w:rFonts w:ascii="Arial" w:cs="Arial" w:eastAsia="Arial" w:hAnsi="Arial"/>
                <w:sz w:val="20"/>
                <w:szCs w:val="20"/>
                <w:color w:val="303030"/>
                <w:w w:val="95"/>
              </w:rPr>
              <w:t>wnership of Certain Beneficial  wners and  anagement and  elated Stockholder  atters</w:t>
            </w:r>
          </w:p>
        </w:tc>
        <w:tc>
          <w:tcPr>
            <w:tcW w:w="1000" w:type="dxa"/>
            <w:vAlign w:val="bottom"/>
            <w:gridSpan w:val="2"/>
          </w:tcPr>
          <w:p>
            <w:pPr>
              <w:jc w:val="right"/>
              <w:spacing w:after="0"/>
              <w:rPr>
                <w:sz w:val="20"/>
                <w:szCs w:val="20"/>
                <w:color w:val="auto"/>
              </w:rPr>
            </w:pPr>
            <w:r>
              <w:rPr>
                <w:rFonts w:ascii="Arial" w:cs="Arial" w:eastAsia="Arial" w:hAnsi="Arial"/>
                <w:sz w:val="20"/>
                <w:szCs w:val="20"/>
                <w:color w:val="303030"/>
              </w:rPr>
              <w:t>41</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20"/>
                <w:szCs w:val="20"/>
                <w:color w:val="303030"/>
              </w:rPr>
              <w:t>ITE</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303030"/>
              </w:rPr>
              <w:t>13.</w:t>
            </w:r>
          </w:p>
        </w:tc>
        <w:tc>
          <w:tcPr>
            <w:tcW w:w="740" w:type="dxa"/>
            <w:vAlign w:val="bottom"/>
            <w:vMerge w:val="restart"/>
          </w:tcPr>
          <w:p>
            <w:pPr>
              <w:ind w:left="20"/>
              <w:spacing w:after="0"/>
              <w:rPr>
                <w:sz w:val="20"/>
                <w:szCs w:val="20"/>
                <w:color w:val="auto"/>
              </w:rPr>
            </w:pPr>
            <w:r>
              <w:rPr>
                <w:rFonts w:ascii="Arial" w:cs="Arial" w:eastAsia="Arial" w:hAnsi="Arial"/>
                <w:sz w:val="20"/>
                <w:szCs w:val="20"/>
                <w:color w:val="303030"/>
              </w:rPr>
              <w:t>Certain</w:t>
            </w:r>
          </w:p>
        </w:tc>
        <w:tc>
          <w:tcPr>
            <w:tcW w:w="7380" w:type="dxa"/>
            <w:vAlign w:val="bottom"/>
            <w:gridSpan w:val="5"/>
            <w:vMerge w:val="restart"/>
          </w:tcPr>
          <w:p>
            <w:pPr>
              <w:ind w:left="60"/>
              <w:spacing w:after="0"/>
              <w:rPr>
                <w:sz w:val="20"/>
                <w:szCs w:val="20"/>
                <w:color w:val="auto"/>
              </w:rPr>
            </w:pPr>
            <w:r>
              <w:rPr>
                <w:rFonts w:ascii="Arial" w:cs="Arial" w:eastAsia="Arial" w:hAnsi="Arial"/>
                <w:sz w:val="20"/>
                <w:szCs w:val="20"/>
                <w:color w:val="303030"/>
              </w:rPr>
              <w:t>elationships and  elated Transactions, and Director Independence</w:t>
            </w:r>
          </w:p>
        </w:tc>
        <w:tc>
          <w:tcPr>
            <w:tcW w:w="800" w:type="dxa"/>
            <w:vAlign w:val="bottom"/>
          </w:tcPr>
          <w:p>
            <w:pPr>
              <w:spacing w:after="0" w:line="20" w:lineRule="exact"/>
              <w:rPr>
                <w:sz w:val="1"/>
                <w:szCs w:val="1"/>
                <w:color w:val="auto"/>
              </w:rPr>
            </w:pPr>
          </w:p>
        </w:tc>
        <w:tc>
          <w:tcPr>
            <w:tcW w:w="2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7380" w:type="dxa"/>
            <w:vAlign w:val="bottom"/>
            <w:gridSpan w:val="5"/>
            <w:vMerge w:val="continue"/>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303030"/>
              </w:rPr>
              <w:t>41</w:t>
            </w:r>
          </w:p>
        </w:tc>
        <w:tc>
          <w:tcPr>
            <w:tcW w:w="0" w:type="dxa"/>
            <w:vAlign w:val="bottom"/>
          </w:tcPr>
          <w:p>
            <w:pPr>
              <w:spacing w:after="0"/>
              <w:rPr>
                <w:sz w:val="1"/>
                <w:szCs w:val="1"/>
                <w:color w:val="auto"/>
              </w:rPr>
            </w:pPr>
          </w:p>
        </w:tc>
      </w:tr>
      <w:tr>
        <w:trPr>
          <w:trHeight w:val="20"/>
        </w:trPr>
        <w:tc>
          <w:tcPr>
            <w:tcW w:w="440" w:type="dxa"/>
            <w:vAlign w:val="bottom"/>
            <w:tcBorders>
              <w:top w:val="single" w:sz="8" w:color="303030"/>
            </w:tcBorders>
            <w:vMerge w:val="restart"/>
          </w:tcPr>
          <w:p>
            <w:pPr>
              <w:spacing w:after="0"/>
              <w:rPr>
                <w:sz w:val="20"/>
                <w:szCs w:val="20"/>
                <w:color w:val="auto"/>
              </w:rPr>
            </w:pPr>
            <w:r>
              <w:rPr>
                <w:rFonts w:ascii="Arial" w:cs="Arial" w:eastAsia="Arial" w:hAnsi="Arial"/>
                <w:sz w:val="20"/>
                <w:szCs w:val="20"/>
                <w:color w:val="303030"/>
              </w:rPr>
              <w:t>ITE</w:t>
            </w:r>
          </w:p>
        </w:tc>
        <w:tc>
          <w:tcPr>
            <w:tcW w:w="380" w:type="dxa"/>
            <w:vAlign w:val="bottom"/>
            <w:tcBorders>
              <w:top w:val="single" w:sz="8" w:color="303030"/>
            </w:tcBorders>
            <w:vMerge w:val="restart"/>
          </w:tcPr>
          <w:p>
            <w:pPr>
              <w:jc w:val="right"/>
              <w:spacing w:after="0"/>
              <w:rPr>
                <w:sz w:val="20"/>
                <w:szCs w:val="20"/>
                <w:color w:val="auto"/>
              </w:rPr>
            </w:pPr>
            <w:r>
              <w:rPr>
                <w:rFonts w:ascii="Arial" w:cs="Arial" w:eastAsia="Arial" w:hAnsi="Arial"/>
                <w:sz w:val="20"/>
                <w:szCs w:val="20"/>
                <w:color w:val="303030"/>
              </w:rPr>
              <w:t>14.</w:t>
            </w:r>
          </w:p>
        </w:tc>
        <w:tc>
          <w:tcPr>
            <w:tcW w:w="6080" w:type="dxa"/>
            <w:vAlign w:val="bottom"/>
            <w:tcBorders>
              <w:top w:val="single" w:sz="8" w:color="303030"/>
            </w:tcBorders>
            <w:gridSpan w:val="5"/>
            <w:vMerge w:val="restart"/>
          </w:tcPr>
          <w:p>
            <w:pPr>
              <w:ind w:left="20"/>
              <w:spacing w:after="0"/>
              <w:rPr>
                <w:sz w:val="20"/>
                <w:szCs w:val="20"/>
                <w:color w:val="auto"/>
              </w:rPr>
            </w:pPr>
            <w:r>
              <w:rPr>
                <w:rFonts w:ascii="Arial" w:cs="Arial" w:eastAsia="Arial" w:hAnsi="Arial"/>
                <w:sz w:val="20"/>
                <w:szCs w:val="20"/>
                <w:color w:val="303030"/>
              </w:rPr>
              <w:t>Principal Accountant Fees and Services</w:t>
            </w:r>
          </w:p>
        </w:tc>
        <w:tc>
          <w:tcPr>
            <w:tcW w:w="204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6080" w:type="dxa"/>
            <w:vAlign w:val="bottom"/>
            <w:gridSpan w:val="5"/>
            <w:vMerge w:val="continue"/>
          </w:tcPr>
          <w:p>
            <w:pPr>
              <w:spacing w:after="0"/>
              <w:rPr>
                <w:sz w:val="22"/>
                <w:szCs w:val="22"/>
                <w:color w:val="auto"/>
              </w:rPr>
            </w:pPr>
          </w:p>
        </w:tc>
        <w:tc>
          <w:tcPr>
            <w:tcW w:w="2040" w:type="dxa"/>
            <w:vAlign w:val="bottom"/>
            <w:vMerge w:val="continue"/>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303030"/>
              </w:rPr>
              <w:t>42</w:t>
            </w:r>
          </w:p>
        </w:tc>
        <w:tc>
          <w:tcPr>
            <w:tcW w:w="0" w:type="dxa"/>
            <w:vAlign w:val="bottom"/>
          </w:tcPr>
          <w:p>
            <w:pPr>
              <w:spacing w:after="0"/>
              <w:rPr>
                <w:sz w:val="1"/>
                <w:szCs w:val="1"/>
                <w:color w:val="auto"/>
              </w:rPr>
            </w:pPr>
          </w:p>
        </w:tc>
      </w:tr>
      <w:tr>
        <w:trPr>
          <w:trHeight w:val="23"/>
        </w:trPr>
        <w:tc>
          <w:tcPr>
            <w:tcW w:w="440" w:type="dxa"/>
            <w:vAlign w:val="bottom"/>
            <w:shd w:val="clear" w:color="auto" w:fill="303030"/>
          </w:tcPr>
          <w:p>
            <w:pPr>
              <w:spacing w:after="0"/>
              <w:rPr>
                <w:sz w:val="2"/>
                <w:szCs w:val="2"/>
                <w:color w:val="auto"/>
              </w:rPr>
            </w:pPr>
          </w:p>
        </w:tc>
        <w:tc>
          <w:tcPr>
            <w:tcW w:w="380" w:type="dxa"/>
            <w:vAlign w:val="bottom"/>
            <w:shd w:val="clear" w:color="auto" w:fill="303030"/>
          </w:tcPr>
          <w:p>
            <w:pPr>
              <w:spacing w:after="0"/>
              <w:rPr>
                <w:sz w:val="2"/>
                <w:szCs w:val="2"/>
                <w:color w:val="auto"/>
              </w:rPr>
            </w:pPr>
          </w:p>
        </w:tc>
        <w:tc>
          <w:tcPr>
            <w:tcW w:w="740" w:type="dxa"/>
            <w:vAlign w:val="bottom"/>
            <w:shd w:val="clear" w:color="auto" w:fill="303030"/>
          </w:tcPr>
          <w:p>
            <w:pPr>
              <w:spacing w:after="0"/>
              <w:rPr>
                <w:sz w:val="2"/>
                <w:szCs w:val="2"/>
                <w:color w:val="auto"/>
              </w:rPr>
            </w:pPr>
          </w:p>
        </w:tc>
        <w:tc>
          <w:tcPr>
            <w:tcW w:w="1280" w:type="dxa"/>
            <w:vAlign w:val="bottom"/>
            <w:shd w:val="clear" w:color="auto" w:fill="303030"/>
          </w:tcPr>
          <w:p>
            <w:pPr>
              <w:spacing w:after="0"/>
              <w:rPr>
                <w:sz w:val="2"/>
                <w:szCs w:val="2"/>
                <w:color w:val="auto"/>
              </w:rPr>
            </w:pPr>
          </w:p>
        </w:tc>
        <w:tc>
          <w:tcPr>
            <w:tcW w:w="1180" w:type="dxa"/>
            <w:vAlign w:val="bottom"/>
            <w:shd w:val="clear" w:color="auto" w:fill="303030"/>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30303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660"/>
        <w:spacing w:after="0"/>
        <w:rPr>
          <w:sz w:val="20"/>
          <w:szCs w:val="20"/>
          <w:color w:val="auto"/>
        </w:rPr>
      </w:pPr>
      <w:r>
        <w:rPr>
          <w:rFonts w:ascii="Arial" w:cs="Arial" w:eastAsia="Arial" w:hAnsi="Arial"/>
          <w:sz w:val="22"/>
          <w:szCs w:val="22"/>
          <w:color w:val="303030"/>
        </w:rPr>
        <w:t>I</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40" w:type="dxa"/>
            <w:vAlign w:val="bottom"/>
            <w:tcBorders>
              <w:bottom w:val="single" w:sz="8" w:color="303030"/>
            </w:tcBorders>
            <w:gridSpan w:val="2"/>
          </w:tcPr>
          <w:p>
            <w:pPr>
              <w:jc w:val="right"/>
              <w:ind w:right="120"/>
              <w:spacing w:after="0"/>
              <w:rPr>
                <w:sz w:val="20"/>
                <w:szCs w:val="20"/>
                <w:color w:val="auto"/>
              </w:rPr>
            </w:pPr>
            <w:r>
              <w:rPr>
                <w:rFonts w:ascii="Arial" w:cs="Arial" w:eastAsia="Arial" w:hAnsi="Arial"/>
                <w:sz w:val="20"/>
                <w:szCs w:val="20"/>
                <w:color w:val="303030"/>
                <w:w w:val="96"/>
              </w:rPr>
              <w:t>ITE</w:t>
            </w:r>
          </w:p>
        </w:tc>
        <w:tc>
          <w:tcPr>
            <w:tcW w:w="3620" w:type="dxa"/>
            <w:vAlign w:val="bottom"/>
            <w:tcBorders>
              <w:bottom w:val="single" w:sz="8" w:color="303030"/>
            </w:tcBorders>
            <w:gridSpan w:val="3"/>
          </w:tcPr>
          <w:p>
            <w:pPr>
              <w:ind w:left="100"/>
              <w:spacing w:after="0"/>
              <w:rPr>
                <w:sz w:val="20"/>
                <w:szCs w:val="20"/>
                <w:color w:val="auto"/>
              </w:rPr>
            </w:pPr>
            <w:r>
              <w:rPr>
                <w:rFonts w:ascii="Arial" w:cs="Arial" w:eastAsia="Arial" w:hAnsi="Arial"/>
                <w:sz w:val="20"/>
                <w:szCs w:val="20"/>
                <w:color w:val="303030"/>
                <w:w w:val="89"/>
              </w:rPr>
              <w:t>15. Exhibits, Financial Statement Schedules</w:t>
            </w:r>
          </w:p>
        </w:tc>
        <w:tc>
          <w:tcPr>
            <w:tcW w:w="5880" w:type="dxa"/>
            <w:vAlign w:val="bottom"/>
            <w:gridSpan w:val="2"/>
          </w:tcPr>
          <w:p>
            <w:pPr>
              <w:jc w:val="right"/>
              <w:spacing w:after="0"/>
              <w:rPr>
                <w:sz w:val="20"/>
                <w:szCs w:val="20"/>
                <w:color w:val="auto"/>
              </w:rPr>
            </w:pPr>
            <w:r>
              <w:rPr>
                <w:rFonts w:ascii="Arial" w:cs="Arial" w:eastAsia="Arial" w:hAnsi="Arial"/>
                <w:sz w:val="20"/>
                <w:szCs w:val="20"/>
                <w:color w:val="303030"/>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303030"/>
                <w:w w:val="96"/>
              </w:rPr>
              <w:t>ITE</w:t>
            </w:r>
          </w:p>
        </w:tc>
        <w:tc>
          <w:tcPr>
            <w:tcW w:w="3620" w:type="dxa"/>
            <w:vAlign w:val="bottom"/>
            <w:gridSpan w:val="3"/>
            <w:vMerge w:val="restart"/>
          </w:tcPr>
          <w:p>
            <w:pPr>
              <w:ind w:left="100"/>
              <w:spacing w:after="0"/>
              <w:rPr>
                <w:sz w:val="20"/>
                <w:szCs w:val="20"/>
                <w:color w:val="auto"/>
              </w:rPr>
            </w:pPr>
            <w:r>
              <w:rPr>
                <w:rFonts w:ascii="Arial" w:cs="Arial" w:eastAsia="Arial" w:hAnsi="Arial"/>
                <w:sz w:val="20"/>
                <w:szCs w:val="20"/>
                <w:color w:val="303030"/>
              </w:rPr>
              <w:t>16. Form 10-  Summary</w:t>
            </w:r>
          </w:p>
        </w:tc>
        <w:tc>
          <w:tcPr>
            <w:tcW w:w="5680" w:type="dxa"/>
            <w:vAlign w:val="bottom"/>
          </w:tcPr>
          <w:p>
            <w:pPr>
              <w:spacing w:after="0" w:line="20" w:lineRule="exact"/>
              <w:rPr>
                <w:sz w:val="1"/>
                <w:szCs w:val="1"/>
                <w:color w:val="auto"/>
              </w:rPr>
            </w:pPr>
          </w:p>
        </w:tc>
        <w:tc>
          <w:tcPr>
            <w:tcW w:w="2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20" w:type="dxa"/>
            <w:vAlign w:val="bottom"/>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3620" w:type="dxa"/>
            <w:vAlign w:val="bottom"/>
            <w:gridSpan w:val="3"/>
            <w:vMerge w:val="continue"/>
          </w:tcPr>
          <w:p>
            <w:pPr>
              <w:spacing w:after="0"/>
              <w:rPr>
                <w:sz w:val="22"/>
                <w:szCs w:val="22"/>
                <w:color w:val="auto"/>
              </w:rPr>
            </w:pPr>
          </w:p>
        </w:tc>
        <w:tc>
          <w:tcPr>
            <w:tcW w:w="5880" w:type="dxa"/>
            <w:vAlign w:val="bottom"/>
            <w:gridSpan w:val="2"/>
          </w:tcPr>
          <w:p>
            <w:pPr>
              <w:jc w:val="right"/>
              <w:spacing w:after="0"/>
              <w:rPr>
                <w:sz w:val="20"/>
                <w:szCs w:val="20"/>
                <w:color w:val="auto"/>
              </w:rPr>
            </w:pPr>
            <w:r>
              <w:rPr>
                <w:rFonts w:ascii="Arial" w:cs="Arial" w:eastAsia="Arial" w:hAnsi="Arial"/>
                <w:sz w:val="20"/>
                <w:szCs w:val="20"/>
                <w:color w:val="303030"/>
              </w:rPr>
              <w:t>45</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20" w:type="dxa"/>
            <w:vAlign w:val="bottom"/>
            <w:shd w:val="clear" w:color="auto" w:fill="303030"/>
          </w:tcPr>
          <w:p>
            <w:pPr>
              <w:spacing w:after="0" w:line="20" w:lineRule="exact"/>
              <w:rPr>
                <w:sz w:val="1"/>
                <w:szCs w:val="1"/>
                <w:color w:val="auto"/>
              </w:rPr>
            </w:pPr>
          </w:p>
        </w:tc>
        <w:tc>
          <w:tcPr>
            <w:tcW w:w="780" w:type="dxa"/>
            <w:vAlign w:val="bottom"/>
            <w:shd w:val="clear" w:color="auto" w:fill="303030"/>
          </w:tcPr>
          <w:p>
            <w:pPr>
              <w:spacing w:after="0" w:line="20" w:lineRule="exact"/>
              <w:rPr>
                <w:sz w:val="1"/>
                <w:szCs w:val="1"/>
                <w:color w:val="auto"/>
              </w:rPr>
            </w:pPr>
          </w:p>
        </w:tc>
        <w:tc>
          <w:tcPr>
            <w:tcW w:w="1340" w:type="dxa"/>
            <w:vAlign w:val="bottom"/>
            <w:shd w:val="clear" w:color="auto" w:fill="30303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bottom w:val="single" w:sz="8" w:color="30303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60" w:type="dxa"/>
            <w:vAlign w:val="bottom"/>
            <w:gridSpan w:val="3"/>
          </w:tcPr>
          <w:p>
            <w:pPr>
              <w:jc w:val="right"/>
              <w:ind w:right="120"/>
              <w:spacing w:after="0"/>
              <w:rPr>
                <w:sz w:val="20"/>
                <w:szCs w:val="20"/>
                <w:color w:val="auto"/>
              </w:rPr>
            </w:pPr>
            <w:r>
              <w:rPr>
                <w:rFonts w:ascii="Arial" w:cs="Arial" w:eastAsia="Arial" w:hAnsi="Arial"/>
                <w:sz w:val="22"/>
                <w:szCs w:val="22"/>
                <w:color w:val="303030"/>
              </w:rPr>
              <w:t>SI  N</w:t>
            </w:r>
          </w:p>
        </w:tc>
        <w:tc>
          <w:tcPr>
            <w:tcW w:w="780" w:type="dxa"/>
            <w:vAlign w:val="bottom"/>
          </w:tcPr>
          <w:p>
            <w:pPr>
              <w:ind w:left="660"/>
              <w:spacing w:after="0"/>
              <w:rPr>
                <w:sz w:val="20"/>
                <w:szCs w:val="20"/>
                <w:color w:val="auto"/>
              </w:rPr>
            </w:pPr>
            <w:r>
              <w:rPr>
                <w:rFonts w:ascii="Arial" w:cs="Arial" w:eastAsia="Arial" w:hAnsi="Arial"/>
                <w:sz w:val="21"/>
                <w:szCs w:val="21"/>
                <w:color w:val="303030"/>
                <w:w w:val="71"/>
              </w:rPr>
              <w:t>S</w:t>
            </w:r>
          </w:p>
        </w:tc>
        <w:tc>
          <w:tcPr>
            <w:tcW w:w="2840" w:type="dxa"/>
            <w:vAlign w:val="bottom"/>
            <w:gridSpan w:val="2"/>
          </w:tcPr>
          <w:p>
            <w:pPr>
              <w:spacing w:after="0"/>
              <w:rPr>
                <w:sz w:val="24"/>
                <w:szCs w:val="24"/>
                <w:color w:val="auto"/>
              </w:rPr>
            </w:pPr>
          </w:p>
        </w:tc>
        <w:tc>
          <w:tcPr>
            <w:tcW w:w="5880" w:type="dxa"/>
            <w:vAlign w:val="bottom"/>
            <w:gridSpan w:val="2"/>
          </w:tcPr>
          <w:p>
            <w:pPr>
              <w:jc w:val="right"/>
              <w:spacing w:after="0"/>
              <w:rPr>
                <w:sz w:val="20"/>
                <w:szCs w:val="20"/>
                <w:color w:val="auto"/>
              </w:rPr>
            </w:pPr>
            <w:r>
              <w:rPr>
                <w:rFonts w:ascii="Arial" w:cs="Arial" w:eastAsia="Arial" w:hAnsi="Arial"/>
                <w:sz w:val="20"/>
                <w:szCs w:val="20"/>
                <w:color w:val="303030"/>
              </w:rPr>
              <w:t>46</w:t>
            </w:r>
          </w:p>
        </w:tc>
        <w:tc>
          <w:tcPr>
            <w:tcW w:w="0" w:type="dxa"/>
            <w:vAlign w:val="bottom"/>
          </w:tcPr>
          <w:p>
            <w:pPr>
              <w:spacing w:after="0"/>
              <w:rPr>
                <w:sz w:val="1"/>
                <w:szCs w:val="1"/>
                <w:color w:val="auto"/>
              </w:rPr>
            </w:pPr>
          </w:p>
        </w:tc>
      </w:tr>
      <w:tr>
        <w:trPr>
          <w:trHeight w:val="20"/>
        </w:trPr>
        <w:tc>
          <w:tcPr>
            <w:tcW w:w="220" w:type="dxa"/>
            <w:vAlign w:val="bottom"/>
            <w:shd w:val="clear" w:color="auto" w:fill="303030"/>
          </w:tcPr>
          <w:p>
            <w:pPr>
              <w:spacing w:after="0" w:line="20" w:lineRule="exact"/>
              <w:rPr>
                <w:sz w:val="1"/>
                <w:szCs w:val="1"/>
                <w:color w:val="auto"/>
              </w:rPr>
            </w:pPr>
          </w:p>
        </w:tc>
        <w:tc>
          <w:tcPr>
            <w:tcW w:w="20" w:type="dxa"/>
            <w:vAlign w:val="bottom"/>
            <w:shd w:val="clear" w:color="auto" w:fill="303030"/>
          </w:tcPr>
          <w:p>
            <w:pPr>
              <w:spacing w:after="0" w:line="20" w:lineRule="exact"/>
              <w:rPr>
                <w:sz w:val="1"/>
                <w:szCs w:val="1"/>
                <w:color w:val="auto"/>
              </w:rPr>
            </w:pPr>
          </w:p>
        </w:tc>
        <w:tc>
          <w:tcPr>
            <w:tcW w:w="420" w:type="dxa"/>
            <w:vAlign w:val="bottom"/>
            <w:shd w:val="clear" w:color="auto" w:fill="303030"/>
          </w:tcPr>
          <w:p>
            <w:pPr>
              <w:spacing w:after="0" w:line="20" w:lineRule="exact"/>
              <w:rPr>
                <w:sz w:val="1"/>
                <w:szCs w:val="1"/>
                <w:color w:val="auto"/>
              </w:rPr>
            </w:pPr>
          </w:p>
        </w:tc>
        <w:tc>
          <w:tcPr>
            <w:tcW w:w="780" w:type="dxa"/>
            <w:vAlign w:val="bottom"/>
            <w:shd w:val="clear" w:color="auto" w:fill="30303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3030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1" w:orient="portrait"/>
          <w:cols w:equalWidth="0" w:num="1">
            <w:col w:w="10160"/>
          </w:cols>
          <w:pgMar w:left="1040" w:top="771" w:right="10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2240" w:h="15841" w:orient="portrait"/>
          <w:cols w:equalWidth="0" w:num="1">
            <w:col w:w="10160"/>
          </w:cols>
          <w:pgMar w:left="1040" w:top="771" w:right="1041" w:bottom="0" w:gutter="0" w:footer="0" w:header="0"/>
          <w:type w:val="continuous"/>
        </w:sectPr>
      </w:pPr>
    </w:p>
    <w:bookmarkStart w:id="12" w:name="page13"/>
    <w:bookmarkEnd w:id="12"/>
    <w:p>
      <w:pPr>
        <w:ind w:left="5590"/>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p>
    <w:p>
      <w:pPr>
        <w:spacing w:after="0" w:line="60" w:lineRule="exact"/>
        <w:rPr>
          <w:sz w:val="20"/>
          <w:szCs w:val="20"/>
          <w:color w:val="auto"/>
        </w:rPr>
      </w:pPr>
    </w:p>
    <w:p>
      <w:pPr>
        <w:ind w:left="10"/>
        <w:spacing w:after="0"/>
        <w:tabs>
          <w:tab w:leader="none" w:pos="689" w:val="left"/>
          <w:tab w:leader="none" w:pos="1149"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w:t>
      </w:r>
      <w:r>
        <w:rPr>
          <w:sz w:val="20"/>
          <w:szCs w:val="20"/>
          <w:color w:val="auto"/>
        </w:rPr>
        <w:tab/>
      </w:r>
      <w:r>
        <w:rPr>
          <w:rFonts w:ascii="Arial" w:cs="Arial" w:eastAsia="Arial" w:hAnsi="Arial"/>
          <w:sz w:val="21"/>
          <w:szCs w:val="21"/>
          <w:color w:val="auto"/>
        </w:rPr>
        <w:t>usiness</w:t>
      </w:r>
    </w:p>
    <w:p>
      <w:pPr>
        <w:spacing w:after="0" w:line="139" w:lineRule="exact"/>
        <w:rPr>
          <w:sz w:val="20"/>
          <w:szCs w:val="20"/>
          <w:color w:val="auto"/>
        </w:rPr>
      </w:pPr>
    </w:p>
    <w:p>
      <w:pPr>
        <w:ind w:left="310"/>
        <w:spacing w:after="0"/>
        <w:tabs>
          <w:tab w:leader="none" w:pos="1889" w:val="left"/>
        </w:tabs>
        <w:rPr>
          <w:sz w:val="20"/>
          <w:szCs w:val="20"/>
          <w:color w:val="auto"/>
        </w:rPr>
      </w:pPr>
      <w:r>
        <w:rPr>
          <w:rFonts w:ascii="Arial" w:cs="Arial" w:eastAsia="Arial" w:hAnsi="Arial"/>
          <w:sz w:val="22"/>
          <w:szCs w:val="22"/>
          <w:color w:val="auto"/>
        </w:rPr>
        <w:t>SIN SS O</w:t>
      </w:r>
      <w:r>
        <w:rPr>
          <w:sz w:val="20"/>
          <w:szCs w:val="20"/>
          <w:color w:val="auto"/>
        </w:rPr>
        <w:tab/>
      </w:r>
      <w:r>
        <w:rPr>
          <w:rFonts w:ascii="Arial" w:cs="Arial" w:eastAsia="Arial" w:hAnsi="Arial"/>
          <w:sz w:val="22"/>
          <w:szCs w:val="22"/>
          <w:color w:val="auto"/>
        </w:rPr>
        <w:t>I</w:t>
      </w:r>
    </w:p>
    <w:p>
      <w:pPr>
        <w:spacing w:after="0" w:line="145" w:lineRule="exact"/>
        <w:rPr>
          <w:sz w:val="20"/>
          <w:szCs w:val="20"/>
          <w:color w:val="auto"/>
        </w:rPr>
      </w:pPr>
    </w:p>
    <w:p>
      <w:pPr>
        <w:ind w:left="10" w:right="60"/>
        <w:spacing w:after="0" w:line="278" w:lineRule="auto"/>
        <w:rPr>
          <w:sz w:val="20"/>
          <w:szCs w:val="20"/>
          <w:color w:val="auto"/>
        </w:rPr>
      </w:pPr>
      <w:r>
        <w:rPr>
          <w:rFonts w:ascii="Arial" w:cs="Arial" w:eastAsia="Arial" w:hAnsi="Arial"/>
          <w:sz w:val="18"/>
          <w:szCs w:val="18"/>
          <w:color w:val="auto"/>
        </w:rPr>
        <w:t>The TJX Companies, Inc. (together with its subsidiaries, TJX, the Company, we, or our ) is the leading off-price apparel and home fashions retailer in the nited States and worldwide. e have over 5,200 stores and six branded e-commerce sites that offer a rapidly changing assortment of uality, fashionable, brand name and designer merchandise at prices generally</w:t>
      </w:r>
    </w:p>
    <w:p>
      <w:pPr>
        <w:spacing w:after="0" w:line="1" w:lineRule="exact"/>
        <w:rPr>
          <w:sz w:val="20"/>
          <w:szCs w:val="20"/>
          <w:color w:val="auto"/>
        </w:rPr>
      </w:pPr>
    </w:p>
    <w:p>
      <w:pPr>
        <w:ind w:left="10" w:right="940" w:hanging="10"/>
        <w:spacing w:after="0" w:line="283" w:lineRule="auto"/>
        <w:tabs>
          <w:tab w:leader="none" w:pos="426" w:val="left"/>
        </w:tabs>
        <w:numPr>
          <w:ilvl w:val="0"/>
          <w:numId w:val="1"/>
        </w:numPr>
        <w:rPr>
          <w:rFonts w:ascii="Arial" w:cs="Arial" w:eastAsia="Arial" w:hAnsi="Arial"/>
          <w:sz w:val="20"/>
          <w:szCs w:val="20"/>
          <w:color w:val="auto"/>
        </w:rPr>
      </w:pPr>
      <w:r>
        <w:rPr>
          <w:rFonts w:ascii="Arial" w:cs="Arial" w:eastAsia="Arial" w:hAnsi="Arial"/>
          <w:sz w:val="20"/>
          <w:szCs w:val="20"/>
          <w:color w:val="auto"/>
        </w:rPr>
        <w:t>to 60 below full-price retailers’ (including department, specialty, and major online retailers) regular prices on comparable merchandise, every day.</w:t>
      </w:r>
    </w:p>
    <w:p>
      <w:pPr>
        <w:spacing w:after="0" w:line="58" w:lineRule="exact"/>
        <w:rPr>
          <w:sz w:val="20"/>
          <w:szCs w:val="20"/>
          <w:color w:val="auto"/>
        </w:rPr>
      </w:pPr>
    </w:p>
    <w:p>
      <w:pPr>
        <w:ind w:left="10" w:right="40" w:firstLine="145"/>
        <w:spacing w:after="0" w:line="269" w:lineRule="auto"/>
        <w:rPr>
          <w:sz w:val="20"/>
          <w:szCs w:val="20"/>
          <w:color w:val="auto"/>
        </w:rPr>
      </w:pPr>
      <w:r>
        <w:rPr>
          <w:rFonts w:ascii="Arial" w:cs="Arial" w:eastAsia="Arial" w:hAnsi="Arial"/>
          <w:sz w:val="19"/>
          <w:szCs w:val="19"/>
          <w:color w:val="auto"/>
        </w:rPr>
        <w:t>ur mission is to deliver great value to our customers every day. In our stores and online, we offer consumers our value proposition of brand, fashion, price and uality. ur opportunistic buying strategies and flexible business model differentiate us from traditional retailers. e offer a treasure hunt shopping experience and a rapid turn of inventories relative to traditional retailers. ur goal is to create a sense of excitement and urgency for our customers and encourage fre uent customer visits. e ac uire merchandise in a variety of ways to support that goal. e reach a broad range of customers across income levels with our value proposition on a wide range of items. ur strategies and operations are synergistic across our retail chains. As a result, we are able to leverage our expertise throughout our business, sharing information, best practices, initiatives and new ideas, and to develop talent across our company. Further, we can leverage the substantial buying power of our businesses with our global vendor relationships.</w:t>
      </w:r>
    </w:p>
    <w:p>
      <w:pPr>
        <w:spacing w:after="0" w:line="76" w:lineRule="exact"/>
        <w:rPr>
          <w:sz w:val="20"/>
          <w:szCs w:val="20"/>
          <w:color w:val="auto"/>
        </w:rPr>
      </w:pPr>
    </w:p>
    <w:p>
      <w:pPr>
        <w:ind w:left="10" w:right="40"/>
        <w:spacing w:after="0" w:line="261" w:lineRule="auto"/>
        <w:rPr>
          <w:sz w:val="20"/>
          <w:szCs w:val="20"/>
          <w:color w:val="auto"/>
        </w:rPr>
      </w:pPr>
      <w:r>
        <w:rPr>
          <w:rFonts w:ascii="Arial" w:cs="Arial" w:eastAsia="Arial" w:hAnsi="Arial"/>
          <w:sz w:val="20"/>
          <w:szCs w:val="20"/>
          <w:color w:val="auto"/>
        </w:rPr>
        <w:t>In this report, fiscal 2026 means the 52-week fiscal year ended January 31, 2026 fiscal 2025 means the 52-week fiscal year ended February 1, 2025 and fiscal 2024 means the 53-week fiscal year ended February 3, 2024. Fiscal 2027 means the 52-week fiscal year ending January 30, 2027. nless otherwise indicated, all store information in this Item 1 is as of January 31, 2026, and references to store s uare footage are to gross s uare feet.</w:t>
      </w:r>
    </w:p>
    <w:p>
      <w:pPr>
        <w:spacing w:after="0" w:line="64" w:lineRule="exact"/>
        <w:rPr>
          <w:sz w:val="20"/>
          <w:szCs w:val="20"/>
          <w:color w:val="auto"/>
        </w:rPr>
      </w:pPr>
    </w:p>
    <w:p>
      <w:pPr>
        <w:ind w:left="10"/>
        <w:spacing w:after="0"/>
        <w:tabs>
          <w:tab w:leader="none" w:pos="549" w:val="left"/>
        </w:tabs>
        <w:rPr>
          <w:sz w:val="20"/>
          <w:szCs w:val="20"/>
          <w:color w:val="auto"/>
        </w:rPr>
      </w:pPr>
      <w:r>
        <w:rPr>
          <w:rFonts w:ascii="Arial" w:cs="Arial" w:eastAsia="Arial" w:hAnsi="Arial"/>
          <w:sz w:val="22"/>
          <w:szCs w:val="22"/>
          <w:i w:val="1"/>
          <w:iCs w:val="1"/>
          <w:color w:val="auto"/>
        </w:rPr>
        <w:t>Our</w:t>
      </w:r>
      <w:r>
        <w:rPr>
          <w:sz w:val="20"/>
          <w:szCs w:val="20"/>
          <w:color w:val="auto"/>
        </w:rPr>
        <w:tab/>
      </w:r>
      <w:r>
        <w:rPr>
          <w:rFonts w:ascii="Arial" w:cs="Arial" w:eastAsia="Arial" w:hAnsi="Arial"/>
          <w:sz w:val="18"/>
          <w:szCs w:val="18"/>
          <w:i w:val="1"/>
          <w:iCs w:val="1"/>
          <w:color w:val="auto"/>
        </w:rPr>
        <w:t>usinesses</w:t>
      </w:r>
    </w:p>
    <w:p>
      <w:pPr>
        <w:spacing w:after="0" w:line="146" w:lineRule="exact"/>
        <w:rPr>
          <w:sz w:val="20"/>
          <w:szCs w:val="20"/>
          <w:color w:val="auto"/>
        </w:rPr>
      </w:pPr>
    </w:p>
    <w:p>
      <w:pPr>
        <w:ind w:left="10" w:right="320" w:firstLine="189"/>
        <w:spacing w:after="0" w:line="266" w:lineRule="auto"/>
        <w:rPr>
          <w:sz w:val="20"/>
          <w:szCs w:val="20"/>
          <w:color w:val="auto"/>
        </w:rPr>
      </w:pPr>
      <w:r>
        <w:rPr>
          <w:rFonts w:ascii="Arial" w:cs="Arial" w:eastAsia="Arial" w:hAnsi="Arial"/>
          <w:sz w:val="20"/>
          <w:szCs w:val="20"/>
          <w:color w:val="auto"/>
        </w:rPr>
        <w:t>e operate our business in four segments: armaxx and ome oods, both in the .S., TJX Canada and TJX International, including Europe and Australia. In addition to our four segments, we operate the Sierra business. The results of Sierra are included with the armaxx segment.</w:t>
      </w:r>
    </w:p>
    <w:p>
      <w:pPr>
        <w:spacing w:after="0" w:line="200" w:lineRule="exact"/>
        <w:rPr>
          <w:sz w:val="20"/>
          <w:szCs w:val="20"/>
          <w:color w:val="auto"/>
        </w:rPr>
      </w:pPr>
    </w:p>
    <w:p>
      <w:pPr>
        <w:spacing w:after="0" w:line="259" w:lineRule="exact"/>
        <w:rPr>
          <w:sz w:val="20"/>
          <w:szCs w:val="20"/>
          <w:color w:val="auto"/>
        </w:rPr>
      </w:pPr>
    </w:p>
    <w:p>
      <w:pPr>
        <w:ind w:left="150"/>
        <w:spacing w:after="0"/>
        <w:tabs>
          <w:tab w:leader="none" w:pos="769" w:val="left"/>
          <w:tab w:leader="none" w:pos="1629" w:val="left"/>
          <w:tab w:leader="none" w:pos="3489" w:val="left"/>
          <w:tab w:leader="none" w:pos="4789" w:val="left"/>
          <w:tab w:leader="none" w:pos="9769" w:val="left"/>
        </w:tabs>
        <w:rPr>
          <w:sz w:val="20"/>
          <w:szCs w:val="20"/>
          <w:color w:val="auto"/>
        </w:rPr>
      </w:pPr>
      <w:r>
        <w:rPr>
          <w:rFonts w:ascii="Arial" w:cs="Arial" w:eastAsia="Arial" w:hAnsi="Arial"/>
          <w:sz w:val="20"/>
          <w:szCs w:val="20"/>
          <w:color w:val="auto"/>
        </w:rPr>
        <w:t>ur TJ</w:t>
        <w:tab/>
        <w:t>axx and</w:t>
        <w:tab/>
        <w:t>arshalls chains in the</w:t>
        <w:tab/>
        <w:t>nited States (</w:t>
        <w:tab/>
        <w:t>armaxx ) are collectively the largest off-price retailer in the</w:t>
      </w:r>
      <w:r>
        <w:rPr>
          <w:sz w:val="20"/>
          <w:szCs w:val="20"/>
          <w:color w:val="auto"/>
        </w:rPr>
        <w:tab/>
      </w:r>
      <w:r>
        <w:rPr>
          <w:rFonts w:ascii="Arial" w:cs="Arial" w:eastAsia="Arial" w:hAnsi="Arial"/>
          <w:sz w:val="18"/>
          <w:szCs w:val="18"/>
          <w:color w:val="auto"/>
        </w:rPr>
        <w:t>nited</w:t>
      </w:r>
    </w:p>
    <w:p>
      <w:pPr>
        <w:spacing w:after="0" w:line="10" w:lineRule="exact"/>
        <w:rPr>
          <w:sz w:val="20"/>
          <w:szCs w:val="20"/>
          <w:color w:val="auto"/>
        </w:rPr>
      </w:pPr>
    </w:p>
    <w:p>
      <w:pPr>
        <w:ind w:left="10" w:right="360"/>
        <w:spacing w:after="0" w:line="278" w:lineRule="auto"/>
        <w:rPr>
          <w:sz w:val="20"/>
          <w:szCs w:val="20"/>
          <w:color w:val="auto"/>
        </w:rPr>
      </w:pPr>
      <w:r>
        <w:rPr>
          <w:rFonts w:ascii="Arial" w:cs="Arial" w:eastAsia="Arial" w:hAnsi="Arial"/>
          <w:sz w:val="18"/>
          <w:szCs w:val="18"/>
          <w:color w:val="auto"/>
        </w:rPr>
        <w:t>States with a total of 2,603 stores. e founded TJ axx in 1 76 and ac uired arshalls in 1 5. Both chains sell family apparel (including footwear), accessories (including beauty and jewelry), home fashions (including home basics, decorative</w:t>
      </w:r>
    </w:p>
    <w:p>
      <w:pPr>
        <w:ind w:left="10"/>
        <w:spacing w:after="0"/>
        <w:tabs>
          <w:tab w:leader="none" w:pos="4189" w:val="left"/>
          <w:tab w:leader="none" w:pos="6589" w:val="left"/>
          <w:tab w:leader="none" w:pos="7429" w:val="left"/>
        </w:tabs>
        <w:rPr>
          <w:sz w:val="20"/>
          <w:szCs w:val="20"/>
          <w:color w:val="auto"/>
        </w:rPr>
      </w:pPr>
      <w:r>
        <w:rPr>
          <w:rFonts w:ascii="Arial" w:cs="Arial" w:eastAsia="Arial" w:hAnsi="Arial"/>
          <w:sz w:val="20"/>
          <w:szCs w:val="20"/>
          <w:color w:val="auto"/>
        </w:rPr>
        <w:t>accessories and giftware), and other merchandise.</w:t>
        <w:tab/>
        <w:t>e primarily differentiate TJ</w:t>
        <w:tab/>
        <w:t>axx and</w:t>
      </w:r>
      <w:r>
        <w:rPr>
          <w:sz w:val="20"/>
          <w:szCs w:val="20"/>
          <w:color w:val="auto"/>
        </w:rPr>
        <w:tab/>
      </w:r>
      <w:r>
        <w:rPr>
          <w:rFonts w:ascii="Arial" w:cs="Arial" w:eastAsia="Arial" w:hAnsi="Arial"/>
          <w:sz w:val="18"/>
          <w:szCs w:val="18"/>
          <w:color w:val="auto"/>
        </w:rPr>
        <w:t>arshalls through different product</w:t>
      </w:r>
    </w:p>
    <w:p>
      <w:pPr>
        <w:spacing w:after="0" w:line="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assortment, including an expanded assortment of jewelry and accessories and a high-end designer department called The</w:t>
      </w:r>
    </w:p>
    <w:p>
      <w:pPr>
        <w:spacing w:after="0" w:line="33" w:lineRule="exact"/>
        <w:rPr>
          <w:sz w:val="20"/>
          <w:szCs w:val="20"/>
          <w:color w:val="auto"/>
        </w:rPr>
      </w:pPr>
    </w:p>
    <w:p>
      <w:pPr>
        <w:ind w:left="130"/>
        <w:spacing w:after="0"/>
        <w:tabs>
          <w:tab w:leader="none" w:pos="1309" w:val="left"/>
          <w:tab w:leader="none" w:pos="6529" w:val="left"/>
        </w:tabs>
        <w:rPr>
          <w:sz w:val="20"/>
          <w:szCs w:val="20"/>
          <w:color w:val="auto"/>
        </w:rPr>
      </w:pPr>
      <w:r>
        <w:rPr>
          <w:rFonts w:ascii="Arial" w:cs="Arial" w:eastAsia="Arial" w:hAnsi="Arial"/>
          <w:sz w:val="20"/>
          <w:szCs w:val="20"/>
          <w:color w:val="auto"/>
        </w:rPr>
        <w:t>unway at TJ</w:t>
        <w:tab/>
        <w:t>axx and a full line of footwear and a broader men’s offering at</w:t>
      </w:r>
      <w:r>
        <w:rPr>
          <w:sz w:val="20"/>
          <w:szCs w:val="20"/>
          <w:color w:val="auto"/>
        </w:rPr>
        <w:tab/>
      </w:r>
      <w:r>
        <w:rPr>
          <w:rFonts w:ascii="Arial" w:cs="Arial" w:eastAsia="Arial" w:hAnsi="Arial"/>
          <w:sz w:val="18"/>
          <w:szCs w:val="18"/>
          <w:color w:val="auto"/>
        </w:rPr>
        <w:t>arshalls, as well as varying in-store initiatives.</w:t>
      </w:r>
    </w:p>
    <w:p>
      <w:pPr>
        <w:spacing w:after="0" w:line="10" w:lineRule="exact"/>
        <w:rPr>
          <w:sz w:val="20"/>
          <w:szCs w:val="20"/>
          <w:color w:val="auto"/>
        </w:rPr>
      </w:pPr>
    </w:p>
    <w:p>
      <w:pPr>
        <w:ind w:left="10" w:right="340"/>
        <w:spacing w:after="0" w:line="341" w:lineRule="auto"/>
        <w:rPr>
          <w:sz w:val="20"/>
          <w:szCs w:val="20"/>
          <w:color w:val="auto"/>
        </w:rPr>
      </w:pPr>
      <w:r>
        <w:rPr>
          <w:rFonts w:ascii="Arial" w:cs="Arial" w:eastAsia="Arial" w:hAnsi="Arial"/>
          <w:sz w:val="18"/>
          <w:szCs w:val="18"/>
          <w:color w:val="auto"/>
        </w:rPr>
        <w:t>This differentiated shopping experience at TJ axx and arshalls encourages our customers to shop both chains. armaxx currently operates two e-commerce sites, tjmaxx.com, launched in 2013, and marshalls.com, launched in 201 .</w:t>
      </w:r>
    </w:p>
    <w:p>
      <w:pPr>
        <w:spacing w:after="0" w:line="12" w:lineRule="exact"/>
        <w:rPr>
          <w:sz w:val="20"/>
          <w:szCs w:val="20"/>
          <w:color w:val="auto"/>
        </w:rPr>
      </w:pPr>
    </w:p>
    <w:p>
      <w:pPr>
        <w:jc w:val="both"/>
        <w:ind w:left="10"/>
        <w:spacing w:after="0" w:line="287" w:lineRule="auto"/>
        <w:rPr>
          <w:sz w:val="20"/>
          <w:szCs w:val="20"/>
          <w:color w:val="auto"/>
        </w:rPr>
      </w:pPr>
      <w:r>
        <w:rPr>
          <w:rFonts w:ascii="Arial" w:cs="Arial" w:eastAsia="Arial" w:hAnsi="Arial"/>
          <w:sz w:val="19"/>
          <w:szCs w:val="19"/>
          <w:color w:val="auto"/>
        </w:rPr>
        <w:t>Sierra, ac uired in 2012 and rebranded from Sierra Trading Post in 2018, is a leading off-price retailer of brand name active and outdoor apparel, footwear, and gear (including sporting goods, snow and water sport, camping, fishing) for the whole family, as well as home fashions and pet. Sierra operates 145 retail stores in the .S. and sierra.com.</w:t>
      </w:r>
    </w:p>
    <w:p>
      <w:pPr>
        <w:spacing w:after="0" w:line="47" w:lineRule="exact"/>
        <w:rPr>
          <w:sz w:val="20"/>
          <w:szCs w:val="20"/>
          <w:color w:val="auto"/>
        </w:rPr>
      </w:pPr>
    </w:p>
    <w:p>
      <w:pPr>
        <w:ind w:left="1110"/>
        <w:spacing w:after="0"/>
        <w:rPr>
          <w:sz w:val="20"/>
          <w:szCs w:val="20"/>
          <w:color w:val="auto"/>
        </w:rPr>
      </w:pPr>
      <w:r>
        <w:rPr>
          <w:rFonts w:ascii="Arial" w:cs="Arial" w:eastAsia="Arial" w:hAnsi="Arial"/>
          <w:sz w:val="22"/>
          <w:szCs w:val="22"/>
          <w:i w:val="1"/>
          <w:iCs w:val="1"/>
          <w:color w:val="auto"/>
        </w:rPr>
        <w:t>D</w:t>
      </w:r>
    </w:p>
    <w:p>
      <w:pPr>
        <w:spacing w:after="0" w:line="141" w:lineRule="exact"/>
        <w:rPr>
          <w:sz w:val="20"/>
          <w:szCs w:val="20"/>
          <w:color w:val="auto"/>
        </w:rPr>
      </w:pPr>
    </w:p>
    <w:p>
      <w:pPr>
        <w:ind w:left="10" w:right="100" w:firstLine="145"/>
        <w:spacing w:after="0" w:line="257" w:lineRule="auto"/>
        <w:rPr>
          <w:sz w:val="20"/>
          <w:szCs w:val="20"/>
          <w:color w:val="auto"/>
        </w:rPr>
      </w:pPr>
      <w:r>
        <w:rPr>
          <w:rFonts w:ascii="Arial" w:cs="Arial" w:eastAsia="Arial" w:hAnsi="Arial"/>
          <w:sz w:val="20"/>
          <w:szCs w:val="20"/>
          <w:color w:val="auto"/>
        </w:rPr>
        <w:t>ur ome oods segment operates ome oods and omesense chains in the .S. ome oods, introduced in 1 2, is the leading off-price retailer of home fashions in the .S. Through its 63 stores, ome oods offers an eclectic assortment of home fashions, including furniture, rugs, lighting, soft home, decorative accessories, tabletop and cookware, as well as expanded pet and gourmet food departments. In 2017, we launched our omesense chain in the .S. ur 7 omesense stores complement ome oods, offering a differentiated mix and expanded departments, such as large furniture, ceiling lighting, rugs, and an entertaining marketplace.</w:t>
      </w:r>
    </w:p>
    <w:p>
      <w:pPr>
        <w:sectPr>
          <w:pgSz w:w="12240" w:h="15841" w:orient="portrait"/>
          <w:cols w:equalWidth="0" w:num="1">
            <w:col w:w="10250"/>
          </w:cols>
          <w:pgMar w:left="990" w:top="729"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5</w:t>
      </w:r>
    </w:p>
    <w:p>
      <w:pPr>
        <w:sectPr>
          <w:pgSz w:w="12240" w:h="15841" w:orient="portrait"/>
          <w:cols w:equalWidth="0" w:num="1">
            <w:col w:w="10250"/>
          </w:cols>
          <w:pgMar w:left="990" w:top="729" w:right="1001" w:bottom="0" w:gutter="0" w:footer="0" w:header="0"/>
          <w:type w:val="continuous"/>
        </w:sectPr>
      </w:pPr>
    </w:p>
    <w:bookmarkStart w:id="13" w:name="page14"/>
    <w:bookmarkEnd w:id="13"/>
    <w:p>
      <w:pPr>
        <w:ind w:left="410"/>
        <w:spacing w:after="0"/>
        <w:tabs>
          <w:tab w:leader="none" w:pos="949"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w:t>
      </w:r>
      <w:r>
        <w:rPr>
          <w:sz w:val="20"/>
          <w:szCs w:val="20"/>
          <w:color w:val="auto"/>
        </w:rPr>
        <w:tab/>
      </w:r>
      <w:r>
        <w:rPr>
          <w:rFonts w:ascii="Arial" w:cs="Arial" w:eastAsia="Arial" w:hAnsi="Arial"/>
          <w:sz w:val="22"/>
          <w:szCs w:val="22"/>
          <w:i w:val="1"/>
          <w:iCs w:val="1"/>
          <w:color w:val="auto"/>
        </w:rPr>
        <w:t>D</w:t>
      </w:r>
    </w:p>
    <w:p>
      <w:pPr>
        <w:spacing w:after="0" w:line="141" w:lineRule="exact"/>
        <w:rPr>
          <w:sz w:val="20"/>
          <w:szCs w:val="20"/>
          <w:color w:val="auto"/>
        </w:rPr>
      </w:pPr>
    </w:p>
    <w:p>
      <w:pPr>
        <w:ind w:left="150"/>
        <w:spacing w:after="0"/>
        <w:tabs>
          <w:tab w:leader="none" w:pos="3289" w:val="left"/>
          <w:tab w:leader="none" w:pos="4029" w:val="left"/>
          <w:tab w:leader="none" w:pos="5409" w:val="left"/>
          <w:tab w:leader="none" w:pos="7729" w:val="left"/>
        </w:tabs>
        <w:rPr>
          <w:sz w:val="20"/>
          <w:szCs w:val="20"/>
          <w:color w:val="auto"/>
        </w:rPr>
      </w:pPr>
      <w:r>
        <w:rPr>
          <w:rFonts w:ascii="Arial" w:cs="Arial" w:eastAsia="Arial" w:hAnsi="Arial"/>
          <w:sz w:val="20"/>
          <w:szCs w:val="20"/>
          <w:color w:val="auto"/>
        </w:rPr>
        <w:t>ur TJX Canada segment operates the</w:t>
        <w:tab/>
        <w:t>inners,</w:t>
        <w:tab/>
        <w:t>omeSense and</w:t>
        <w:tab/>
        <w:t>arshalls chains in Canada.</w:t>
      </w:r>
      <w:r>
        <w:rPr>
          <w:sz w:val="20"/>
          <w:szCs w:val="20"/>
          <w:color w:val="auto"/>
        </w:rPr>
        <w:tab/>
      </w:r>
      <w:r>
        <w:rPr>
          <w:rFonts w:ascii="Arial" w:cs="Arial" w:eastAsia="Arial" w:hAnsi="Arial"/>
          <w:sz w:val="18"/>
          <w:szCs w:val="18"/>
          <w:color w:val="auto"/>
        </w:rPr>
        <w:t>inners, ac uired by TJX in</w:t>
      </w:r>
    </w:p>
    <w:p>
      <w:pPr>
        <w:spacing w:after="0" w:line="10" w:lineRule="exact"/>
        <w:rPr>
          <w:sz w:val="20"/>
          <w:szCs w:val="20"/>
          <w:color w:val="auto"/>
        </w:rPr>
      </w:pPr>
    </w:p>
    <w:p>
      <w:pPr>
        <w:ind w:left="10" w:right="180" w:hanging="10"/>
        <w:spacing w:after="0" w:line="261" w:lineRule="auto"/>
        <w:tabs>
          <w:tab w:leader="none" w:pos="310" w:val="left"/>
        </w:tabs>
        <w:numPr>
          <w:ilvl w:val="0"/>
          <w:numId w:val="2"/>
        </w:numPr>
        <w:rPr>
          <w:rFonts w:ascii="Arial" w:cs="Arial" w:eastAsia="Arial" w:hAnsi="Arial"/>
          <w:sz w:val="20"/>
          <w:szCs w:val="20"/>
          <w:color w:val="auto"/>
        </w:rPr>
      </w:pPr>
      <w:r>
        <w:rPr>
          <w:rFonts w:ascii="Arial" w:cs="Arial" w:eastAsia="Arial" w:hAnsi="Arial"/>
          <w:sz w:val="20"/>
          <w:szCs w:val="20"/>
          <w:color w:val="auto"/>
        </w:rPr>
        <w:t>0, operates 316 stores and is the leading off-price family apparel and home fashions retailer in Canada. omeSense introduced the off-price home fashions concept to Canada in 2001. This chain operates 162 stores and offers an array of home decor, furniture, and seasonal home merchandise. arshalls, launched in Canada in 2011, operates 111 stores and offers off-price family apparel, footwear, and home fashions.</w:t>
      </w: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960" w:type="dxa"/>
            <w:vAlign w:val="bottom"/>
            <w:gridSpan w:val="3"/>
          </w:tcPr>
          <w:p>
            <w:pPr>
              <w:ind w:left="140"/>
              <w:spacing w:after="0"/>
              <w:rPr>
                <w:sz w:val="20"/>
                <w:szCs w:val="20"/>
                <w:color w:val="auto"/>
              </w:rPr>
            </w:pPr>
            <w:r>
              <w:rPr>
                <w:rFonts w:ascii="Arial" w:cs="Arial" w:eastAsia="Arial" w:hAnsi="Arial"/>
                <w:sz w:val="20"/>
                <w:szCs w:val="20"/>
                <w:color w:val="auto"/>
                <w:w w:val="97"/>
              </w:rPr>
              <w:t>ur TJX International segment operates the T</w:t>
            </w:r>
          </w:p>
        </w:tc>
        <w:tc>
          <w:tcPr>
            <w:tcW w:w="720" w:type="dxa"/>
            <w:vAlign w:val="bottom"/>
          </w:tcPr>
          <w:p>
            <w:pPr>
              <w:ind w:left="80"/>
              <w:spacing w:after="0"/>
              <w:rPr>
                <w:sz w:val="20"/>
                <w:szCs w:val="20"/>
                <w:color w:val="auto"/>
              </w:rPr>
            </w:pPr>
            <w:r>
              <w:rPr>
                <w:rFonts w:ascii="Arial" w:cs="Arial" w:eastAsia="Arial" w:hAnsi="Arial"/>
                <w:sz w:val="20"/>
                <w:szCs w:val="20"/>
                <w:color w:val="auto"/>
                <w:w w:val="88"/>
              </w:rPr>
              <w:t>axx and</w:t>
            </w:r>
          </w:p>
        </w:tc>
        <w:tc>
          <w:tcPr>
            <w:tcW w:w="3180" w:type="dxa"/>
            <w:vAlign w:val="bottom"/>
            <w:gridSpan w:val="4"/>
          </w:tcPr>
          <w:p>
            <w:pPr>
              <w:ind w:left="180"/>
              <w:spacing w:after="0"/>
              <w:rPr>
                <w:sz w:val="20"/>
                <w:szCs w:val="20"/>
                <w:color w:val="auto"/>
              </w:rPr>
            </w:pPr>
            <w:r>
              <w:rPr>
                <w:rFonts w:ascii="Arial" w:cs="Arial" w:eastAsia="Arial" w:hAnsi="Arial"/>
                <w:sz w:val="20"/>
                <w:szCs w:val="20"/>
                <w:color w:val="auto"/>
                <w:w w:val="88"/>
              </w:rPr>
              <w:t>omesense chains in Europe and the T</w:t>
            </w:r>
          </w:p>
        </w:tc>
        <w:tc>
          <w:tcPr>
            <w:tcW w:w="2380" w:type="dxa"/>
            <w:vAlign w:val="bottom"/>
            <w:gridSpan w:val="2"/>
          </w:tcPr>
          <w:p>
            <w:pPr>
              <w:ind w:left="340"/>
              <w:spacing w:after="0"/>
              <w:rPr>
                <w:sz w:val="20"/>
                <w:szCs w:val="20"/>
                <w:color w:val="auto"/>
              </w:rPr>
            </w:pPr>
            <w:r>
              <w:rPr>
                <w:rFonts w:ascii="Arial" w:cs="Arial" w:eastAsia="Arial" w:hAnsi="Arial"/>
                <w:sz w:val="20"/>
                <w:szCs w:val="20"/>
                <w:color w:val="auto"/>
              </w:rPr>
              <w:t>axx chain in Australia.</w:t>
            </w:r>
          </w:p>
        </w:tc>
      </w:tr>
      <w:tr>
        <w:trPr>
          <w:trHeight w:val="240"/>
        </w:trPr>
        <w:tc>
          <w:tcPr>
            <w:tcW w:w="1760" w:type="dxa"/>
            <w:vAlign w:val="bottom"/>
            <w:gridSpan w:val="2"/>
          </w:tcPr>
          <w:p>
            <w:pPr>
              <w:spacing w:after="0"/>
              <w:rPr>
                <w:sz w:val="20"/>
                <w:szCs w:val="20"/>
                <w:color w:val="auto"/>
              </w:rPr>
            </w:pPr>
            <w:r>
              <w:rPr>
                <w:rFonts w:ascii="Arial" w:cs="Arial" w:eastAsia="Arial" w:hAnsi="Arial"/>
                <w:sz w:val="20"/>
                <w:szCs w:val="20"/>
                <w:color w:val="auto"/>
              </w:rPr>
              <w:t>Launched in 1  4, T</w:t>
            </w:r>
          </w:p>
        </w:tc>
        <w:tc>
          <w:tcPr>
            <w:tcW w:w="8480" w:type="dxa"/>
            <w:vAlign w:val="bottom"/>
            <w:gridSpan w:val="8"/>
          </w:tcPr>
          <w:p>
            <w:pPr>
              <w:ind w:left="260"/>
              <w:spacing w:after="0"/>
              <w:rPr>
                <w:sz w:val="20"/>
                <w:szCs w:val="20"/>
                <w:color w:val="auto"/>
              </w:rPr>
            </w:pPr>
            <w:r>
              <w:rPr>
                <w:rFonts w:ascii="Arial" w:cs="Arial" w:eastAsia="Arial" w:hAnsi="Arial"/>
                <w:sz w:val="20"/>
                <w:szCs w:val="20"/>
                <w:color w:val="auto"/>
                <w:w w:val="95"/>
              </w:rPr>
              <w:t>axx introduced off-price retail to Europe and remains Europe’s largest major brick-and-mortar off-</w:t>
            </w:r>
          </w:p>
        </w:tc>
      </w:tr>
      <w:tr>
        <w:trPr>
          <w:trHeight w:val="240"/>
        </w:trPr>
        <w:tc>
          <w:tcPr>
            <w:tcW w:w="6100" w:type="dxa"/>
            <w:vAlign w:val="bottom"/>
            <w:gridSpan w:val="6"/>
          </w:tcPr>
          <w:p>
            <w:pPr>
              <w:spacing w:after="0"/>
              <w:rPr>
                <w:sz w:val="20"/>
                <w:szCs w:val="20"/>
                <w:color w:val="auto"/>
              </w:rPr>
            </w:pPr>
            <w:r>
              <w:rPr>
                <w:rFonts w:ascii="Arial" w:cs="Arial" w:eastAsia="Arial" w:hAnsi="Arial"/>
                <w:sz w:val="20"/>
                <w:szCs w:val="20"/>
                <w:color w:val="auto"/>
                <w:w w:val="95"/>
              </w:rPr>
              <w:t>price retailer of apparel and home fashions.   ith 673 stores in Europe, T</w:t>
            </w:r>
          </w:p>
        </w:tc>
        <w:tc>
          <w:tcPr>
            <w:tcW w:w="1760" w:type="dxa"/>
            <w:vAlign w:val="bottom"/>
            <w:gridSpan w:val="2"/>
          </w:tcPr>
          <w:p>
            <w:pPr>
              <w:ind w:left="100"/>
              <w:spacing w:after="0"/>
              <w:rPr>
                <w:sz w:val="20"/>
                <w:szCs w:val="20"/>
                <w:color w:val="auto"/>
              </w:rPr>
            </w:pPr>
            <w:r>
              <w:rPr>
                <w:rFonts w:ascii="Arial" w:cs="Arial" w:eastAsia="Arial" w:hAnsi="Arial"/>
                <w:sz w:val="20"/>
                <w:szCs w:val="20"/>
                <w:color w:val="auto"/>
                <w:w w:val="97"/>
              </w:rPr>
              <w:t>axx operates in the</w:t>
            </w:r>
          </w:p>
        </w:tc>
        <w:tc>
          <w:tcPr>
            <w:tcW w:w="1960" w:type="dxa"/>
            <w:vAlign w:val="bottom"/>
          </w:tcPr>
          <w:p>
            <w:pPr>
              <w:ind w:left="40"/>
              <w:spacing w:after="0"/>
              <w:rPr>
                <w:sz w:val="20"/>
                <w:szCs w:val="20"/>
                <w:color w:val="auto"/>
              </w:rPr>
            </w:pPr>
            <w:r>
              <w:rPr>
                <w:rFonts w:ascii="Arial" w:cs="Arial" w:eastAsia="Arial" w:hAnsi="Arial"/>
                <w:sz w:val="20"/>
                <w:szCs w:val="20"/>
                <w:color w:val="auto"/>
              </w:rPr>
              <w:t>.  ., Ireland,  ermany,</w:t>
            </w:r>
          </w:p>
        </w:tc>
        <w:tc>
          <w:tcPr>
            <w:tcW w:w="420" w:type="dxa"/>
            <w:vAlign w:val="bottom"/>
          </w:tcPr>
          <w:p>
            <w:pPr>
              <w:spacing w:after="0"/>
              <w:rPr>
                <w:sz w:val="20"/>
                <w:szCs w:val="20"/>
                <w:color w:val="auto"/>
              </w:rPr>
            </w:pPr>
          </w:p>
        </w:tc>
      </w:tr>
      <w:tr>
        <w:trPr>
          <w:trHeight w:val="240"/>
        </w:trPr>
        <w:tc>
          <w:tcPr>
            <w:tcW w:w="3960" w:type="dxa"/>
            <w:vAlign w:val="bottom"/>
            <w:gridSpan w:val="3"/>
          </w:tcPr>
          <w:p>
            <w:pPr>
              <w:spacing w:after="0"/>
              <w:rPr>
                <w:sz w:val="20"/>
                <w:szCs w:val="20"/>
                <w:color w:val="auto"/>
              </w:rPr>
            </w:pPr>
            <w:r>
              <w:rPr>
                <w:rFonts w:ascii="Arial" w:cs="Arial" w:eastAsia="Arial" w:hAnsi="Arial"/>
                <w:sz w:val="20"/>
                <w:szCs w:val="20"/>
                <w:color w:val="auto"/>
                <w:w w:val="91"/>
              </w:rPr>
              <w:t>Poland, Austria, the Netherlands, and, starting in</w:t>
            </w:r>
          </w:p>
        </w:tc>
        <w:tc>
          <w:tcPr>
            <w:tcW w:w="6280" w:type="dxa"/>
            <w:vAlign w:val="bottom"/>
            <w:gridSpan w:val="7"/>
          </w:tcPr>
          <w:p>
            <w:pPr>
              <w:ind w:left="160"/>
              <w:spacing w:after="0"/>
              <w:rPr>
                <w:sz w:val="20"/>
                <w:szCs w:val="20"/>
                <w:color w:val="auto"/>
              </w:rPr>
            </w:pPr>
            <w:r>
              <w:rPr>
                <w:rFonts w:ascii="Arial" w:cs="Arial" w:eastAsia="Arial" w:hAnsi="Arial"/>
                <w:sz w:val="20"/>
                <w:szCs w:val="20"/>
                <w:color w:val="auto"/>
                <w:w w:val="90"/>
              </w:rPr>
              <w:t>arch 2026, Spain. Through its stores and its e-commerce sites, tkmaxx.com,</w:t>
            </w:r>
          </w:p>
        </w:tc>
      </w:tr>
      <w:tr>
        <w:trPr>
          <w:trHeight w:val="240"/>
        </w:trPr>
        <w:tc>
          <w:tcPr>
            <w:tcW w:w="6100" w:type="dxa"/>
            <w:vAlign w:val="bottom"/>
            <w:gridSpan w:val="6"/>
          </w:tcPr>
          <w:p>
            <w:pPr>
              <w:spacing w:after="0"/>
              <w:rPr>
                <w:sz w:val="20"/>
                <w:szCs w:val="20"/>
                <w:color w:val="auto"/>
              </w:rPr>
            </w:pPr>
            <w:r>
              <w:rPr>
                <w:rFonts w:ascii="Arial" w:cs="Arial" w:eastAsia="Arial" w:hAnsi="Arial"/>
                <w:sz w:val="20"/>
                <w:szCs w:val="20"/>
                <w:color w:val="auto"/>
                <w:w w:val="94"/>
              </w:rPr>
              <w:t>launched in 200  and tkmaxx.de and tkmaxx.at, both launched in 2023, T</w:t>
            </w:r>
          </w:p>
        </w:tc>
        <w:tc>
          <w:tcPr>
            <w:tcW w:w="3720" w:type="dxa"/>
            <w:vAlign w:val="bottom"/>
            <w:gridSpan w:val="3"/>
          </w:tcPr>
          <w:p>
            <w:pPr>
              <w:ind w:left="160"/>
              <w:spacing w:after="0"/>
              <w:rPr>
                <w:sz w:val="20"/>
                <w:szCs w:val="20"/>
                <w:color w:val="auto"/>
              </w:rPr>
            </w:pPr>
            <w:r>
              <w:rPr>
                <w:rFonts w:ascii="Arial" w:cs="Arial" w:eastAsia="Arial" w:hAnsi="Arial"/>
                <w:sz w:val="20"/>
                <w:szCs w:val="20"/>
                <w:color w:val="auto"/>
                <w:w w:val="94"/>
              </w:rPr>
              <w:t>axx offers a merchandise mix similar to TJ</w:t>
            </w:r>
          </w:p>
        </w:tc>
        <w:tc>
          <w:tcPr>
            <w:tcW w:w="420" w:type="dxa"/>
            <w:vAlign w:val="bottom"/>
          </w:tcPr>
          <w:p>
            <w:pPr>
              <w:ind w:left="80"/>
              <w:spacing w:after="0"/>
              <w:rPr>
                <w:sz w:val="20"/>
                <w:szCs w:val="20"/>
                <w:color w:val="auto"/>
              </w:rPr>
            </w:pPr>
            <w:r>
              <w:rPr>
                <w:rFonts w:ascii="Arial" w:cs="Arial" w:eastAsia="Arial" w:hAnsi="Arial"/>
                <w:sz w:val="20"/>
                <w:szCs w:val="20"/>
                <w:color w:val="auto"/>
                <w:w w:val="87"/>
              </w:rPr>
              <w:t>axx.</w:t>
            </w:r>
          </w:p>
        </w:tc>
      </w:tr>
      <w:tr>
        <w:trPr>
          <w:trHeight w:val="240"/>
        </w:trPr>
        <w:tc>
          <w:tcPr>
            <w:tcW w:w="5580" w:type="dxa"/>
            <w:vAlign w:val="bottom"/>
            <w:gridSpan w:val="5"/>
          </w:tcPr>
          <w:p>
            <w:pPr>
              <w:ind w:left="180"/>
              <w:spacing w:after="0"/>
              <w:rPr>
                <w:sz w:val="20"/>
                <w:szCs w:val="20"/>
                <w:color w:val="auto"/>
              </w:rPr>
            </w:pPr>
            <w:r>
              <w:rPr>
                <w:rFonts w:ascii="Arial" w:cs="Arial" w:eastAsia="Arial" w:hAnsi="Arial"/>
                <w:sz w:val="20"/>
                <w:szCs w:val="20"/>
                <w:color w:val="auto"/>
                <w:w w:val="92"/>
              </w:rPr>
              <w:t>e brought the off-price home fashions concept to Europe, opening</w:t>
            </w:r>
          </w:p>
        </w:tc>
        <w:tc>
          <w:tcPr>
            <w:tcW w:w="1500" w:type="dxa"/>
            <w:vAlign w:val="bottom"/>
            <w:gridSpan w:val="2"/>
          </w:tcPr>
          <w:p>
            <w:pPr>
              <w:ind w:left="60"/>
              <w:spacing w:after="0"/>
              <w:rPr>
                <w:sz w:val="20"/>
                <w:szCs w:val="20"/>
                <w:color w:val="auto"/>
              </w:rPr>
            </w:pPr>
            <w:r>
              <w:rPr>
                <w:rFonts w:ascii="Arial" w:cs="Arial" w:eastAsia="Arial" w:hAnsi="Arial"/>
                <w:sz w:val="20"/>
                <w:szCs w:val="20"/>
                <w:color w:val="auto"/>
                <w:w w:val="96"/>
              </w:rPr>
              <w:t>omesense in the</w:t>
            </w:r>
          </w:p>
        </w:tc>
        <w:tc>
          <w:tcPr>
            <w:tcW w:w="3160" w:type="dxa"/>
            <w:vAlign w:val="bottom"/>
            <w:gridSpan w:val="3"/>
          </w:tcPr>
          <w:p>
            <w:pPr>
              <w:ind w:left="20"/>
              <w:spacing w:after="0"/>
              <w:rPr>
                <w:sz w:val="20"/>
                <w:szCs w:val="20"/>
                <w:color w:val="auto"/>
              </w:rPr>
            </w:pPr>
            <w:r>
              <w:rPr>
                <w:rFonts w:ascii="Arial" w:cs="Arial" w:eastAsia="Arial" w:hAnsi="Arial"/>
                <w:sz w:val="20"/>
                <w:szCs w:val="20"/>
                <w:color w:val="auto"/>
                <w:w w:val="96"/>
              </w:rPr>
              <w:t>.  . in 2008 and in Ireland in 2017. Its</w:t>
            </w:r>
          </w:p>
        </w:tc>
      </w:tr>
      <w:tr>
        <w:trPr>
          <w:trHeight w:val="240"/>
        </w:trPr>
        <w:tc>
          <w:tcPr>
            <w:tcW w:w="5580" w:type="dxa"/>
            <w:vAlign w:val="bottom"/>
            <w:gridSpan w:val="5"/>
          </w:tcPr>
          <w:p>
            <w:pPr>
              <w:spacing w:after="0"/>
              <w:rPr>
                <w:sz w:val="20"/>
                <w:szCs w:val="20"/>
                <w:color w:val="auto"/>
              </w:rPr>
            </w:pPr>
            <w:r>
              <w:rPr>
                <w:rFonts w:ascii="Arial" w:cs="Arial" w:eastAsia="Arial" w:hAnsi="Arial"/>
                <w:sz w:val="20"/>
                <w:szCs w:val="20"/>
                <w:color w:val="auto"/>
                <w:w w:val="91"/>
              </w:rPr>
              <w:t>74 stores offer a merchandise mix of home fashions similar to that of</w:t>
            </w:r>
          </w:p>
        </w:tc>
        <w:tc>
          <w:tcPr>
            <w:tcW w:w="520" w:type="dxa"/>
            <w:vAlign w:val="bottom"/>
          </w:tcPr>
          <w:p>
            <w:pPr>
              <w:ind w:left="120"/>
              <w:spacing w:after="0"/>
              <w:rPr>
                <w:sz w:val="20"/>
                <w:szCs w:val="20"/>
                <w:color w:val="auto"/>
              </w:rPr>
            </w:pPr>
            <w:r>
              <w:rPr>
                <w:rFonts w:ascii="Arial" w:cs="Arial" w:eastAsia="Arial" w:hAnsi="Arial"/>
                <w:sz w:val="20"/>
                <w:szCs w:val="20"/>
                <w:color w:val="auto"/>
                <w:w w:val="97"/>
              </w:rPr>
              <w:t>ome</w:t>
            </w:r>
          </w:p>
        </w:tc>
        <w:tc>
          <w:tcPr>
            <w:tcW w:w="980" w:type="dxa"/>
            <w:vAlign w:val="bottom"/>
          </w:tcPr>
          <w:p>
            <w:pPr>
              <w:ind w:left="80"/>
              <w:spacing w:after="0"/>
              <w:rPr>
                <w:sz w:val="20"/>
                <w:szCs w:val="20"/>
                <w:color w:val="auto"/>
              </w:rPr>
            </w:pPr>
            <w:r>
              <w:rPr>
                <w:rFonts w:ascii="Arial" w:cs="Arial" w:eastAsia="Arial" w:hAnsi="Arial"/>
                <w:sz w:val="20"/>
                <w:szCs w:val="20"/>
                <w:color w:val="auto"/>
                <w:w w:val="89"/>
              </w:rPr>
              <w:t>oods in the</w:t>
            </w:r>
          </w:p>
        </w:tc>
        <w:tc>
          <w:tcPr>
            <w:tcW w:w="780" w:type="dxa"/>
            <w:vAlign w:val="bottom"/>
          </w:tcPr>
          <w:p>
            <w:pPr>
              <w:ind w:left="180"/>
              <w:spacing w:after="0"/>
              <w:rPr>
                <w:sz w:val="20"/>
                <w:szCs w:val="20"/>
                <w:color w:val="auto"/>
              </w:rPr>
            </w:pPr>
            <w:r>
              <w:rPr>
                <w:rFonts w:ascii="Arial" w:cs="Arial" w:eastAsia="Arial" w:hAnsi="Arial"/>
                <w:sz w:val="20"/>
                <w:szCs w:val="20"/>
                <w:color w:val="auto"/>
                <w:w w:val="91"/>
              </w:rPr>
              <w:t>.S. and</w:t>
            </w:r>
          </w:p>
        </w:tc>
        <w:tc>
          <w:tcPr>
            <w:tcW w:w="1960" w:type="dxa"/>
            <w:vAlign w:val="bottom"/>
          </w:tcPr>
          <w:p>
            <w:pPr>
              <w:ind w:left="140"/>
              <w:spacing w:after="0"/>
              <w:rPr>
                <w:sz w:val="20"/>
                <w:szCs w:val="20"/>
                <w:color w:val="auto"/>
              </w:rPr>
            </w:pPr>
            <w:r>
              <w:rPr>
                <w:rFonts w:ascii="Arial" w:cs="Arial" w:eastAsia="Arial" w:hAnsi="Arial"/>
                <w:sz w:val="20"/>
                <w:szCs w:val="20"/>
                <w:color w:val="auto"/>
                <w:w w:val="90"/>
              </w:rPr>
              <w:t>omeSense in Canada.</w:t>
            </w:r>
          </w:p>
        </w:tc>
        <w:tc>
          <w:tcPr>
            <w:tcW w:w="420" w:type="dxa"/>
            <w:vAlign w:val="bottom"/>
          </w:tcPr>
          <w:p>
            <w:pPr>
              <w:ind w:left="140"/>
              <w:spacing w:after="0"/>
              <w:rPr>
                <w:sz w:val="20"/>
                <w:szCs w:val="20"/>
                <w:color w:val="auto"/>
              </w:rPr>
            </w:pPr>
            <w:r>
              <w:rPr>
                <w:rFonts w:ascii="Arial" w:cs="Arial" w:eastAsia="Arial" w:hAnsi="Arial"/>
                <w:sz w:val="20"/>
                <w:szCs w:val="20"/>
                <w:color w:val="auto"/>
              </w:rPr>
              <w:t>e</w:t>
            </w:r>
          </w:p>
        </w:tc>
      </w:tr>
      <w:tr>
        <w:trPr>
          <w:trHeight w:val="240"/>
        </w:trPr>
        <w:tc>
          <w:tcPr>
            <w:tcW w:w="6100" w:type="dxa"/>
            <w:vAlign w:val="bottom"/>
            <w:gridSpan w:val="6"/>
          </w:tcPr>
          <w:p>
            <w:pPr>
              <w:spacing w:after="0"/>
              <w:rPr>
                <w:sz w:val="20"/>
                <w:szCs w:val="20"/>
                <w:color w:val="auto"/>
              </w:rPr>
            </w:pPr>
            <w:r>
              <w:rPr>
                <w:rFonts w:ascii="Arial" w:cs="Arial" w:eastAsia="Arial" w:hAnsi="Arial"/>
                <w:sz w:val="20"/>
                <w:szCs w:val="20"/>
                <w:color w:val="auto"/>
                <w:w w:val="95"/>
              </w:rPr>
              <w:t>ac uired Trade Secret in Australia in 2015 and re-branded it under the T</w:t>
            </w:r>
          </w:p>
        </w:tc>
        <w:tc>
          <w:tcPr>
            <w:tcW w:w="4140" w:type="dxa"/>
            <w:vAlign w:val="bottom"/>
            <w:gridSpan w:val="4"/>
          </w:tcPr>
          <w:p>
            <w:pPr>
              <w:ind w:left="40"/>
              <w:spacing w:after="0"/>
              <w:rPr>
                <w:sz w:val="20"/>
                <w:szCs w:val="20"/>
                <w:color w:val="auto"/>
              </w:rPr>
            </w:pPr>
            <w:r>
              <w:rPr>
                <w:rFonts w:ascii="Arial" w:cs="Arial" w:eastAsia="Arial" w:hAnsi="Arial"/>
                <w:sz w:val="20"/>
                <w:szCs w:val="20"/>
                <w:color w:val="auto"/>
                <w:w w:val="93"/>
              </w:rPr>
              <w:t>axx name during 2017. The merchandise offering</w:t>
            </w:r>
          </w:p>
        </w:tc>
      </w:tr>
      <w:tr>
        <w:trPr>
          <w:trHeight w:val="261"/>
        </w:trPr>
        <w:tc>
          <w:tcPr>
            <w:tcW w:w="360" w:type="dxa"/>
            <w:vAlign w:val="bottom"/>
          </w:tcPr>
          <w:p>
            <w:pPr>
              <w:spacing w:after="0"/>
              <w:rPr>
                <w:sz w:val="20"/>
                <w:szCs w:val="20"/>
                <w:color w:val="auto"/>
              </w:rPr>
            </w:pPr>
            <w:r>
              <w:rPr>
                <w:rFonts w:ascii="Arial" w:cs="Arial" w:eastAsia="Arial" w:hAnsi="Arial"/>
                <w:sz w:val="20"/>
                <w:szCs w:val="20"/>
                <w:color w:val="auto"/>
                <w:w w:val="98"/>
              </w:rPr>
              <w:t>at T</w:t>
            </w:r>
          </w:p>
        </w:tc>
        <w:tc>
          <w:tcPr>
            <w:tcW w:w="4320" w:type="dxa"/>
            <w:vAlign w:val="bottom"/>
            <w:gridSpan w:val="3"/>
          </w:tcPr>
          <w:p>
            <w:pPr>
              <w:ind w:left="320"/>
              <w:spacing w:after="0"/>
              <w:rPr>
                <w:sz w:val="20"/>
                <w:szCs w:val="20"/>
                <w:color w:val="auto"/>
              </w:rPr>
            </w:pPr>
            <w:r>
              <w:rPr>
                <w:rFonts w:ascii="Arial" w:cs="Arial" w:eastAsia="Arial" w:hAnsi="Arial"/>
                <w:sz w:val="20"/>
                <w:szCs w:val="20"/>
                <w:color w:val="auto"/>
                <w:w w:val="94"/>
              </w:rPr>
              <w:t>axx in Australia s 88 stores is comparable to TJ</w:t>
            </w:r>
          </w:p>
        </w:tc>
        <w:tc>
          <w:tcPr>
            <w:tcW w:w="900" w:type="dxa"/>
            <w:vAlign w:val="bottom"/>
          </w:tcPr>
          <w:p>
            <w:pPr>
              <w:spacing w:after="0"/>
              <w:rPr>
                <w:sz w:val="20"/>
                <w:szCs w:val="20"/>
                <w:color w:val="auto"/>
              </w:rPr>
            </w:pPr>
            <w:r>
              <w:rPr>
                <w:rFonts w:ascii="Arial" w:cs="Arial" w:eastAsia="Arial" w:hAnsi="Arial"/>
                <w:sz w:val="20"/>
                <w:szCs w:val="20"/>
                <w:color w:val="auto"/>
              </w:rPr>
              <w:t>axx.</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76"/>
        </w:trPr>
        <w:tc>
          <w:tcPr>
            <w:tcW w:w="360" w:type="dxa"/>
            <w:vAlign w:val="bottom"/>
          </w:tcPr>
          <w:p>
            <w:pPr>
              <w:ind w:left="140"/>
              <w:spacing w:after="0"/>
              <w:rPr>
                <w:sz w:val="20"/>
                <w:szCs w:val="20"/>
                <w:color w:val="auto"/>
              </w:rPr>
            </w:pPr>
            <w:r>
              <w:rPr>
                <w:rFonts w:ascii="Arial" w:cs="Arial" w:eastAsia="Arial" w:hAnsi="Arial"/>
                <w:sz w:val="22"/>
                <w:szCs w:val="22"/>
                <w:i w:val="1"/>
                <w:iCs w:val="1"/>
                <w:color w:val="auto"/>
              </w:rPr>
              <w:t>le</w:t>
            </w:r>
          </w:p>
        </w:tc>
        <w:tc>
          <w:tcPr>
            <w:tcW w:w="1400" w:type="dxa"/>
            <w:vAlign w:val="bottom"/>
          </w:tcPr>
          <w:p>
            <w:pPr>
              <w:ind w:left="40"/>
              <w:spacing w:after="0"/>
              <w:rPr>
                <w:sz w:val="20"/>
                <w:szCs w:val="20"/>
                <w:color w:val="auto"/>
              </w:rPr>
            </w:pPr>
            <w:r>
              <w:rPr>
                <w:rFonts w:ascii="Arial" w:cs="Arial" w:eastAsia="Arial" w:hAnsi="Arial"/>
                <w:sz w:val="22"/>
                <w:szCs w:val="22"/>
                <w:i w:val="1"/>
                <w:iCs w:val="1"/>
                <w:color w:val="auto"/>
              </w:rPr>
              <w:t>ible  usiness</w:t>
            </w:r>
          </w:p>
        </w:tc>
        <w:tc>
          <w:tcPr>
            <w:tcW w:w="2200" w:type="dxa"/>
            <w:vAlign w:val="bottom"/>
          </w:tcPr>
          <w:p>
            <w:pPr>
              <w:ind w:left="80"/>
              <w:spacing w:after="0"/>
              <w:rPr>
                <w:sz w:val="20"/>
                <w:szCs w:val="20"/>
                <w:color w:val="auto"/>
              </w:rPr>
            </w:pPr>
            <w:r>
              <w:rPr>
                <w:rFonts w:ascii="Arial" w:cs="Arial" w:eastAsia="Arial" w:hAnsi="Arial"/>
                <w:sz w:val="22"/>
                <w:szCs w:val="22"/>
                <w:i w:val="1"/>
                <w:iCs w:val="1"/>
                <w:color w:val="auto"/>
              </w:rPr>
              <w:t>odel</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6" w:lineRule="exact"/>
        <w:rPr>
          <w:sz w:val="20"/>
          <w:szCs w:val="20"/>
          <w:color w:val="auto"/>
        </w:rPr>
      </w:pPr>
    </w:p>
    <w:p>
      <w:pPr>
        <w:ind w:left="10" w:firstLine="145"/>
        <w:spacing w:after="0" w:line="268" w:lineRule="auto"/>
        <w:rPr>
          <w:sz w:val="20"/>
          <w:szCs w:val="20"/>
          <w:color w:val="auto"/>
        </w:rPr>
      </w:pPr>
      <w:r>
        <w:rPr>
          <w:rFonts w:ascii="Arial" w:cs="Arial" w:eastAsia="Arial" w:hAnsi="Arial"/>
          <w:sz w:val="19"/>
          <w:szCs w:val="19"/>
          <w:color w:val="auto"/>
        </w:rPr>
        <w:t>ur flexible business model, including our opportunistic buying, inventory management, logistics and flexible store layouts, is designed to deliver a compelling value proposition of fashionable, uality, brand name and designer merchandise to our customers at excellent values every day. ur buying and inventory management strategies give us flexibility to adjust our merchandise assortments more fre uently than traditional retailers, and the design and operation of our stores and distribution centers support this flexibility. ur buyers have more visibility into consumer, fashion and market trends and pricing when we buy closer to need, which can help us buy better and reduce our markdown exposure. ur selling floor space is flexible, without walls between departments and largely free of permanent fixtures, so we can easily expand and contract departments to accommodate the merchandise we purchase. ur logistics and distribution operations are designed to support our global buying strategies and to facilitate uick, efficient and differentiated delivery of merchandise to our stores, with a goal of delivering the right merchandise to the right stores at the right time.</w:t>
      </w:r>
    </w:p>
    <w:p>
      <w:pPr>
        <w:spacing w:after="0" w:line="65" w:lineRule="exact"/>
        <w:rPr>
          <w:sz w:val="20"/>
          <w:szCs w:val="20"/>
          <w:color w:val="auto"/>
        </w:rPr>
      </w:pPr>
    </w:p>
    <w:p>
      <w:pPr>
        <w:ind w:left="10"/>
        <w:spacing w:after="0"/>
        <w:tabs>
          <w:tab w:leader="none" w:pos="349" w:val="left"/>
          <w:tab w:leader="none" w:pos="1429" w:val="left"/>
        </w:tabs>
        <w:rPr>
          <w:sz w:val="20"/>
          <w:szCs w:val="20"/>
          <w:color w:val="auto"/>
        </w:rPr>
      </w:pPr>
      <w:r>
        <w:rPr>
          <w:rFonts w:ascii="Arial" w:cs="Arial" w:eastAsia="Arial" w:hAnsi="Arial"/>
          <w:sz w:val="22"/>
          <w:szCs w:val="22"/>
          <w:i w:val="1"/>
          <w:iCs w:val="1"/>
          <w:color w:val="auto"/>
        </w:rPr>
        <w:t>O</w:t>
        <w:tab/>
        <w:t>ortunistic</w:t>
        <w:tab/>
        <w:t>u ing</w:t>
      </w:r>
    </w:p>
    <w:p>
      <w:pPr>
        <w:spacing w:after="0" w:line="146" w:lineRule="exact"/>
        <w:rPr>
          <w:sz w:val="20"/>
          <w:szCs w:val="20"/>
          <w:color w:val="auto"/>
        </w:rPr>
      </w:pPr>
    </w:p>
    <w:p>
      <w:pPr>
        <w:ind w:left="10" w:right="220"/>
        <w:spacing w:after="0" w:line="270" w:lineRule="auto"/>
        <w:rPr>
          <w:sz w:val="20"/>
          <w:szCs w:val="20"/>
          <w:color w:val="auto"/>
        </w:rPr>
      </w:pPr>
      <w:r>
        <w:rPr>
          <w:rFonts w:ascii="Arial" w:cs="Arial" w:eastAsia="Arial" w:hAnsi="Arial"/>
          <w:sz w:val="19"/>
          <w:szCs w:val="19"/>
          <w:color w:val="auto"/>
        </w:rPr>
        <w:t>As an off-price retailer, our buying practices, which we refer to as opportunistic buying, differentiate us from traditional retailers. ur overall global buying strategy is to ac uire merchandise on an ongoing basis that will enable us to offer a desirable and rapidly changing mix of branded, designer and other uality merchandise in our stores at prices below regular prices for comparable merchandise at full-price retailers, including department, specialty, and major online retailers. e seek out and select merchandise from the broad range of opportunities in the market to achieve this end. ur buying organi ation, which numbers over 1,400 employees (who we refer to as Associates), has buying offices across the globe and executes this opportunistic buying strategy, buying merchandise from more than 100 countries in a variety of ways, depending on market conditions and other factors.</w:t>
      </w:r>
    </w:p>
    <w:p>
      <w:pPr>
        <w:spacing w:after="0" w:line="74" w:lineRule="exact"/>
        <w:rPr>
          <w:sz w:val="20"/>
          <w:szCs w:val="20"/>
          <w:color w:val="auto"/>
        </w:rPr>
      </w:pPr>
    </w:p>
    <w:p>
      <w:pPr>
        <w:ind w:left="10" w:firstLine="189"/>
        <w:spacing w:after="0" w:line="283" w:lineRule="auto"/>
        <w:rPr>
          <w:sz w:val="20"/>
          <w:szCs w:val="20"/>
          <w:color w:val="auto"/>
        </w:rPr>
      </w:pPr>
      <w:r>
        <w:rPr>
          <w:rFonts w:ascii="Arial" w:cs="Arial" w:eastAsia="Arial" w:hAnsi="Arial"/>
          <w:sz w:val="18"/>
          <w:szCs w:val="18"/>
          <w:color w:val="auto"/>
        </w:rPr>
        <w:t>e take advantage of opportunities to ac uire merchandise at substantial discounts that regularly arise from the production and flow of inventory in the apparel and home fashions marketplace. These opportunities include, among others, closeouts from brands, manufacturers and other retailers special production direct from brands and factories order cancellations and manufacturer overruns. ur global buying strategies are intentionally flexible to allow us to react to fre uently changing opportunities and trends in the market and to adjust how and what we source as well as when we source it. ur goal is to operate with lean inventory levels compared to conventional retailers to give us the flexibility to seek out and to take advantage of these opportunities as they arise, close to the time the merchandise is needed in our stores and online and when we have more visibility into fashion trends and price. In contrast to traditional retailers, which tend to order most of their goods far in advance of the time the product appears on the selling floor, our merchants generally remain in the marketplace for goods throughout the year, fre uently looking for opportunities to buy merchandise. e buy much of our merchandise for the current or immediately upcoming selling season. e also buy some merchandise that is available in the market with the intention of storing it for sale, typically in future selling seasons. e generally make these purchases, referred to as packaway, in response to opportunities to buy merchandise that we believe has the right combination of brand, fashion, price and uality to supplement the product we expect to be available to purchase later for those future seasons.</w:t>
      </w:r>
    </w:p>
    <w:p>
      <w:pPr>
        <w:spacing w:after="0" w:line="63" w:lineRule="exact"/>
        <w:rPr>
          <w:sz w:val="20"/>
          <w:szCs w:val="20"/>
          <w:color w:val="auto"/>
        </w:rPr>
      </w:pPr>
    </w:p>
    <w:p>
      <w:pPr>
        <w:jc w:val="both"/>
        <w:ind w:left="10" w:right="200" w:firstLine="189"/>
        <w:spacing w:after="0" w:line="287" w:lineRule="auto"/>
        <w:rPr>
          <w:sz w:val="20"/>
          <w:szCs w:val="20"/>
          <w:color w:val="auto"/>
        </w:rPr>
      </w:pPr>
      <w:r>
        <w:rPr>
          <w:rFonts w:ascii="Arial" w:cs="Arial" w:eastAsia="Arial" w:hAnsi="Arial"/>
          <w:sz w:val="19"/>
          <w:szCs w:val="19"/>
          <w:color w:val="auto"/>
        </w:rPr>
        <w:t>e also ac uire some merchandise that we offer under in-house brands or brands that are licensed to us. e develop some of this merchandise ourselves, which allows us to supplement the depth of, or fill gaps in, our expected merchandise assortment. Collectively, these represent a small percentage of our product merchandise mix.</w:t>
      </w:r>
    </w:p>
    <w:p>
      <w:pPr>
        <w:sectPr>
          <w:pgSz w:w="12240" w:h="15841" w:orient="portrait"/>
          <w:cols w:equalWidth="0" w:num="1">
            <w:col w:w="10250"/>
          </w:cols>
          <w:pgMar w:left="990" w:top="783" w:right="1001"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6</w:t>
      </w:r>
    </w:p>
    <w:p>
      <w:pPr>
        <w:sectPr>
          <w:pgSz w:w="12240" w:h="15841" w:orient="portrait"/>
          <w:cols w:equalWidth="0" w:num="1">
            <w:col w:w="10250"/>
          </w:cols>
          <w:pgMar w:left="990" w:top="783" w:right="1001" w:bottom="0" w:gutter="0" w:footer="0" w:header="0"/>
          <w:type w:val="continuous"/>
        </w:sectPr>
      </w:pPr>
    </w:p>
    <w:bookmarkStart w:id="14" w:name="page15"/>
    <w:bookmarkEnd w:id="14"/>
    <w:p>
      <w:pPr>
        <w:ind w:firstLine="178"/>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anufacturers, retailers and other vendors made up our expansive and changing universe of approximately 21,000 vendors across the globe, including thousands of new vendors in fiscal 2026, which provides us substantial and diversified access to merchandise. e have not experienced difficulty in obtaining sufficient uality merchandise for our business in either favorable or difficult retail environments and expect this will continue should we meet or exceed our plans for growth. e believe a number of factors provide us excellent access on an ongoing basis to leading branded merchandise and make us an attractive channel for many vendors in the market. e are typically willing to purchase less-than-full assortments of items, styles and</w:t>
      </w:r>
    </w:p>
    <w:p>
      <w:pPr>
        <w:spacing w:after="0" w:line="1"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 xml:space="preserve">si es as well as uantities ranging from small to very large we are able to disperse merchandise across our geographically diverse network of stores </w:t>
      </w:r>
      <w:r>
        <w:rPr>
          <w:rFonts w:ascii="Arial" w:cs="Arial" w:eastAsia="Arial" w:hAnsi="Arial"/>
          <w:sz w:val="18"/>
          <w:szCs w:val="18"/>
          <w:color w:val="auto"/>
          <w:highlight w:val="white"/>
        </w:rPr>
        <w:t>and to target specific markets we pay promptly according to our payment terms our practice is to not</w:t>
      </w:r>
      <w:r>
        <w:rPr>
          <w:rFonts w:ascii="Arial" w:cs="Arial" w:eastAsia="Arial" w:hAnsi="Arial"/>
          <w:sz w:val="18"/>
          <w:szCs w:val="18"/>
          <w:color w:val="auto"/>
        </w:rPr>
        <w:t xml:space="preserve"> </w:t>
      </w:r>
      <w:r>
        <w:rPr>
          <w:rFonts w:ascii="Arial" w:cs="Arial" w:eastAsia="Arial" w:hAnsi="Arial"/>
          <w:sz w:val="18"/>
          <w:szCs w:val="18"/>
          <w:color w:val="auto"/>
          <w:highlight w:val="white"/>
        </w:rPr>
        <w:t>ask for typical retail concessions (such as advertising, promotional and markdown allowances), delivery concessions (such as drop shipments to stores or delayed deliveries) or performance-based return privileges and we have an excellent credit rating.</w:t>
      </w:r>
    </w:p>
    <w:p>
      <w:pPr>
        <w:spacing w:after="0" w:line="33" w:lineRule="exact"/>
        <w:rPr>
          <w:sz w:val="20"/>
          <w:szCs w:val="20"/>
          <w:color w:val="auto"/>
        </w:rPr>
      </w:pPr>
    </w:p>
    <w:p>
      <w:pPr>
        <w:ind w:left="80"/>
        <w:spacing w:after="0"/>
        <w:tabs>
          <w:tab w:leader="none" w:pos="1100" w:val="left"/>
          <w:tab w:leader="none" w:pos="1820" w:val="left"/>
        </w:tabs>
        <w:rPr>
          <w:sz w:val="20"/>
          <w:szCs w:val="20"/>
          <w:color w:val="auto"/>
        </w:rPr>
      </w:pPr>
      <w:r>
        <w:rPr>
          <w:rFonts w:ascii="Arial" w:cs="Arial" w:eastAsia="Arial" w:hAnsi="Arial"/>
          <w:sz w:val="22"/>
          <w:szCs w:val="22"/>
          <w:i w:val="1"/>
          <w:iCs w:val="1"/>
          <w:color w:val="auto"/>
        </w:rPr>
        <w:t>n entor</w:t>
        <w:tab/>
        <w:t>anage</w:t>
      </w:r>
      <w:r>
        <w:rPr>
          <w:sz w:val="20"/>
          <w:szCs w:val="20"/>
          <w:color w:val="auto"/>
        </w:rPr>
        <w:tab/>
      </w:r>
      <w:r>
        <w:rPr>
          <w:rFonts w:ascii="Arial" w:cs="Arial" w:eastAsia="Arial" w:hAnsi="Arial"/>
          <w:sz w:val="20"/>
          <w:szCs w:val="20"/>
          <w:i w:val="1"/>
          <w:iCs w:val="1"/>
          <w:color w:val="auto"/>
        </w:rPr>
        <w:t>ent</w:t>
      </w:r>
    </w:p>
    <w:p>
      <w:pPr>
        <w:spacing w:after="0" w:line="146" w:lineRule="exact"/>
        <w:rPr>
          <w:sz w:val="20"/>
          <w:szCs w:val="20"/>
          <w:color w:val="auto"/>
        </w:rPr>
      </w:pPr>
    </w:p>
    <w:p>
      <w:pPr>
        <w:ind w:right="40" w:firstLine="189"/>
        <w:spacing w:after="0" w:line="278" w:lineRule="auto"/>
        <w:rPr>
          <w:sz w:val="20"/>
          <w:szCs w:val="20"/>
          <w:color w:val="auto"/>
        </w:rPr>
      </w:pPr>
      <w:r>
        <w:rPr>
          <w:rFonts w:ascii="Arial" w:cs="Arial" w:eastAsia="Arial" w:hAnsi="Arial"/>
          <w:sz w:val="18"/>
          <w:szCs w:val="18"/>
          <w:color w:val="auto"/>
        </w:rPr>
        <w:t>e offer our customers a rapidly changing selection of merchandise to create a treasure hunt experience in our stores and to encourage fre uent customer visits. To achieve this, we seek to turn the inventory in our stores rapidly, regularly offering fresh selections of apparel and home fashions at excellent values. ur speciali ed inventory planning, purchasing, monitoring and markdown systems, coupled with distribution center storage, processing, handling and shipping systems, enable us to tailor the merchandise in our stores to local preferences and demographics, achieve rapid in-store inventory turnover on a vast array of products and generally sell through most merchandise within the period we planned. e make pricing, markdown and store inventory decisions centrally, using information provided by speciali ed computer systems designed to move inventory through</w:t>
      </w:r>
    </w:p>
    <w:p>
      <w:pPr>
        <w:spacing w:after="0" w:line="2" w:lineRule="exact"/>
        <w:rPr>
          <w:sz w:val="20"/>
          <w:szCs w:val="20"/>
          <w:color w:val="auto"/>
        </w:rPr>
      </w:pPr>
    </w:p>
    <w:p>
      <w:pPr>
        <w:ind w:right="100"/>
        <w:spacing w:after="0" w:line="338" w:lineRule="auto"/>
        <w:rPr>
          <w:sz w:val="20"/>
          <w:szCs w:val="20"/>
          <w:color w:val="auto"/>
        </w:rPr>
      </w:pPr>
      <w:r>
        <w:rPr>
          <w:rFonts w:ascii="Arial" w:cs="Arial" w:eastAsia="Arial" w:hAnsi="Arial"/>
          <w:sz w:val="18"/>
          <w:szCs w:val="18"/>
          <w:color w:val="auto"/>
        </w:rPr>
        <w:t>our stores in a timely and disciplined manner. e invest in our supply chain with the goal of continuing to operate with low inventory levels, to ship more efficiently and uickly, and to more precisely and effectively allocate merchandise to each store.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ricing</w:t>
      </w:r>
    </w:p>
    <w:p>
      <w:pPr>
        <w:spacing w:after="0" w:line="146" w:lineRule="exact"/>
        <w:rPr>
          <w:sz w:val="20"/>
          <w:szCs w:val="20"/>
          <w:color w:val="auto"/>
        </w:rPr>
      </w:pPr>
    </w:p>
    <w:p>
      <w:pPr>
        <w:ind w:right="220" w:firstLine="145"/>
        <w:spacing w:after="0" w:line="257" w:lineRule="auto"/>
        <w:rPr>
          <w:sz w:val="20"/>
          <w:szCs w:val="20"/>
          <w:color w:val="auto"/>
        </w:rPr>
      </w:pPr>
      <w:r>
        <w:rPr>
          <w:rFonts w:ascii="Arial" w:cs="Arial" w:eastAsia="Arial" w:hAnsi="Arial"/>
          <w:sz w:val="20"/>
          <w:szCs w:val="20"/>
          <w:color w:val="auto"/>
        </w:rPr>
        <w:t xml:space="preserve">ur mission is to deliver great value to our customers every day. e do this by offering uality, fashionable, brand name and designer merchandise in our stores with retail prices that are generally 20 to 60 below full-price retailers’ (including department, specialty, and major online retailers) regular prices on comparable merchandise, every day. ur practice is to not </w:t>
      </w:r>
      <w:r>
        <w:rPr>
          <w:rFonts w:ascii="Arial" w:cs="Arial" w:eastAsia="Arial" w:hAnsi="Arial"/>
          <w:sz w:val="20"/>
          <w:szCs w:val="20"/>
          <w:color w:val="auto"/>
          <w:highlight w:val="white"/>
        </w:rPr>
        <w:t xml:space="preserve">engage in promotional pricing activity such as sales or coupons. e have generally been able to react to price fluctuations in the wholesale market to maintain our pricing gap relative to prices offered by traditional retailers as well </w:t>
      </w:r>
      <w:r>
        <w:rPr>
          <w:rFonts w:ascii="Arial" w:cs="Arial" w:eastAsia="Arial" w:hAnsi="Arial"/>
          <w:sz w:val="20"/>
          <w:szCs w:val="20"/>
          <w:color w:val="auto"/>
        </w:rPr>
        <w:t>as our merchandise</w:t>
      </w:r>
      <w:r>
        <w:rPr>
          <w:rFonts w:ascii="Arial" w:cs="Arial" w:eastAsia="Arial" w:hAnsi="Arial"/>
          <w:sz w:val="20"/>
          <w:szCs w:val="20"/>
          <w:color w:val="auto"/>
          <w:highlight w:val="white"/>
        </w:rPr>
        <w:t xml:space="preserve"> </w:t>
      </w:r>
      <w:r>
        <w:rPr>
          <w:rFonts w:ascii="Arial" w:cs="Arial" w:eastAsia="Arial" w:hAnsi="Arial"/>
          <w:sz w:val="20"/>
          <w:szCs w:val="20"/>
          <w:color w:val="auto"/>
        </w:rPr>
        <w:t>margins through various economic cycles.</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i w:val="1"/>
          <w:iCs w:val="1"/>
          <w:color w:val="auto"/>
        </w:rPr>
        <w:t>Lo</w:t>
      </w:r>
      <w:r>
        <w:rPr>
          <w:sz w:val="20"/>
          <w:szCs w:val="20"/>
          <w:color w:val="auto"/>
        </w:rPr>
        <w:tab/>
      </w:r>
      <w:r>
        <w:rPr>
          <w:rFonts w:ascii="Arial" w:cs="Arial" w:eastAsia="Arial" w:hAnsi="Arial"/>
          <w:sz w:val="21"/>
          <w:szCs w:val="21"/>
          <w:i w:val="1"/>
          <w:iCs w:val="1"/>
          <w:color w:val="auto"/>
        </w:rPr>
        <w:t>Cost O erations</w:t>
      </w:r>
    </w:p>
    <w:p>
      <w:pPr>
        <w:spacing w:after="0" w:line="146" w:lineRule="exact"/>
        <w:rPr>
          <w:sz w:val="20"/>
          <w:szCs w:val="20"/>
          <w:color w:val="auto"/>
        </w:rPr>
      </w:pPr>
    </w:p>
    <w:p>
      <w:pPr>
        <w:ind w:firstLine="189"/>
        <w:spacing w:after="0" w:line="258" w:lineRule="auto"/>
        <w:rPr>
          <w:sz w:val="20"/>
          <w:szCs w:val="20"/>
          <w:color w:val="auto"/>
        </w:rPr>
      </w:pPr>
      <w:r>
        <w:rPr>
          <w:rFonts w:ascii="Arial" w:cs="Arial" w:eastAsia="Arial" w:hAnsi="Arial"/>
          <w:sz w:val="20"/>
          <w:szCs w:val="20"/>
          <w:color w:val="auto"/>
        </w:rPr>
        <w:t>e operate with a low cost structure compared to many traditional retailers with a prudent focus on expenses throughout our business. ur advertising is generally focused on promoting our retail banners rather than individual products, which contributes to our advertising budget (as a percentage of sales) remaining low compared to many traditional retailers. e design our stores to provide a pleasant, convenient shopping environment without spending heavily on store fixtures. Additionally, our distribution network is designed to run cost effectively.</w:t>
      </w:r>
    </w:p>
    <w:p>
      <w:pPr>
        <w:spacing w:after="0" w:line="68" w:lineRule="exact"/>
        <w:rPr>
          <w:sz w:val="20"/>
          <w:szCs w:val="20"/>
          <w:color w:val="auto"/>
        </w:rPr>
      </w:pPr>
    </w:p>
    <w:p>
      <w:pPr>
        <w:spacing w:after="0"/>
        <w:tabs>
          <w:tab w:leader="none" w:pos="660" w:val="left"/>
          <w:tab w:leader="none" w:pos="1020" w:val="left"/>
          <w:tab w:leader="none" w:pos="1880" w:val="left"/>
          <w:tab w:leader="none" w:pos="2200" w:val="left"/>
          <w:tab w:leader="none" w:pos="2920" w:val="left"/>
        </w:tabs>
        <w:rPr>
          <w:sz w:val="20"/>
          <w:szCs w:val="20"/>
          <w:color w:val="auto"/>
        </w:rPr>
      </w:pPr>
      <w:r>
        <w:rPr>
          <w:rFonts w:ascii="Arial" w:cs="Arial" w:eastAsia="Arial" w:hAnsi="Arial"/>
          <w:sz w:val="22"/>
          <w:szCs w:val="22"/>
          <w:i w:val="1"/>
          <w:iCs w:val="1"/>
          <w:color w:val="auto"/>
        </w:rPr>
        <w:t>Custo</w:t>
        <w:tab/>
        <w:t>er</w:t>
        <w:tab/>
        <w:t>er ice</w:t>
        <w:tab/>
        <w:t>o</w:t>
        <w:tab/>
        <w:t>ing</w:t>
      </w:r>
      <w:r>
        <w:rPr>
          <w:sz w:val="20"/>
          <w:szCs w:val="20"/>
          <w:color w:val="auto"/>
        </w:rPr>
        <w:tab/>
      </w:r>
      <w:r>
        <w:rPr>
          <w:rFonts w:ascii="Arial" w:cs="Arial" w:eastAsia="Arial" w:hAnsi="Arial"/>
          <w:sz w:val="20"/>
          <w:szCs w:val="20"/>
          <w:i w:val="1"/>
          <w:iCs w:val="1"/>
          <w:color w:val="auto"/>
        </w:rPr>
        <w:t>erience</w:t>
      </w:r>
    </w:p>
    <w:p>
      <w:pPr>
        <w:spacing w:after="0" w:line="146" w:lineRule="exact"/>
        <w:rPr>
          <w:sz w:val="20"/>
          <w:szCs w:val="20"/>
          <w:color w:val="auto"/>
        </w:rPr>
      </w:pPr>
    </w:p>
    <w:p>
      <w:pPr>
        <w:ind w:right="160" w:firstLine="189"/>
        <w:spacing w:after="0" w:line="258" w:lineRule="auto"/>
        <w:rPr>
          <w:sz w:val="20"/>
          <w:szCs w:val="20"/>
          <w:color w:val="auto"/>
        </w:rPr>
      </w:pPr>
      <w:r>
        <w:rPr>
          <w:rFonts w:ascii="Arial" w:cs="Arial" w:eastAsia="Arial" w:hAnsi="Arial"/>
          <w:sz w:val="20"/>
          <w:szCs w:val="20"/>
          <w:color w:val="auto"/>
        </w:rPr>
        <w:t>e strategically renovate and upgrade our stores across our retail banners to enhance our customers’ shopping experience and help drive sales. e train our store Associates to provide friendly and helpful customer service and seek to staff our stores to deliver a positive shopping experience. e believe we offer return policies that are customer friendly. e accept a variety of payment methods including cash, credit cards and debit cards. e also offer TJX-branded credit cards in the .S. through a bank, but do not own the customer receivables.</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istribution</w:t>
      </w:r>
    </w:p>
    <w:p>
      <w:pPr>
        <w:spacing w:after="0" w:line="146" w:lineRule="exact"/>
        <w:rPr>
          <w:sz w:val="20"/>
          <w:szCs w:val="20"/>
          <w:color w:val="auto"/>
        </w:rPr>
      </w:pPr>
    </w:p>
    <w:p>
      <w:pPr>
        <w:jc w:val="both"/>
        <w:ind w:right="20" w:firstLine="189"/>
        <w:spacing w:after="0" w:line="258" w:lineRule="auto"/>
        <w:rPr>
          <w:sz w:val="20"/>
          <w:szCs w:val="20"/>
          <w:color w:val="auto"/>
        </w:rPr>
      </w:pPr>
      <w:r>
        <w:rPr>
          <w:rFonts w:ascii="Arial" w:cs="Arial" w:eastAsia="Arial" w:hAnsi="Arial"/>
          <w:sz w:val="20"/>
          <w:szCs w:val="20"/>
          <w:color w:val="auto"/>
        </w:rPr>
        <w:t xml:space="preserve">e operate distribution centers encompassing </w:t>
      </w:r>
      <w:r>
        <w:rPr>
          <w:rFonts w:ascii="Arial" w:cs="Arial" w:eastAsia="Arial" w:hAnsi="Arial"/>
          <w:sz w:val="20"/>
          <w:szCs w:val="20"/>
          <w:color w:val="auto"/>
          <w:highlight w:val="white"/>
        </w:rPr>
        <w:t>approximately</w:t>
      </w:r>
      <w:r>
        <w:rPr>
          <w:rFonts w:ascii="Arial" w:cs="Arial" w:eastAsia="Arial" w:hAnsi="Arial"/>
          <w:sz w:val="20"/>
          <w:szCs w:val="20"/>
          <w:color w:val="auto"/>
        </w:rPr>
        <w:t xml:space="preserve"> 31 million s uare feet in six </w:t>
      </w:r>
      <w:r>
        <w:rPr>
          <w:rFonts w:ascii="Arial" w:cs="Arial" w:eastAsia="Arial" w:hAnsi="Arial"/>
          <w:sz w:val="20"/>
          <w:szCs w:val="20"/>
          <w:color w:val="auto"/>
          <w:highlight w:val="white"/>
        </w:rPr>
        <w:t>countries.</w:t>
      </w:r>
      <w:r>
        <w:rPr>
          <w:rFonts w:ascii="Arial" w:cs="Arial" w:eastAsia="Arial" w:hAnsi="Arial"/>
          <w:sz w:val="20"/>
          <w:szCs w:val="20"/>
          <w:color w:val="auto"/>
        </w:rPr>
        <w:t xml:space="preserve"> These centers are generally large, and built to suit our specific, off-price business model, with a combination of automated systems and manual processes to manage the variety of merchandise we ac uire. e ship substantially all of our merchandise to our stores through a network of distribution centers, fulfillment centers and warehouses as well as shipping centers, which, in many cases, are operated by third parties.</w:t>
      </w:r>
    </w:p>
    <w:p>
      <w:pPr>
        <w:sectPr>
          <w:pgSz w:w="12240" w:h="15841" w:orient="portrait"/>
          <w:cols w:equalWidth="0" w:num="1">
            <w:col w:w="10240"/>
          </w:cols>
          <w:pgMar w:left="1000" w:top="79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2240" w:h="15841" w:orient="portrait"/>
          <w:cols w:equalWidth="0" w:num="1">
            <w:col w:w="10240"/>
          </w:cols>
          <w:pgMar w:left="1000" w:top="792" w:right="1001" w:bottom="0" w:gutter="0" w:footer="0" w:header="0"/>
          <w:type w:val="continuous"/>
        </w:sectPr>
      </w:pPr>
    </w:p>
    <w:bookmarkStart w:id="15" w:name="page16"/>
    <w:bookmarkEnd w:id="15"/>
    <w:p>
      <w:pPr>
        <w:ind w:left="120"/>
        <w:spacing w:after="0"/>
        <w:tabs>
          <w:tab w:leader="none" w:pos="66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tore</w:t>
        <w:tab/>
        <w:t>ro  t</w:t>
      </w:r>
    </w:p>
    <w:p>
      <w:pPr>
        <w:spacing w:after="0" w:line="146" w:lineRule="exact"/>
        <w:rPr>
          <w:sz w:val="20"/>
          <w:szCs w:val="20"/>
          <w:color w:val="auto"/>
        </w:rPr>
      </w:pPr>
    </w:p>
    <w:p>
      <w:pPr>
        <w:ind w:right="260"/>
        <w:spacing w:after="0" w:line="309" w:lineRule="auto"/>
        <w:rPr>
          <w:sz w:val="20"/>
          <w:szCs w:val="20"/>
          <w:color w:val="auto"/>
        </w:rPr>
      </w:pPr>
      <w:r>
        <w:rPr>
          <w:rFonts w:ascii="Arial" w:cs="Arial" w:eastAsia="Arial" w:hAnsi="Arial"/>
          <w:sz w:val="18"/>
          <w:szCs w:val="18"/>
          <w:color w:val="auto"/>
        </w:rPr>
        <w:t>Expansion of our business through the addition of new stores continues to be an important part of our global growth strategy. The following table provides store growth information for our divisions for the two most recently completed fiscal years, as well as our estimates of the long-term store growth potential of these divisions in their current geographies: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80" w:type="dxa"/>
            <w:vAlign w:val="bottom"/>
          </w:tcPr>
          <w:p>
            <w:pPr>
              <w:jc w:val="center"/>
              <w:ind w:left="1361"/>
              <w:spacing w:after="0"/>
              <w:rPr>
                <w:sz w:val="20"/>
                <w:szCs w:val="20"/>
                <w:color w:val="auto"/>
              </w:rPr>
            </w:pPr>
            <w:r>
              <w:rPr>
                <w:rFonts w:ascii="Arial" w:cs="Arial" w:eastAsia="Arial" w:hAnsi="Arial"/>
                <w:sz w:val="20"/>
                <w:szCs w:val="20"/>
                <w:color w:val="auto"/>
                <w:w w:val="94"/>
              </w:rPr>
              <w:t>Approximate</w:t>
            </w:r>
          </w:p>
        </w:tc>
        <w:tc>
          <w:tcPr>
            <w:tcW w:w="26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w w:val="93"/>
              </w:rPr>
              <w:t>Number of Stores at Year-End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80" w:type="dxa"/>
            <w:vAlign w:val="bottom"/>
          </w:tcPr>
          <w:p>
            <w:pPr>
              <w:jc w:val="center"/>
              <w:ind w:left="1361"/>
              <w:spacing w:after="0" w:line="200" w:lineRule="exact"/>
              <w:rPr>
                <w:sz w:val="20"/>
                <w:szCs w:val="20"/>
                <w:color w:val="auto"/>
              </w:rPr>
            </w:pPr>
            <w:r>
              <w:rPr>
                <w:rFonts w:ascii="Arial" w:cs="Arial" w:eastAsia="Arial" w:hAnsi="Arial"/>
                <w:sz w:val="20"/>
                <w:szCs w:val="20"/>
                <w:color w:val="auto"/>
                <w:w w:val="89"/>
              </w:rPr>
              <w:t>Average Store</w:t>
            </w:r>
          </w:p>
        </w:tc>
        <w:tc>
          <w:tcPr>
            <w:tcW w:w="1260" w:type="dxa"/>
            <w:vAlign w:val="bottom"/>
            <w:vMerge w:val="restart"/>
          </w:tcPr>
          <w:p>
            <w:pPr>
              <w:jc w:val="right"/>
              <w:ind w:right="40"/>
              <w:spacing w:after="0"/>
              <w:rPr>
                <w:sz w:val="20"/>
                <w:szCs w:val="20"/>
                <w:color w:val="auto"/>
              </w:rPr>
            </w:pPr>
            <w:r>
              <w:rPr>
                <w:rFonts w:ascii="Arial" w:cs="Arial" w:eastAsia="Arial" w:hAnsi="Arial"/>
                <w:sz w:val="20"/>
                <w:szCs w:val="20"/>
                <w:color w:val="auto"/>
              </w:rPr>
              <w:t>Fiscal 2025</w:t>
            </w:r>
          </w:p>
        </w:tc>
        <w:tc>
          <w:tcPr>
            <w:tcW w:w="1560" w:type="dxa"/>
            <w:vAlign w:val="bottom"/>
            <w:gridSpan w:val="2"/>
            <w:vMerge w:val="restart"/>
          </w:tcPr>
          <w:p>
            <w:pPr>
              <w:ind w:left="240"/>
              <w:spacing w:after="0"/>
              <w:rPr>
                <w:sz w:val="20"/>
                <w:szCs w:val="20"/>
                <w:color w:val="auto"/>
              </w:rPr>
            </w:pPr>
            <w:r>
              <w:rPr>
                <w:rFonts w:ascii="Arial" w:cs="Arial" w:eastAsia="Arial" w:hAnsi="Arial"/>
                <w:sz w:val="20"/>
                <w:szCs w:val="20"/>
                <w:color w:val="auto"/>
              </w:rPr>
              <w:t>Fiscal 2026</w:t>
            </w:r>
          </w:p>
        </w:tc>
        <w:tc>
          <w:tcPr>
            <w:tcW w:w="1300" w:type="dxa"/>
            <w:vAlign w:val="bottom"/>
          </w:tcPr>
          <w:p>
            <w:pPr>
              <w:jc w:val="right"/>
              <w:spacing w:after="0" w:line="200" w:lineRule="exact"/>
              <w:rPr>
                <w:sz w:val="20"/>
                <w:szCs w:val="20"/>
                <w:color w:val="auto"/>
              </w:rPr>
            </w:pPr>
            <w:r>
              <w:rPr>
                <w:rFonts w:ascii="Arial" w:cs="Arial" w:eastAsia="Arial" w:hAnsi="Arial"/>
                <w:sz w:val="20"/>
                <w:szCs w:val="20"/>
                <w:color w:val="auto"/>
                <w:w w:val="89"/>
              </w:rPr>
              <w:t>Estimated Store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center"/>
              <w:ind w:left="1381"/>
              <w:spacing w:after="0"/>
              <w:rPr>
                <w:sz w:val="20"/>
                <w:szCs w:val="20"/>
                <w:color w:val="auto"/>
              </w:rPr>
            </w:pPr>
            <w:r>
              <w:rPr>
                <w:rFonts w:ascii="Arial" w:cs="Arial" w:eastAsia="Arial" w:hAnsi="Arial"/>
                <w:sz w:val="20"/>
                <w:szCs w:val="20"/>
                <w:color w:val="auto"/>
                <w:w w:val="94"/>
              </w:rPr>
              <w:t>Si e (s uare feet)</w:t>
            </w:r>
          </w:p>
        </w:tc>
        <w:tc>
          <w:tcPr>
            <w:tcW w:w="1260" w:type="dxa"/>
            <w:vAlign w:val="bottom"/>
            <w:tcBorders>
              <w:bottom w:val="single" w:sz="8" w:color="auto"/>
            </w:tcBorders>
            <w:vMerge w:val="continue"/>
          </w:tcPr>
          <w:p>
            <w:pPr>
              <w:spacing w:after="0"/>
              <w:rPr>
                <w:sz w:val="22"/>
                <w:szCs w:val="22"/>
                <w:color w:val="auto"/>
              </w:rPr>
            </w:pPr>
          </w:p>
        </w:tc>
        <w:tc>
          <w:tcPr>
            <w:tcW w:w="1560" w:type="dxa"/>
            <w:vAlign w:val="bottom"/>
            <w:tcBorders>
              <w:bottom w:val="single" w:sz="8" w:color="auto"/>
            </w:tcBorders>
            <w:gridSpan w:val="2"/>
            <w:vMerge w:val="continue"/>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Potential</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140" w:type="dxa"/>
            <w:vAlign w:val="bottom"/>
            <w:gridSpan w:val="2"/>
            <w:shd w:val="clear" w:color="auto" w:fill="E4E4E4"/>
          </w:tcPr>
          <w:p>
            <w:pPr>
              <w:ind w:left="240"/>
              <w:spacing w:after="0"/>
              <w:rPr>
                <w:sz w:val="20"/>
                <w:szCs w:val="20"/>
                <w:color w:val="auto"/>
              </w:rPr>
            </w:pPr>
            <w:r>
              <w:rPr>
                <w:rFonts w:ascii="Arial" w:cs="Arial" w:eastAsia="Arial" w:hAnsi="Arial"/>
                <w:sz w:val="20"/>
                <w:szCs w:val="20"/>
                <w:color w:val="auto"/>
              </w:rPr>
              <w:t>arma</w:t>
            </w:r>
          </w:p>
        </w:tc>
        <w:tc>
          <w:tcPr>
            <w:tcW w:w="1700" w:type="dxa"/>
            <w:vAlign w:val="bottom"/>
            <w:shd w:val="clear" w:color="auto" w:fill="E4E4E4"/>
          </w:tcPr>
          <w:p>
            <w:pPr>
              <w:spacing w:after="0"/>
              <w:rPr>
                <w:sz w:val="23"/>
                <w:szCs w:val="23"/>
                <w:color w:val="auto"/>
              </w:rPr>
            </w:pPr>
          </w:p>
        </w:tc>
        <w:tc>
          <w:tcPr>
            <w:tcW w:w="3080" w:type="dxa"/>
            <w:vAlign w:val="bottom"/>
            <w:shd w:val="clear" w:color="auto" w:fill="E4E4E4"/>
          </w:tcPr>
          <w:p>
            <w:pPr>
              <w:spacing w:after="0"/>
              <w:rPr>
                <w:sz w:val="23"/>
                <w:szCs w:val="23"/>
                <w:color w:val="auto"/>
              </w:rPr>
            </w:pPr>
          </w:p>
        </w:tc>
        <w:tc>
          <w:tcPr>
            <w:tcW w:w="1260" w:type="dxa"/>
            <w:vAlign w:val="bottom"/>
            <w:shd w:val="clear" w:color="auto" w:fill="E4E4E4"/>
          </w:tcPr>
          <w:p>
            <w:pPr>
              <w:spacing w:after="0"/>
              <w:rPr>
                <w:sz w:val="23"/>
                <w:szCs w:val="23"/>
                <w:color w:val="auto"/>
              </w:rPr>
            </w:pPr>
          </w:p>
        </w:tc>
        <w:tc>
          <w:tcPr>
            <w:tcW w:w="138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300" w:type="dxa"/>
            <w:vAlign w:val="bottom"/>
            <w:tcBorders>
              <w:right w:val="single" w:sz="8" w:color="E4E4E4"/>
            </w:tcBorders>
            <w:shd w:val="clear" w:color="auto" w:fill="E4E4E4"/>
          </w:tcPr>
          <w:p>
            <w:pPr>
              <w:spacing w:after="0"/>
              <w:rPr>
                <w:sz w:val="23"/>
                <w:szCs w:val="23"/>
                <w:color w:val="auto"/>
              </w:rPr>
            </w:pPr>
          </w:p>
        </w:tc>
        <w:tc>
          <w:tcPr>
            <w:tcW w:w="22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60" w:type="dxa"/>
            <w:vAlign w:val="bottom"/>
            <w:shd w:val="clear" w:color="auto" w:fill="FEFEFE"/>
          </w:tcPr>
          <w:p>
            <w:pPr>
              <w:ind w:left="260"/>
              <w:spacing w:after="0"/>
              <w:rPr>
                <w:sz w:val="20"/>
                <w:szCs w:val="20"/>
                <w:color w:val="auto"/>
              </w:rPr>
            </w:pPr>
            <w:r>
              <w:rPr>
                <w:rFonts w:ascii="Arial" w:cs="Arial" w:eastAsia="Arial" w:hAnsi="Arial"/>
                <w:sz w:val="20"/>
                <w:szCs w:val="20"/>
                <w:color w:val="auto"/>
                <w:w w:val="80"/>
              </w:rPr>
              <w:t>TJ</w:t>
            </w:r>
          </w:p>
        </w:tc>
        <w:tc>
          <w:tcPr>
            <w:tcW w:w="680" w:type="dxa"/>
            <w:vAlign w:val="bottom"/>
            <w:shd w:val="clear" w:color="auto" w:fill="FEFEFE"/>
          </w:tcPr>
          <w:p>
            <w:pPr>
              <w:ind w:left="240"/>
              <w:spacing w:after="0"/>
              <w:rPr>
                <w:sz w:val="20"/>
                <w:szCs w:val="20"/>
                <w:color w:val="auto"/>
              </w:rPr>
            </w:pPr>
            <w:r>
              <w:rPr>
                <w:rFonts w:ascii="Arial" w:cs="Arial" w:eastAsia="Arial" w:hAnsi="Arial"/>
                <w:sz w:val="20"/>
                <w:szCs w:val="20"/>
                <w:color w:val="auto"/>
              </w:rPr>
              <w:t>axx</w:t>
            </w:r>
          </w:p>
        </w:tc>
        <w:tc>
          <w:tcPr>
            <w:tcW w:w="1700" w:type="dxa"/>
            <w:vAlign w:val="bottom"/>
            <w:shd w:val="clear" w:color="auto" w:fill="FEFEFE"/>
          </w:tcPr>
          <w:p>
            <w:pPr>
              <w:spacing w:after="0"/>
              <w:rPr>
                <w:sz w:val="24"/>
                <w:szCs w:val="24"/>
                <w:color w:val="auto"/>
              </w:rPr>
            </w:pPr>
          </w:p>
        </w:tc>
        <w:tc>
          <w:tcPr>
            <w:tcW w:w="3080" w:type="dxa"/>
            <w:vAlign w:val="bottom"/>
            <w:shd w:val="clear" w:color="auto" w:fill="FEFEFE"/>
          </w:tcPr>
          <w:p>
            <w:pPr>
              <w:jc w:val="center"/>
              <w:ind w:left="1401"/>
              <w:spacing w:after="0"/>
              <w:rPr>
                <w:sz w:val="20"/>
                <w:szCs w:val="20"/>
                <w:color w:val="auto"/>
              </w:rPr>
            </w:pPr>
            <w:r>
              <w:rPr>
                <w:rFonts w:ascii="Arial" w:cs="Arial" w:eastAsia="Arial" w:hAnsi="Arial"/>
                <w:sz w:val="20"/>
                <w:szCs w:val="20"/>
                <w:color w:val="auto"/>
                <w:w w:val="88"/>
              </w:rPr>
              <w:t>27,000</w:t>
            </w: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1,333</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1,348</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140" w:type="dxa"/>
            <w:vAlign w:val="bottom"/>
            <w:tcBorders>
              <w:bottom w:val="single" w:sz="8" w:color="auto"/>
            </w:tcBorders>
            <w:gridSpan w:val="2"/>
            <w:shd w:val="clear" w:color="auto" w:fill="E4E4E4"/>
          </w:tcPr>
          <w:p>
            <w:pPr>
              <w:ind w:left="440"/>
              <w:spacing w:after="0"/>
              <w:rPr>
                <w:sz w:val="20"/>
                <w:szCs w:val="20"/>
                <w:color w:val="auto"/>
              </w:rPr>
            </w:pPr>
            <w:r>
              <w:rPr>
                <w:rFonts w:ascii="Arial" w:cs="Arial" w:eastAsia="Arial" w:hAnsi="Arial"/>
                <w:sz w:val="20"/>
                <w:szCs w:val="20"/>
                <w:color w:val="auto"/>
                <w:w w:val="98"/>
              </w:rPr>
              <w:t>arshalls</w:t>
            </w:r>
          </w:p>
        </w:tc>
        <w:tc>
          <w:tcPr>
            <w:tcW w:w="1700" w:type="dxa"/>
            <w:vAlign w:val="bottom"/>
            <w:tcBorders>
              <w:bottom w:val="single" w:sz="8" w:color="auto"/>
            </w:tcBorders>
            <w:shd w:val="clear" w:color="auto" w:fill="E4E4E4"/>
          </w:tcPr>
          <w:p>
            <w:pPr>
              <w:spacing w:after="0"/>
              <w:rPr>
                <w:sz w:val="24"/>
                <w:szCs w:val="24"/>
                <w:color w:val="auto"/>
              </w:rPr>
            </w:pPr>
          </w:p>
        </w:tc>
        <w:tc>
          <w:tcPr>
            <w:tcW w:w="3080" w:type="dxa"/>
            <w:vAlign w:val="bottom"/>
            <w:tcBorders>
              <w:bottom w:val="single" w:sz="8" w:color="auto"/>
            </w:tcBorders>
            <w:shd w:val="clear" w:color="auto" w:fill="E4E4E4"/>
          </w:tcPr>
          <w:p>
            <w:pPr>
              <w:jc w:val="center"/>
              <w:ind w:left="1401"/>
              <w:spacing w:after="0"/>
              <w:rPr>
                <w:sz w:val="20"/>
                <w:szCs w:val="20"/>
                <w:color w:val="auto"/>
              </w:rPr>
            </w:pPr>
            <w:r>
              <w:rPr>
                <w:rFonts w:ascii="Arial" w:cs="Arial" w:eastAsia="Arial" w:hAnsi="Arial"/>
                <w:sz w:val="20"/>
                <w:szCs w:val="20"/>
                <w:color w:val="auto"/>
                <w:w w:val="88"/>
              </w:rPr>
              <w:t>28,000</w:t>
            </w: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1,230</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1,255</w:t>
            </w:r>
          </w:p>
        </w:tc>
        <w:tc>
          <w:tcPr>
            <w:tcW w:w="18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right w:val="single" w:sz="8" w:color="E4E4E4"/>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60" w:type="dxa"/>
            <w:vAlign w:val="bottom"/>
            <w:shd w:val="clear" w:color="auto" w:fill="FEFEFE"/>
          </w:tcPr>
          <w:p>
            <w:pPr>
              <w:spacing w:after="0"/>
              <w:rPr>
                <w:sz w:val="24"/>
                <w:szCs w:val="24"/>
                <w:color w:val="auto"/>
              </w:rPr>
            </w:pPr>
          </w:p>
        </w:tc>
        <w:tc>
          <w:tcPr>
            <w:tcW w:w="680" w:type="dxa"/>
            <w:vAlign w:val="bottom"/>
            <w:shd w:val="clear" w:color="auto" w:fill="FEFEFE"/>
          </w:tcPr>
          <w:p>
            <w:pPr>
              <w:ind w:left="60"/>
              <w:spacing w:after="0"/>
              <w:rPr>
                <w:sz w:val="20"/>
                <w:szCs w:val="20"/>
                <w:color w:val="auto"/>
              </w:rPr>
            </w:pPr>
            <w:r>
              <w:rPr>
                <w:rFonts w:ascii="Arial" w:cs="Arial" w:eastAsia="Arial" w:hAnsi="Arial"/>
                <w:sz w:val="20"/>
                <w:szCs w:val="20"/>
                <w:color w:val="auto"/>
              </w:rPr>
              <w:t>Total</w:t>
            </w:r>
          </w:p>
        </w:tc>
        <w:tc>
          <w:tcPr>
            <w:tcW w:w="1700" w:type="dxa"/>
            <w:vAlign w:val="bottom"/>
            <w:shd w:val="clear" w:color="auto" w:fill="FEFEFE"/>
          </w:tcPr>
          <w:p>
            <w:pPr>
              <w:ind w:left="40"/>
              <w:spacing w:after="0"/>
              <w:rPr>
                <w:sz w:val="20"/>
                <w:szCs w:val="20"/>
                <w:color w:val="auto"/>
              </w:rPr>
            </w:pPr>
            <w:r>
              <w:rPr>
                <w:rFonts w:ascii="Arial" w:cs="Arial" w:eastAsia="Arial" w:hAnsi="Arial"/>
                <w:sz w:val="20"/>
                <w:szCs w:val="20"/>
                <w:color w:val="auto"/>
              </w:rPr>
              <w:t>armaxx</w:t>
            </w:r>
          </w:p>
        </w:tc>
        <w:tc>
          <w:tcPr>
            <w:tcW w:w="3080" w:type="dxa"/>
            <w:vAlign w:val="bottom"/>
            <w:shd w:val="clear" w:color="auto" w:fill="FEFEFE"/>
          </w:tcPr>
          <w:p>
            <w:pPr>
              <w:spacing w:after="0"/>
              <w:rPr>
                <w:sz w:val="24"/>
                <w:szCs w:val="24"/>
                <w:color w:val="auto"/>
              </w:rPr>
            </w:pP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2,563</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2,603</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jc w:val="right"/>
              <w:ind w:right="22"/>
              <w:spacing w:after="0"/>
              <w:rPr>
                <w:sz w:val="20"/>
                <w:szCs w:val="20"/>
                <w:color w:val="auto"/>
              </w:rPr>
            </w:pPr>
            <w:r>
              <w:rPr>
                <w:rFonts w:ascii="Arial" w:cs="Arial" w:eastAsia="Arial" w:hAnsi="Arial"/>
                <w:sz w:val="20"/>
                <w:szCs w:val="20"/>
                <w:color w:val="auto"/>
              </w:rPr>
              <w:t>3,000</w:t>
            </w: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140" w:type="dxa"/>
            <w:vAlign w:val="bottom"/>
            <w:gridSpan w:val="2"/>
            <w:shd w:val="clear" w:color="auto" w:fill="E4E4E4"/>
          </w:tcPr>
          <w:p>
            <w:pPr>
              <w:ind w:left="200"/>
              <w:spacing w:after="0"/>
              <w:rPr>
                <w:sz w:val="20"/>
                <w:szCs w:val="20"/>
                <w:color w:val="auto"/>
              </w:rPr>
            </w:pPr>
            <w:r>
              <w:rPr>
                <w:rFonts w:ascii="Arial" w:cs="Arial" w:eastAsia="Arial" w:hAnsi="Arial"/>
                <w:sz w:val="20"/>
                <w:szCs w:val="20"/>
                <w:color w:val="auto"/>
                <w:w w:val="98"/>
              </w:rPr>
              <w:t>ome  oods</w:t>
            </w:r>
          </w:p>
        </w:tc>
        <w:tc>
          <w:tcPr>
            <w:tcW w:w="1700" w:type="dxa"/>
            <w:vAlign w:val="bottom"/>
            <w:shd w:val="clear" w:color="auto" w:fill="E4E4E4"/>
          </w:tcPr>
          <w:p>
            <w:pPr>
              <w:spacing w:after="0"/>
              <w:rPr>
                <w:sz w:val="24"/>
                <w:szCs w:val="24"/>
                <w:color w:val="auto"/>
              </w:rPr>
            </w:pPr>
          </w:p>
        </w:tc>
        <w:tc>
          <w:tcPr>
            <w:tcW w:w="308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138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40" w:type="dxa"/>
            <w:vAlign w:val="bottom"/>
            <w:gridSpan w:val="3"/>
            <w:shd w:val="clear" w:color="auto" w:fill="FEFEFE"/>
          </w:tcPr>
          <w:p>
            <w:pPr>
              <w:ind w:left="420"/>
              <w:spacing w:after="0"/>
              <w:rPr>
                <w:sz w:val="20"/>
                <w:szCs w:val="20"/>
                <w:color w:val="auto"/>
              </w:rPr>
            </w:pPr>
            <w:r>
              <w:rPr>
                <w:rFonts w:ascii="Arial" w:cs="Arial" w:eastAsia="Arial" w:hAnsi="Arial"/>
                <w:sz w:val="20"/>
                <w:szCs w:val="20"/>
                <w:color w:val="auto"/>
              </w:rPr>
              <w:t>ome  oods</w:t>
            </w:r>
          </w:p>
        </w:tc>
        <w:tc>
          <w:tcPr>
            <w:tcW w:w="3080" w:type="dxa"/>
            <w:vAlign w:val="bottom"/>
            <w:shd w:val="clear" w:color="auto" w:fill="FEFEFE"/>
          </w:tcPr>
          <w:p>
            <w:pPr>
              <w:jc w:val="center"/>
              <w:ind w:left="1401"/>
              <w:spacing w:after="0"/>
              <w:rPr>
                <w:sz w:val="20"/>
                <w:szCs w:val="20"/>
                <w:color w:val="auto"/>
              </w:rPr>
            </w:pPr>
            <w:r>
              <w:rPr>
                <w:rFonts w:ascii="Arial" w:cs="Arial" w:eastAsia="Arial" w:hAnsi="Arial"/>
                <w:sz w:val="20"/>
                <w:szCs w:val="20"/>
                <w:color w:val="auto"/>
                <w:w w:val="88"/>
              </w:rPr>
              <w:t>24,000</w:t>
            </w: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963</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40" w:type="dxa"/>
            <w:vAlign w:val="bottom"/>
            <w:tcBorders>
              <w:bottom w:val="single" w:sz="8" w:color="auto"/>
            </w:tcBorders>
            <w:gridSpan w:val="3"/>
            <w:shd w:val="clear" w:color="auto" w:fill="E4E4E4"/>
          </w:tcPr>
          <w:p>
            <w:pPr>
              <w:ind w:left="420"/>
              <w:spacing w:after="0"/>
              <w:rPr>
                <w:sz w:val="20"/>
                <w:szCs w:val="20"/>
                <w:color w:val="auto"/>
              </w:rPr>
            </w:pPr>
            <w:r>
              <w:rPr>
                <w:rFonts w:ascii="Arial" w:cs="Arial" w:eastAsia="Arial" w:hAnsi="Arial"/>
                <w:sz w:val="20"/>
                <w:szCs w:val="20"/>
                <w:color w:val="auto"/>
              </w:rPr>
              <w:t>omesense</w:t>
            </w:r>
          </w:p>
        </w:tc>
        <w:tc>
          <w:tcPr>
            <w:tcW w:w="3080" w:type="dxa"/>
            <w:vAlign w:val="bottom"/>
            <w:tcBorders>
              <w:bottom w:val="single" w:sz="8" w:color="auto"/>
            </w:tcBorders>
            <w:shd w:val="clear" w:color="auto" w:fill="E4E4E4"/>
          </w:tcPr>
          <w:p>
            <w:pPr>
              <w:jc w:val="center"/>
              <w:ind w:left="1401"/>
              <w:spacing w:after="0"/>
              <w:rPr>
                <w:sz w:val="20"/>
                <w:szCs w:val="20"/>
                <w:color w:val="auto"/>
              </w:rPr>
            </w:pPr>
            <w:r>
              <w:rPr>
                <w:rFonts w:ascii="Arial" w:cs="Arial" w:eastAsia="Arial" w:hAnsi="Arial"/>
                <w:sz w:val="20"/>
                <w:szCs w:val="20"/>
                <w:color w:val="auto"/>
                <w:w w:val="88"/>
              </w:rPr>
              <w:t>28,000</w:t>
            </w: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72</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79</w:t>
            </w:r>
          </w:p>
        </w:tc>
        <w:tc>
          <w:tcPr>
            <w:tcW w:w="18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right w:val="single" w:sz="8" w:color="E4E4E4"/>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60" w:type="dxa"/>
            <w:vAlign w:val="bottom"/>
            <w:shd w:val="clear" w:color="auto" w:fill="FEFEFE"/>
          </w:tcPr>
          <w:p>
            <w:pPr>
              <w:spacing w:after="0"/>
              <w:rPr>
                <w:sz w:val="24"/>
                <w:szCs w:val="24"/>
                <w:color w:val="auto"/>
              </w:rPr>
            </w:pPr>
          </w:p>
        </w:tc>
        <w:tc>
          <w:tcPr>
            <w:tcW w:w="680" w:type="dxa"/>
            <w:vAlign w:val="bottom"/>
            <w:shd w:val="clear" w:color="auto" w:fill="FEFEFE"/>
          </w:tcPr>
          <w:p>
            <w:pPr>
              <w:ind w:left="60"/>
              <w:spacing w:after="0"/>
              <w:rPr>
                <w:sz w:val="20"/>
                <w:szCs w:val="20"/>
                <w:color w:val="auto"/>
              </w:rPr>
            </w:pPr>
            <w:r>
              <w:rPr>
                <w:rFonts w:ascii="Arial" w:cs="Arial" w:eastAsia="Arial" w:hAnsi="Arial"/>
                <w:sz w:val="20"/>
                <w:szCs w:val="20"/>
                <w:color w:val="auto"/>
              </w:rPr>
              <w:t>Total</w:t>
            </w:r>
          </w:p>
        </w:tc>
        <w:tc>
          <w:tcPr>
            <w:tcW w:w="1700" w:type="dxa"/>
            <w:vAlign w:val="bottom"/>
            <w:shd w:val="clear" w:color="auto" w:fill="FEFEFE"/>
          </w:tcPr>
          <w:p>
            <w:pPr>
              <w:spacing w:after="0"/>
              <w:rPr>
                <w:sz w:val="20"/>
                <w:szCs w:val="20"/>
                <w:color w:val="auto"/>
              </w:rPr>
            </w:pPr>
            <w:r>
              <w:rPr>
                <w:rFonts w:ascii="Arial" w:cs="Arial" w:eastAsia="Arial" w:hAnsi="Arial"/>
                <w:sz w:val="20"/>
                <w:szCs w:val="20"/>
                <w:color w:val="auto"/>
              </w:rPr>
              <w:t>ome  oods</w:t>
            </w:r>
          </w:p>
        </w:tc>
        <w:tc>
          <w:tcPr>
            <w:tcW w:w="3080" w:type="dxa"/>
            <w:vAlign w:val="bottom"/>
            <w:shd w:val="clear" w:color="auto" w:fill="FEFEFE"/>
          </w:tcPr>
          <w:p>
            <w:pPr>
              <w:spacing w:after="0"/>
              <w:rPr>
                <w:sz w:val="24"/>
                <w:szCs w:val="24"/>
                <w:color w:val="auto"/>
              </w:rPr>
            </w:pP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1,015</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1,042</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jc w:val="right"/>
              <w:ind w:right="22"/>
              <w:spacing w:after="0"/>
              <w:rPr>
                <w:sz w:val="20"/>
                <w:szCs w:val="20"/>
                <w:color w:val="auto"/>
              </w:rPr>
            </w:pPr>
            <w:r>
              <w:rPr>
                <w:rFonts w:ascii="Arial" w:cs="Arial" w:eastAsia="Arial" w:hAnsi="Arial"/>
                <w:sz w:val="20"/>
                <w:szCs w:val="20"/>
                <w:color w:val="auto"/>
              </w:rPr>
              <w:t>1,800</w:t>
            </w: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14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Sierra</w:t>
            </w:r>
          </w:p>
        </w:tc>
        <w:tc>
          <w:tcPr>
            <w:tcW w:w="1700" w:type="dxa"/>
            <w:vAlign w:val="bottom"/>
            <w:shd w:val="clear" w:color="auto" w:fill="E4E4E4"/>
          </w:tcPr>
          <w:p>
            <w:pPr>
              <w:spacing w:after="0"/>
              <w:rPr>
                <w:sz w:val="24"/>
                <w:szCs w:val="24"/>
                <w:color w:val="auto"/>
              </w:rPr>
            </w:pPr>
          </w:p>
        </w:tc>
        <w:tc>
          <w:tcPr>
            <w:tcW w:w="308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138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rPr>
              <w:t>Sierra</w:t>
            </w:r>
          </w:p>
        </w:tc>
        <w:tc>
          <w:tcPr>
            <w:tcW w:w="1700" w:type="dxa"/>
            <w:vAlign w:val="bottom"/>
            <w:shd w:val="clear" w:color="auto" w:fill="FEFEFE"/>
          </w:tcPr>
          <w:p>
            <w:pPr>
              <w:spacing w:after="0"/>
              <w:rPr>
                <w:sz w:val="24"/>
                <w:szCs w:val="24"/>
                <w:color w:val="auto"/>
              </w:rPr>
            </w:pPr>
          </w:p>
        </w:tc>
        <w:tc>
          <w:tcPr>
            <w:tcW w:w="3080" w:type="dxa"/>
            <w:vAlign w:val="bottom"/>
            <w:shd w:val="clear" w:color="auto" w:fill="FEFEFE"/>
          </w:tcPr>
          <w:p>
            <w:pPr>
              <w:jc w:val="center"/>
              <w:ind w:left="1401"/>
              <w:spacing w:after="0"/>
              <w:rPr>
                <w:sz w:val="20"/>
                <w:szCs w:val="20"/>
                <w:color w:val="auto"/>
              </w:rPr>
            </w:pPr>
            <w:r>
              <w:rPr>
                <w:rFonts w:ascii="Arial" w:cs="Arial" w:eastAsia="Arial" w:hAnsi="Arial"/>
                <w:sz w:val="20"/>
                <w:szCs w:val="20"/>
                <w:color w:val="auto"/>
                <w:w w:val="88"/>
              </w:rPr>
              <w:t>21,000</w:t>
            </w: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117</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145</w:t>
            </w:r>
          </w:p>
        </w:tc>
        <w:tc>
          <w:tcPr>
            <w:tcW w:w="180" w:type="dxa"/>
            <w:vAlign w:val="bottom"/>
          </w:tcPr>
          <w:p>
            <w:pPr>
              <w:spacing w:after="0"/>
              <w:rPr>
                <w:sz w:val="24"/>
                <w:szCs w:val="24"/>
                <w:color w:val="auto"/>
              </w:rPr>
            </w:pPr>
          </w:p>
        </w:tc>
        <w:tc>
          <w:tcPr>
            <w:tcW w:w="1300" w:type="dxa"/>
            <w:vAlign w:val="bottom"/>
            <w:tcBorders>
              <w:right w:val="single" w:sz="8" w:color="FEFEFE"/>
            </w:tcBorders>
          </w:tcPr>
          <w:p>
            <w:pPr>
              <w:jc w:val="right"/>
              <w:ind w:right="22"/>
              <w:spacing w:after="0"/>
              <w:rPr>
                <w:sz w:val="20"/>
                <w:szCs w:val="20"/>
                <w:color w:val="auto"/>
              </w:rPr>
            </w:pPr>
            <w:r>
              <w:rPr>
                <w:rFonts w:ascii="Arial" w:cs="Arial" w:eastAsia="Arial" w:hAnsi="Arial"/>
                <w:sz w:val="20"/>
                <w:szCs w:val="20"/>
                <w:color w:val="auto"/>
              </w:rPr>
              <w:t>325</w:t>
            </w: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shd w:val="clear" w:color="auto" w:fill="E4E4E4"/>
          </w:tcPr>
          <w:p>
            <w:pPr>
              <w:ind w:left="180"/>
              <w:spacing w:after="0"/>
              <w:rPr>
                <w:sz w:val="20"/>
                <w:szCs w:val="20"/>
                <w:color w:val="auto"/>
              </w:rPr>
            </w:pPr>
            <w:r>
              <w:rPr>
                <w:rFonts w:ascii="Arial" w:cs="Arial" w:eastAsia="Arial" w:hAnsi="Arial"/>
                <w:sz w:val="20"/>
                <w:szCs w:val="20"/>
                <w:color w:val="auto"/>
              </w:rPr>
              <w:t>J</w:t>
            </w:r>
          </w:p>
        </w:tc>
        <w:tc>
          <w:tcPr>
            <w:tcW w:w="680" w:type="dxa"/>
            <w:vAlign w:val="bottom"/>
            <w:shd w:val="clear" w:color="auto" w:fill="E4E4E4"/>
          </w:tcPr>
          <w:p>
            <w:pPr>
              <w:ind w:left="20"/>
              <w:spacing w:after="0"/>
              <w:rPr>
                <w:sz w:val="20"/>
                <w:szCs w:val="20"/>
                <w:color w:val="auto"/>
              </w:rPr>
            </w:pPr>
            <w:r>
              <w:rPr>
                <w:rFonts w:ascii="Arial" w:cs="Arial" w:eastAsia="Arial" w:hAnsi="Arial"/>
                <w:sz w:val="20"/>
                <w:szCs w:val="20"/>
                <w:color w:val="auto"/>
                <w:w w:val="91"/>
              </w:rPr>
              <w:t>Canada</w:t>
            </w:r>
          </w:p>
        </w:tc>
        <w:tc>
          <w:tcPr>
            <w:tcW w:w="1700" w:type="dxa"/>
            <w:vAlign w:val="bottom"/>
            <w:shd w:val="clear" w:color="auto" w:fill="E4E4E4"/>
          </w:tcPr>
          <w:p>
            <w:pPr>
              <w:spacing w:after="0"/>
              <w:rPr>
                <w:sz w:val="24"/>
                <w:szCs w:val="24"/>
                <w:color w:val="auto"/>
              </w:rPr>
            </w:pPr>
          </w:p>
        </w:tc>
        <w:tc>
          <w:tcPr>
            <w:tcW w:w="308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138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gridSpan w:val="2"/>
            <w:shd w:val="clear" w:color="auto" w:fill="FEFEFE"/>
          </w:tcPr>
          <w:p>
            <w:pPr>
              <w:ind w:left="460"/>
              <w:spacing w:after="0"/>
              <w:rPr>
                <w:sz w:val="20"/>
                <w:szCs w:val="20"/>
                <w:color w:val="auto"/>
              </w:rPr>
            </w:pPr>
            <w:r>
              <w:rPr>
                <w:rFonts w:ascii="Arial" w:cs="Arial" w:eastAsia="Arial" w:hAnsi="Arial"/>
                <w:sz w:val="20"/>
                <w:szCs w:val="20"/>
                <w:color w:val="auto"/>
              </w:rPr>
              <w:t>inners</w:t>
            </w:r>
          </w:p>
        </w:tc>
        <w:tc>
          <w:tcPr>
            <w:tcW w:w="1700" w:type="dxa"/>
            <w:vAlign w:val="bottom"/>
            <w:shd w:val="clear" w:color="auto" w:fill="FEFEFE"/>
          </w:tcPr>
          <w:p>
            <w:pPr>
              <w:spacing w:after="0"/>
              <w:rPr>
                <w:sz w:val="24"/>
                <w:szCs w:val="24"/>
                <w:color w:val="auto"/>
              </w:rPr>
            </w:pPr>
          </w:p>
        </w:tc>
        <w:tc>
          <w:tcPr>
            <w:tcW w:w="3080" w:type="dxa"/>
            <w:vAlign w:val="bottom"/>
            <w:shd w:val="clear" w:color="auto" w:fill="FEFEFE"/>
          </w:tcPr>
          <w:p>
            <w:pPr>
              <w:jc w:val="center"/>
              <w:ind w:left="1401"/>
              <w:spacing w:after="0"/>
              <w:rPr>
                <w:sz w:val="20"/>
                <w:szCs w:val="20"/>
                <w:color w:val="auto"/>
              </w:rPr>
            </w:pPr>
            <w:r>
              <w:rPr>
                <w:rFonts w:ascii="Arial" w:cs="Arial" w:eastAsia="Arial" w:hAnsi="Arial"/>
                <w:sz w:val="20"/>
                <w:szCs w:val="20"/>
                <w:color w:val="auto"/>
                <w:w w:val="88"/>
              </w:rPr>
              <w:t>27,000</w:t>
            </w: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307</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316</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840" w:type="dxa"/>
            <w:vAlign w:val="bottom"/>
            <w:gridSpan w:val="3"/>
            <w:shd w:val="clear" w:color="auto" w:fill="E4E4E4"/>
          </w:tcPr>
          <w:p>
            <w:pPr>
              <w:ind w:left="420"/>
              <w:spacing w:after="0"/>
              <w:rPr>
                <w:sz w:val="20"/>
                <w:szCs w:val="20"/>
                <w:color w:val="auto"/>
              </w:rPr>
            </w:pPr>
            <w:r>
              <w:rPr>
                <w:rFonts w:ascii="Arial" w:cs="Arial" w:eastAsia="Arial" w:hAnsi="Arial"/>
                <w:sz w:val="20"/>
                <w:szCs w:val="20"/>
                <w:color w:val="auto"/>
              </w:rPr>
              <w:t>omeSense</w:t>
            </w:r>
          </w:p>
        </w:tc>
        <w:tc>
          <w:tcPr>
            <w:tcW w:w="3080" w:type="dxa"/>
            <w:vAlign w:val="bottom"/>
            <w:shd w:val="clear" w:color="auto" w:fill="E4E4E4"/>
          </w:tcPr>
          <w:p>
            <w:pPr>
              <w:jc w:val="center"/>
              <w:ind w:left="1401"/>
              <w:spacing w:after="0"/>
              <w:rPr>
                <w:sz w:val="20"/>
                <w:szCs w:val="20"/>
                <w:color w:val="auto"/>
              </w:rPr>
            </w:pPr>
            <w:r>
              <w:rPr>
                <w:rFonts w:ascii="Arial" w:cs="Arial" w:eastAsia="Arial" w:hAnsi="Arial"/>
                <w:sz w:val="20"/>
                <w:szCs w:val="20"/>
                <w:color w:val="auto"/>
                <w:w w:val="88"/>
              </w:rPr>
              <w:t>24,000</w:t>
            </w:r>
          </w:p>
        </w:tc>
        <w:tc>
          <w:tcPr>
            <w:tcW w:w="1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160</w:t>
            </w:r>
          </w:p>
        </w:tc>
        <w:tc>
          <w:tcPr>
            <w:tcW w:w="13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162</w:t>
            </w: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140" w:type="dxa"/>
            <w:vAlign w:val="bottom"/>
            <w:tcBorders>
              <w:bottom w:val="single" w:sz="8" w:color="auto"/>
            </w:tcBorders>
            <w:gridSpan w:val="2"/>
            <w:shd w:val="clear" w:color="auto" w:fill="FEFEFE"/>
          </w:tcPr>
          <w:p>
            <w:pPr>
              <w:ind w:left="440"/>
              <w:spacing w:after="0"/>
              <w:rPr>
                <w:sz w:val="20"/>
                <w:szCs w:val="20"/>
                <w:color w:val="auto"/>
              </w:rPr>
            </w:pPr>
            <w:r>
              <w:rPr>
                <w:rFonts w:ascii="Arial" w:cs="Arial" w:eastAsia="Arial" w:hAnsi="Arial"/>
                <w:sz w:val="20"/>
                <w:szCs w:val="20"/>
                <w:color w:val="auto"/>
                <w:w w:val="98"/>
              </w:rPr>
              <w:t>arshalls</w:t>
            </w:r>
          </w:p>
        </w:tc>
        <w:tc>
          <w:tcPr>
            <w:tcW w:w="1700" w:type="dxa"/>
            <w:vAlign w:val="bottom"/>
            <w:tcBorders>
              <w:bottom w:val="single" w:sz="8" w:color="auto"/>
            </w:tcBorders>
            <w:shd w:val="clear" w:color="auto" w:fill="FEFEFE"/>
          </w:tcPr>
          <w:p>
            <w:pPr>
              <w:spacing w:after="0"/>
              <w:rPr>
                <w:sz w:val="24"/>
                <w:szCs w:val="24"/>
                <w:color w:val="auto"/>
              </w:rPr>
            </w:pPr>
          </w:p>
        </w:tc>
        <w:tc>
          <w:tcPr>
            <w:tcW w:w="3080" w:type="dxa"/>
            <w:vAlign w:val="bottom"/>
            <w:tcBorders>
              <w:bottom w:val="single" w:sz="8" w:color="auto"/>
            </w:tcBorders>
            <w:shd w:val="clear" w:color="auto" w:fill="FEFEFE"/>
          </w:tcPr>
          <w:p>
            <w:pPr>
              <w:jc w:val="center"/>
              <w:ind w:left="1401"/>
              <w:spacing w:after="0"/>
              <w:rPr>
                <w:sz w:val="20"/>
                <w:szCs w:val="20"/>
                <w:color w:val="auto"/>
              </w:rPr>
            </w:pPr>
            <w:r>
              <w:rPr>
                <w:rFonts w:ascii="Arial" w:cs="Arial" w:eastAsia="Arial" w:hAnsi="Arial"/>
                <w:sz w:val="20"/>
                <w:szCs w:val="20"/>
                <w:color w:val="auto"/>
                <w:w w:val="88"/>
              </w:rPr>
              <w:t>27,000</w:t>
            </w:r>
          </w:p>
        </w:tc>
        <w:tc>
          <w:tcPr>
            <w:tcW w:w="1260" w:type="dxa"/>
            <w:vAlign w:val="bottom"/>
            <w:tcBorders>
              <w:bottom w:val="single" w:sz="8" w:color="auto"/>
            </w:tcBorders>
            <w:shd w:val="clear" w:color="auto" w:fill="FEFEFE"/>
          </w:tcPr>
          <w:p>
            <w:pPr>
              <w:jc w:val="right"/>
              <w:ind w:right="20"/>
              <w:spacing w:after="0"/>
              <w:rPr>
                <w:sz w:val="20"/>
                <w:szCs w:val="20"/>
                <w:color w:val="auto"/>
              </w:rPr>
            </w:pPr>
            <w:r>
              <w:rPr>
                <w:rFonts w:ascii="Arial" w:cs="Arial" w:eastAsia="Arial" w:hAnsi="Arial"/>
                <w:sz w:val="20"/>
                <w:szCs w:val="20"/>
                <w:color w:val="auto"/>
              </w:rPr>
              <w:t>10</w:t>
            </w:r>
          </w:p>
        </w:tc>
        <w:tc>
          <w:tcPr>
            <w:tcW w:w="13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111</w:t>
            </w:r>
          </w:p>
        </w:tc>
        <w:tc>
          <w:tcPr>
            <w:tcW w:w="180" w:type="dxa"/>
            <w:vAlign w:val="bottom"/>
            <w:tcBorders>
              <w:bottom w:val="single" w:sz="8" w:color="auto"/>
            </w:tcBorders>
            <w:shd w:val="clear" w:color="auto" w:fill="FEFEFE"/>
          </w:tcPr>
          <w:p>
            <w:pPr>
              <w:spacing w:after="0"/>
              <w:rPr>
                <w:sz w:val="24"/>
                <w:szCs w:val="24"/>
                <w:color w:val="auto"/>
              </w:rPr>
            </w:pPr>
          </w:p>
        </w:tc>
        <w:tc>
          <w:tcPr>
            <w:tcW w:w="1300" w:type="dxa"/>
            <w:vAlign w:val="bottom"/>
            <w:tcBorders>
              <w:bottom w:val="single" w:sz="8" w:color="auto"/>
              <w:right w:val="single" w:sz="8" w:color="FEFEFE"/>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shd w:val="clear" w:color="auto" w:fill="E4E4E4"/>
          </w:tcPr>
          <w:p>
            <w:pPr>
              <w:spacing w:after="0"/>
              <w:rPr>
                <w:sz w:val="24"/>
                <w:szCs w:val="24"/>
                <w:color w:val="auto"/>
              </w:rPr>
            </w:pPr>
          </w:p>
        </w:tc>
        <w:tc>
          <w:tcPr>
            <w:tcW w:w="2380" w:type="dxa"/>
            <w:vAlign w:val="bottom"/>
            <w:gridSpan w:val="2"/>
            <w:shd w:val="clear" w:color="auto" w:fill="E4E4E4"/>
          </w:tcPr>
          <w:p>
            <w:pPr>
              <w:ind w:left="60"/>
              <w:spacing w:after="0"/>
              <w:rPr>
                <w:sz w:val="20"/>
                <w:szCs w:val="20"/>
                <w:color w:val="auto"/>
              </w:rPr>
            </w:pPr>
            <w:r>
              <w:rPr>
                <w:rFonts w:ascii="Arial" w:cs="Arial" w:eastAsia="Arial" w:hAnsi="Arial"/>
                <w:sz w:val="20"/>
                <w:szCs w:val="20"/>
                <w:color w:val="auto"/>
              </w:rPr>
              <w:t>Total TJX Canada</w:t>
            </w:r>
          </w:p>
        </w:tc>
        <w:tc>
          <w:tcPr>
            <w:tcW w:w="3080" w:type="dxa"/>
            <w:vAlign w:val="bottom"/>
            <w:shd w:val="clear" w:color="auto" w:fill="E4E4E4"/>
          </w:tcPr>
          <w:p>
            <w:pPr>
              <w:spacing w:after="0"/>
              <w:rPr>
                <w:sz w:val="24"/>
                <w:szCs w:val="24"/>
                <w:color w:val="auto"/>
              </w:rPr>
            </w:pPr>
          </w:p>
        </w:tc>
        <w:tc>
          <w:tcPr>
            <w:tcW w:w="1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576</w:t>
            </w:r>
          </w:p>
        </w:tc>
        <w:tc>
          <w:tcPr>
            <w:tcW w:w="13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589</w:t>
            </w: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jc w:val="right"/>
              <w:ind w:right="22"/>
              <w:spacing w:after="0"/>
              <w:rPr>
                <w:sz w:val="20"/>
                <w:szCs w:val="20"/>
                <w:color w:val="auto"/>
              </w:rPr>
            </w:pPr>
            <w:r>
              <w:rPr>
                <w:rFonts w:ascii="Arial" w:cs="Arial" w:eastAsia="Arial" w:hAnsi="Arial"/>
                <w:sz w:val="20"/>
                <w:szCs w:val="20"/>
                <w:color w:val="auto"/>
              </w:rPr>
              <w:t>650</w:t>
            </w: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60" w:type="dxa"/>
            <w:vAlign w:val="bottom"/>
            <w:shd w:val="clear" w:color="auto" w:fill="FEFEFE"/>
          </w:tcPr>
          <w:p>
            <w:pPr>
              <w:ind w:left="180"/>
              <w:spacing w:after="0"/>
              <w:rPr>
                <w:sz w:val="20"/>
                <w:szCs w:val="20"/>
                <w:color w:val="auto"/>
              </w:rPr>
            </w:pPr>
            <w:r>
              <w:rPr>
                <w:rFonts w:ascii="Arial" w:cs="Arial" w:eastAsia="Arial" w:hAnsi="Arial"/>
                <w:sz w:val="20"/>
                <w:szCs w:val="20"/>
                <w:color w:val="auto"/>
              </w:rPr>
              <w:t>J</w:t>
            </w:r>
          </w:p>
        </w:tc>
        <w:tc>
          <w:tcPr>
            <w:tcW w:w="2380" w:type="dxa"/>
            <w:vAlign w:val="bottom"/>
            <w:gridSpan w:val="2"/>
            <w:shd w:val="clear" w:color="auto" w:fill="FEFEFE"/>
          </w:tcPr>
          <w:p>
            <w:pPr>
              <w:ind w:left="20"/>
              <w:spacing w:after="0"/>
              <w:rPr>
                <w:sz w:val="20"/>
                <w:szCs w:val="20"/>
                <w:color w:val="auto"/>
              </w:rPr>
            </w:pPr>
            <w:r>
              <w:rPr>
                <w:rFonts w:ascii="Arial" w:cs="Arial" w:eastAsia="Arial" w:hAnsi="Arial"/>
                <w:sz w:val="20"/>
                <w:szCs w:val="20"/>
                <w:color w:val="auto"/>
              </w:rPr>
              <w:t>International</w:t>
            </w:r>
          </w:p>
        </w:tc>
        <w:tc>
          <w:tcPr>
            <w:tcW w:w="3080" w:type="dxa"/>
            <w:vAlign w:val="bottom"/>
            <w:shd w:val="clear" w:color="auto" w:fill="FEFEFE"/>
          </w:tcPr>
          <w:p>
            <w:pPr>
              <w:spacing w:after="0"/>
              <w:rPr>
                <w:sz w:val="24"/>
                <w:szCs w:val="24"/>
                <w:color w:val="auto"/>
              </w:rPr>
            </w:pPr>
          </w:p>
        </w:tc>
        <w:tc>
          <w:tcPr>
            <w:tcW w:w="1260" w:type="dxa"/>
            <w:vAlign w:val="bottom"/>
            <w:shd w:val="clear" w:color="auto" w:fill="FEFEFE"/>
          </w:tcPr>
          <w:p>
            <w:pPr>
              <w:spacing w:after="0"/>
              <w:rPr>
                <w:sz w:val="24"/>
                <w:szCs w:val="24"/>
                <w:color w:val="auto"/>
              </w:rPr>
            </w:pPr>
          </w:p>
        </w:tc>
        <w:tc>
          <w:tcPr>
            <w:tcW w:w="138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0" w:type="dxa"/>
            <w:vAlign w:val="bottom"/>
            <w:shd w:val="clear" w:color="auto" w:fill="E4E4E4"/>
          </w:tcPr>
          <w:p>
            <w:pPr>
              <w:ind w:left="260"/>
              <w:spacing w:after="0"/>
              <w:rPr>
                <w:sz w:val="20"/>
                <w:szCs w:val="20"/>
                <w:color w:val="auto"/>
              </w:rPr>
            </w:pPr>
            <w:r>
              <w:rPr>
                <w:rFonts w:ascii="Arial" w:cs="Arial" w:eastAsia="Arial" w:hAnsi="Arial"/>
                <w:sz w:val="20"/>
                <w:szCs w:val="20"/>
                <w:color w:val="auto"/>
              </w:rPr>
              <w:t>T</w:t>
            </w:r>
          </w:p>
        </w:tc>
        <w:tc>
          <w:tcPr>
            <w:tcW w:w="2380" w:type="dxa"/>
            <w:vAlign w:val="bottom"/>
            <w:gridSpan w:val="2"/>
            <w:shd w:val="clear" w:color="auto" w:fill="E4E4E4"/>
          </w:tcPr>
          <w:p>
            <w:pPr>
              <w:ind w:left="300"/>
              <w:spacing w:after="0"/>
              <w:rPr>
                <w:sz w:val="20"/>
                <w:szCs w:val="20"/>
                <w:color w:val="auto"/>
              </w:rPr>
            </w:pPr>
            <w:r>
              <w:rPr>
                <w:rFonts w:ascii="Arial" w:cs="Arial" w:eastAsia="Arial" w:hAnsi="Arial"/>
                <w:sz w:val="20"/>
                <w:szCs w:val="20"/>
                <w:color w:val="auto"/>
              </w:rPr>
              <w:t>axx (Europe)</w:t>
            </w:r>
          </w:p>
        </w:tc>
        <w:tc>
          <w:tcPr>
            <w:tcW w:w="3080" w:type="dxa"/>
            <w:vAlign w:val="bottom"/>
            <w:shd w:val="clear" w:color="auto" w:fill="E4E4E4"/>
          </w:tcPr>
          <w:p>
            <w:pPr>
              <w:jc w:val="center"/>
              <w:ind w:left="1401"/>
              <w:spacing w:after="0"/>
              <w:rPr>
                <w:sz w:val="20"/>
                <w:szCs w:val="20"/>
                <w:color w:val="auto"/>
              </w:rPr>
            </w:pPr>
            <w:r>
              <w:rPr>
                <w:rFonts w:ascii="Arial" w:cs="Arial" w:eastAsia="Arial" w:hAnsi="Arial"/>
                <w:sz w:val="20"/>
                <w:szCs w:val="20"/>
                <w:color w:val="auto"/>
                <w:w w:val="88"/>
              </w:rPr>
              <w:t>28,000</w:t>
            </w:r>
          </w:p>
        </w:tc>
        <w:tc>
          <w:tcPr>
            <w:tcW w:w="1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655</w:t>
            </w:r>
          </w:p>
        </w:tc>
        <w:tc>
          <w:tcPr>
            <w:tcW w:w="13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673</w:t>
            </w:r>
          </w:p>
        </w:tc>
        <w:tc>
          <w:tcPr>
            <w:tcW w:w="180" w:type="dxa"/>
            <w:vAlign w:val="bottom"/>
            <w:shd w:val="clear" w:color="auto" w:fill="E4E4E4"/>
          </w:tcPr>
          <w:p>
            <w:pPr>
              <w:spacing w:after="0"/>
              <w:rPr>
                <w:sz w:val="24"/>
                <w:szCs w:val="24"/>
                <w:color w:val="auto"/>
              </w:rPr>
            </w:pPr>
          </w:p>
        </w:tc>
        <w:tc>
          <w:tcPr>
            <w:tcW w:w="1300" w:type="dxa"/>
            <w:vAlign w:val="bottom"/>
            <w:tcBorders>
              <w:right w:val="single" w:sz="8" w:color="E4E4E4"/>
            </w:tcBorders>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40" w:type="dxa"/>
            <w:vAlign w:val="bottom"/>
            <w:gridSpan w:val="3"/>
            <w:shd w:val="clear" w:color="auto" w:fill="FEFEFE"/>
          </w:tcPr>
          <w:p>
            <w:pPr>
              <w:ind w:left="420"/>
              <w:spacing w:after="0"/>
              <w:rPr>
                <w:sz w:val="20"/>
                <w:szCs w:val="20"/>
                <w:color w:val="auto"/>
              </w:rPr>
            </w:pPr>
            <w:r>
              <w:rPr>
                <w:rFonts w:ascii="Arial" w:cs="Arial" w:eastAsia="Arial" w:hAnsi="Arial"/>
                <w:sz w:val="20"/>
                <w:szCs w:val="20"/>
                <w:color w:val="auto"/>
              </w:rPr>
              <w:t>omesense (Europe)</w:t>
            </w:r>
          </w:p>
        </w:tc>
        <w:tc>
          <w:tcPr>
            <w:tcW w:w="3080" w:type="dxa"/>
            <w:vAlign w:val="bottom"/>
            <w:shd w:val="clear" w:color="auto" w:fill="FEFEFE"/>
          </w:tcPr>
          <w:p>
            <w:pPr>
              <w:jc w:val="center"/>
              <w:ind w:left="1401"/>
              <w:spacing w:after="0"/>
              <w:rPr>
                <w:sz w:val="20"/>
                <w:szCs w:val="20"/>
                <w:color w:val="auto"/>
              </w:rPr>
            </w:pPr>
            <w:r>
              <w:rPr>
                <w:rFonts w:ascii="Arial" w:cs="Arial" w:eastAsia="Arial" w:hAnsi="Arial"/>
                <w:sz w:val="20"/>
                <w:szCs w:val="20"/>
                <w:color w:val="auto"/>
                <w:w w:val="97"/>
              </w:rPr>
              <w:t>1 ,000</w:t>
            </w:r>
          </w:p>
        </w:tc>
        <w:tc>
          <w:tcPr>
            <w:tcW w:w="1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75</w:t>
            </w:r>
          </w:p>
        </w:tc>
        <w:tc>
          <w:tcPr>
            <w:tcW w:w="13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74</w:t>
            </w:r>
          </w:p>
        </w:tc>
        <w:tc>
          <w:tcPr>
            <w:tcW w:w="180" w:type="dxa"/>
            <w:vAlign w:val="bottom"/>
            <w:shd w:val="clear" w:color="auto" w:fill="FEFEFE"/>
          </w:tcPr>
          <w:p>
            <w:pPr>
              <w:spacing w:after="0"/>
              <w:rPr>
                <w:sz w:val="24"/>
                <w:szCs w:val="24"/>
                <w:color w:val="auto"/>
              </w:rPr>
            </w:pPr>
          </w:p>
        </w:tc>
        <w:tc>
          <w:tcPr>
            <w:tcW w:w="1300" w:type="dxa"/>
            <w:vAlign w:val="bottom"/>
            <w:tcBorders>
              <w:right w:val="single" w:sz="8" w:color="FEFEFE"/>
            </w:tcBorders>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T</w:t>
            </w:r>
          </w:p>
        </w:tc>
        <w:tc>
          <w:tcPr>
            <w:tcW w:w="2380" w:type="dxa"/>
            <w:vAlign w:val="bottom"/>
            <w:tcBorders>
              <w:bottom w:val="single" w:sz="8" w:color="auto"/>
            </w:tcBorders>
            <w:gridSpan w:val="2"/>
            <w:shd w:val="clear" w:color="auto" w:fill="E4E4E4"/>
          </w:tcPr>
          <w:p>
            <w:pPr>
              <w:ind w:left="300"/>
              <w:spacing w:after="0"/>
              <w:rPr>
                <w:sz w:val="20"/>
                <w:szCs w:val="20"/>
                <w:color w:val="auto"/>
              </w:rPr>
            </w:pPr>
            <w:r>
              <w:rPr>
                <w:rFonts w:ascii="Arial" w:cs="Arial" w:eastAsia="Arial" w:hAnsi="Arial"/>
                <w:sz w:val="20"/>
                <w:szCs w:val="20"/>
                <w:color w:val="auto"/>
              </w:rPr>
              <w:t>axx (Australia)</w:t>
            </w:r>
          </w:p>
        </w:tc>
        <w:tc>
          <w:tcPr>
            <w:tcW w:w="3080" w:type="dxa"/>
            <w:vAlign w:val="bottom"/>
            <w:tcBorders>
              <w:bottom w:val="single" w:sz="8" w:color="auto"/>
            </w:tcBorders>
            <w:shd w:val="clear" w:color="auto" w:fill="E4E4E4"/>
          </w:tcPr>
          <w:p>
            <w:pPr>
              <w:jc w:val="center"/>
              <w:ind w:left="1401"/>
              <w:spacing w:after="0"/>
              <w:rPr>
                <w:sz w:val="20"/>
                <w:szCs w:val="20"/>
                <w:color w:val="auto"/>
              </w:rPr>
            </w:pPr>
            <w:r>
              <w:rPr>
                <w:rFonts w:ascii="Arial" w:cs="Arial" w:eastAsia="Arial" w:hAnsi="Arial"/>
                <w:sz w:val="20"/>
                <w:szCs w:val="20"/>
                <w:color w:val="auto"/>
                <w:w w:val="88"/>
              </w:rPr>
              <w:t>21,000</w:t>
            </w: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84</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88</w:t>
            </w:r>
          </w:p>
        </w:tc>
        <w:tc>
          <w:tcPr>
            <w:tcW w:w="18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right w:val="single" w:sz="8" w:color="E4E4E4"/>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60" w:type="dxa"/>
            <w:vAlign w:val="bottom"/>
            <w:tcBorders>
              <w:bottom w:val="single" w:sz="8" w:color="auto"/>
            </w:tcBorders>
            <w:shd w:val="clear" w:color="auto" w:fill="FEFEFE"/>
          </w:tcPr>
          <w:p>
            <w:pPr>
              <w:spacing w:after="0"/>
              <w:rPr>
                <w:sz w:val="24"/>
                <w:szCs w:val="24"/>
                <w:color w:val="auto"/>
              </w:rPr>
            </w:pPr>
          </w:p>
        </w:tc>
        <w:tc>
          <w:tcPr>
            <w:tcW w:w="2380" w:type="dxa"/>
            <w:vAlign w:val="bottom"/>
            <w:tcBorders>
              <w:bottom w:val="single" w:sz="8" w:color="auto"/>
            </w:tcBorders>
            <w:gridSpan w:val="2"/>
            <w:shd w:val="clear" w:color="auto" w:fill="FEFEFE"/>
          </w:tcPr>
          <w:p>
            <w:pPr>
              <w:ind w:left="60"/>
              <w:spacing w:after="0"/>
              <w:rPr>
                <w:sz w:val="20"/>
                <w:szCs w:val="20"/>
                <w:color w:val="auto"/>
              </w:rPr>
            </w:pPr>
            <w:r>
              <w:rPr>
                <w:rFonts w:ascii="Arial" w:cs="Arial" w:eastAsia="Arial" w:hAnsi="Arial"/>
                <w:sz w:val="20"/>
                <w:szCs w:val="20"/>
                <w:color w:val="auto"/>
              </w:rPr>
              <w:t>Total TJX International</w:t>
            </w:r>
          </w:p>
        </w:tc>
        <w:tc>
          <w:tcPr>
            <w:tcW w:w="3080" w:type="dxa"/>
            <w:vAlign w:val="bottom"/>
            <w:tcBorders>
              <w:bottom w:val="single" w:sz="8" w:color="auto"/>
            </w:tcBorders>
            <w:shd w:val="clear" w:color="auto" w:fill="FEFEFE"/>
          </w:tcPr>
          <w:p>
            <w:pPr>
              <w:spacing w:after="0"/>
              <w:rPr>
                <w:sz w:val="24"/>
                <w:szCs w:val="24"/>
                <w:color w:val="auto"/>
              </w:rPr>
            </w:pPr>
          </w:p>
        </w:tc>
        <w:tc>
          <w:tcPr>
            <w:tcW w:w="1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814</w:t>
            </w:r>
          </w:p>
        </w:tc>
        <w:tc>
          <w:tcPr>
            <w:tcW w:w="13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835</w:t>
            </w:r>
          </w:p>
        </w:tc>
        <w:tc>
          <w:tcPr>
            <w:tcW w:w="180" w:type="dxa"/>
            <w:vAlign w:val="bottom"/>
            <w:tcBorders>
              <w:bottom w:val="single" w:sz="8" w:color="auto"/>
            </w:tcBorders>
            <w:shd w:val="clear" w:color="auto" w:fill="FEFEFE"/>
          </w:tcPr>
          <w:p>
            <w:pPr>
              <w:spacing w:after="0"/>
              <w:rPr>
                <w:sz w:val="24"/>
                <w:szCs w:val="24"/>
                <w:color w:val="auto"/>
              </w:rPr>
            </w:pPr>
          </w:p>
        </w:tc>
        <w:tc>
          <w:tcPr>
            <w:tcW w:w="1300" w:type="dxa"/>
            <w:vAlign w:val="bottom"/>
            <w:tcBorders>
              <w:bottom w:val="single" w:sz="8" w:color="auto"/>
              <w:right w:val="single" w:sz="8" w:color="FEFEFE"/>
            </w:tcBorders>
            <w:shd w:val="clear" w:color="auto" w:fill="FEFEFE"/>
          </w:tcPr>
          <w:p>
            <w:pPr>
              <w:jc w:val="right"/>
              <w:ind w:right="22"/>
              <w:spacing w:after="0"/>
              <w:rPr>
                <w:sz w:val="20"/>
                <w:szCs w:val="20"/>
                <w:color w:val="auto"/>
              </w:rPr>
            </w:pPr>
            <w:r>
              <w:rPr>
                <w:rFonts w:ascii="Arial" w:cs="Arial" w:eastAsia="Arial" w:hAnsi="Arial"/>
                <w:sz w:val="20"/>
                <w:szCs w:val="20"/>
                <w:color w:val="auto"/>
              </w:rPr>
              <w:t>1,225</w:t>
            </w:r>
          </w:p>
        </w:tc>
        <w:tc>
          <w:tcPr>
            <w:tcW w:w="220" w:type="dxa"/>
            <w:vAlign w:val="bottom"/>
            <w:tcBorders>
              <w:bottom w:val="single" w:sz="8" w:color="auto"/>
            </w:tcBorders>
            <w:shd w:val="clear" w:color="auto" w:fill="FEFEFE"/>
          </w:tcPr>
          <w:p>
            <w:pPr>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80"/>
        </w:trPr>
        <w:tc>
          <w:tcPr>
            <w:tcW w:w="4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J</w:t>
            </w:r>
          </w:p>
        </w:tc>
        <w:tc>
          <w:tcPr>
            <w:tcW w:w="680" w:type="dxa"/>
            <w:vAlign w:val="bottom"/>
            <w:tcBorders>
              <w:bottom w:val="single" w:sz="8" w:color="auto"/>
            </w:tcBorders>
            <w:shd w:val="clear" w:color="auto" w:fill="E4E4E4"/>
          </w:tcPr>
          <w:p>
            <w:pPr>
              <w:ind w:left="140"/>
              <w:spacing w:after="0"/>
              <w:rPr>
                <w:sz w:val="20"/>
                <w:szCs w:val="20"/>
                <w:color w:val="auto"/>
              </w:rPr>
            </w:pPr>
            <w:r>
              <w:rPr>
                <w:rFonts w:ascii="Arial" w:cs="Arial" w:eastAsia="Arial" w:hAnsi="Arial"/>
                <w:sz w:val="20"/>
                <w:szCs w:val="20"/>
                <w:color w:val="auto"/>
              </w:rPr>
              <w:t>otal</w:t>
            </w:r>
          </w:p>
        </w:tc>
        <w:tc>
          <w:tcPr>
            <w:tcW w:w="1700" w:type="dxa"/>
            <w:vAlign w:val="bottom"/>
            <w:tcBorders>
              <w:bottom w:val="single" w:sz="8" w:color="auto"/>
            </w:tcBorders>
            <w:shd w:val="clear" w:color="auto" w:fill="E4E4E4"/>
          </w:tcPr>
          <w:p>
            <w:pPr>
              <w:spacing w:after="0"/>
              <w:rPr>
                <w:sz w:val="24"/>
                <w:szCs w:val="24"/>
                <w:color w:val="auto"/>
              </w:rPr>
            </w:pPr>
          </w:p>
        </w:tc>
        <w:tc>
          <w:tcPr>
            <w:tcW w:w="3080" w:type="dxa"/>
            <w:vAlign w:val="bottom"/>
            <w:tcBorders>
              <w:bottom w:val="single" w:sz="8" w:color="auto"/>
            </w:tcBorders>
            <w:shd w:val="clear" w:color="auto" w:fill="E4E4E4"/>
          </w:tcPr>
          <w:p>
            <w:pPr>
              <w:spacing w:after="0"/>
              <w:rPr>
                <w:sz w:val="24"/>
                <w:szCs w:val="24"/>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5,085</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5,214</w:t>
            </w:r>
          </w:p>
        </w:tc>
        <w:tc>
          <w:tcPr>
            <w:tcW w:w="18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right w:val="single" w:sz="8" w:color="E4E4E4"/>
            </w:tcBorders>
            <w:shd w:val="clear" w:color="auto" w:fill="E4E4E4"/>
          </w:tcPr>
          <w:p>
            <w:pPr>
              <w:jc w:val="right"/>
              <w:ind w:right="22"/>
              <w:spacing w:after="0"/>
              <w:rPr>
                <w:sz w:val="20"/>
                <w:szCs w:val="20"/>
                <w:color w:val="auto"/>
              </w:rPr>
            </w:pPr>
            <w:r>
              <w:rPr>
                <w:rFonts w:ascii="Arial" w:cs="Arial" w:eastAsia="Arial" w:hAnsi="Arial"/>
                <w:sz w:val="20"/>
                <w:szCs w:val="20"/>
                <w:color w:val="auto"/>
              </w:rPr>
              <w:t>7,000</w:t>
            </w:r>
          </w:p>
        </w:tc>
        <w:tc>
          <w:tcPr>
            <w:tcW w:w="2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40" w:type="dxa"/>
            <w:vAlign w:val="bottom"/>
            <w:gridSpan w:val="3"/>
          </w:tcPr>
          <w:p>
            <w:pPr>
              <w:spacing w:after="0"/>
              <w:rPr>
                <w:sz w:val="20"/>
                <w:szCs w:val="20"/>
                <w:color w:val="auto"/>
              </w:rPr>
            </w:pPr>
            <w:r>
              <w:rPr>
                <w:rFonts w:ascii="Arial" w:cs="Arial" w:eastAsia="Arial" w:hAnsi="Arial"/>
                <w:sz w:val="16"/>
                <w:szCs w:val="16"/>
                <w:color w:val="auto"/>
                <w:w w:val="92"/>
              </w:rPr>
              <w:t>(a)eflects store growth potential for T</w:t>
            </w:r>
          </w:p>
        </w:tc>
        <w:tc>
          <w:tcPr>
            <w:tcW w:w="434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axx in current geographies and the expansion into Spain and for</w:t>
            </w:r>
          </w:p>
        </w:tc>
        <w:tc>
          <w:tcPr>
            <w:tcW w:w="1560" w:type="dxa"/>
            <w:vAlign w:val="bottom"/>
            <w:gridSpan w:val="2"/>
          </w:tcPr>
          <w:p>
            <w:pPr>
              <w:ind w:left="40"/>
              <w:spacing w:after="0"/>
              <w:rPr>
                <w:sz w:val="20"/>
                <w:szCs w:val="20"/>
                <w:color w:val="auto"/>
              </w:rPr>
            </w:pPr>
            <w:r>
              <w:rPr>
                <w:rFonts w:ascii="Arial" w:cs="Arial" w:eastAsia="Arial" w:hAnsi="Arial"/>
                <w:sz w:val="16"/>
                <w:szCs w:val="16"/>
                <w:color w:val="auto"/>
                <w:w w:val="93"/>
              </w:rPr>
              <w:t>omesense in the  nited</w:t>
            </w:r>
          </w:p>
        </w:tc>
        <w:tc>
          <w:tcPr>
            <w:tcW w:w="1520" w:type="dxa"/>
            <w:vAlign w:val="bottom"/>
            <w:gridSpan w:val="2"/>
          </w:tcPr>
          <w:p>
            <w:pPr>
              <w:ind w:left="140"/>
              <w:spacing w:after="0"/>
              <w:rPr>
                <w:sz w:val="20"/>
                <w:szCs w:val="20"/>
                <w:color w:val="auto"/>
              </w:rPr>
            </w:pPr>
            <w:r>
              <w:rPr>
                <w:rFonts w:ascii="Arial" w:cs="Arial" w:eastAsia="Arial" w:hAnsi="Arial"/>
                <w:sz w:val="16"/>
                <w:szCs w:val="16"/>
                <w:color w:val="auto"/>
                <w:w w:val="96"/>
              </w:rPr>
              <w:t>ingdom and Ireland.</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Some of our home fashion stores are co-located with one of our apparel stores in a combo or superstore format. e count each of the stores in the combo or superstore format as a separate store.</w:t>
      </w:r>
    </w:p>
    <w:p>
      <w:pPr>
        <w:spacing w:after="0" w:line="4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i w:val="1"/>
          <w:iCs w:val="1"/>
          <w:color w:val="auto"/>
        </w:rPr>
        <w:t>Co</w:t>
        <w:tab/>
        <w:t>etition</w:t>
      </w:r>
    </w:p>
    <w:p>
      <w:pPr>
        <w:spacing w:after="0" w:line="146"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The retail apparel and home fashion business is highly competitive. e compete on numerous factors including brand, fashion, price, uality, selection and freshness in-store and online shopping experience and service reputation and store location. e compete with local, regional, national and international department, specialty, off-price, discount, warehouse and outlet stores as well as other retailers that sell apparel, home fashions and other merchandise that we sell, whether in stores, online, or through other media or channels.</w:t>
      </w:r>
    </w:p>
    <w:p>
      <w:pPr>
        <w:spacing w:after="0" w:line="68"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22"/>
          <w:szCs w:val="22"/>
          <w:i w:val="1"/>
          <w:iCs w:val="1"/>
          <w:color w:val="auto"/>
        </w:rPr>
        <w:t>u</w:t>
        <w:tab/>
        <w:t>an Ca ital</w:t>
      </w:r>
    </w:p>
    <w:p>
      <w:pPr>
        <w:spacing w:after="0" w:line="146"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As of January 31, 2026, we had approximately 377,000 Associates, many of whom worked less than 40 hours per week. Approximately 86 of these Associates worked in our retail stores. e hire thousands of temporary employees each year, particularly during the peak back-to-school and holiday seasons. e offer positions at a variety of levels in our stores, distribution and fulfillment centers, and offices, as well as many opportunities for Associates to grow and advance. any Associates in our distribution network in the nited States and Canada are covered by collective bargaining agreements, and other Associates are members of works councils in Europe. ur large, global workforce supports the execution of our flexible business model, including the timing and fre uency of store deliveries and the management of a rapidly changing mix of merchandise in over 5,200 retail stores globally and across six e-commerce sites. e believe our Associates are key to our business success.</w:t>
      </w:r>
    </w:p>
    <w:p>
      <w:pPr>
        <w:sectPr>
          <w:pgSz w:w="12240" w:h="15841" w:orient="portrait"/>
          <w:cols w:equalWidth="0" w:num="1">
            <w:col w:w="10260"/>
          </w:cols>
          <w:pgMar w:left="100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2240" w:h="15841" w:orient="portrait"/>
          <w:cols w:equalWidth="0" w:num="1">
            <w:col w:w="10260"/>
          </w:cols>
          <w:pgMar w:left="1000" w:top="777" w:right="981" w:bottom="0" w:gutter="0" w:footer="0" w:header="0"/>
          <w:type w:val="continuous"/>
        </w:sectPr>
      </w:pPr>
    </w:p>
    <w:bookmarkStart w:id="16" w:name="page17"/>
    <w:bookmarkEnd w:id="16"/>
    <w:p>
      <w:pPr>
        <w:ind w:right="160" w:firstLine="189"/>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 work to foster a strong, supportive, and inclusive culture so that Associates at TJX feel welcome in the Company, valued for their perspectives and contributions, and engaged with our business mission to deliver great value to our customers every day. ur open-door philosophy encourages open and honest communication and supports Associate engagement. e use defined cultural factors and leadership competencies throughout our global business to express our organi ational values, such as inclusion, personal integrity, relationship-building and collaboration and respect for our business model, and to promote consistency in leadership development.</w:t>
      </w:r>
    </w:p>
    <w:p>
      <w:pPr>
        <w:spacing w:after="0" w:line="82" w:lineRule="exact"/>
        <w:rPr>
          <w:sz w:val="20"/>
          <w:szCs w:val="20"/>
          <w:color w:val="auto"/>
        </w:rPr>
      </w:pPr>
    </w:p>
    <w:p>
      <w:pPr>
        <w:ind w:right="260" w:firstLine="189"/>
        <w:spacing w:after="0" w:line="278" w:lineRule="auto"/>
        <w:rPr>
          <w:sz w:val="20"/>
          <w:szCs w:val="20"/>
          <w:color w:val="auto"/>
        </w:rPr>
      </w:pPr>
      <w:r>
        <w:rPr>
          <w:rFonts w:ascii="Arial" w:cs="Arial" w:eastAsia="Arial" w:hAnsi="Arial"/>
          <w:sz w:val="18"/>
          <w:szCs w:val="18"/>
          <w:color w:val="auto"/>
        </w:rPr>
        <w:t>e are highly focused on teaching and mentoring to support the career growth and success of our Associates, and we believe these efforts can strengthen retention, stability, and expertise across our workforce. Training occurs throughout the</w:t>
      </w:r>
    </w:p>
    <w:p>
      <w:pPr>
        <w:ind w:right="120"/>
        <w:spacing w:after="0" w:line="283" w:lineRule="auto"/>
        <w:rPr>
          <w:sz w:val="20"/>
          <w:szCs w:val="20"/>
          <w:color w:val="auto"/>
        </w:rPr>
      </w:pPr>
      <w:r>
        <w:rPr>
          <w:rFonts w:ascii="Arial" w:cs="Arial" w:eastAsia="Arial" w:hAnsi="Arial"/>
          <w:sz w:val="20"/>
          <w:szCs w:val="20"/>
          <w:color w:val="auto"/>
        </w:rPr>
        <w:t>organi ation, from informal mentoring and direct training to a range of career and leadership development programs, including our TJX niversity for merchandising Associates.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As a global company serving a broad customer demographic and with hundreds of thousands of Associates in several geographies, we recogni e the importance of inclusion and diversity to our culture and our business. ur global workforce reflects a diversity of races, ethnicities, ages, sexual orientations, gender identities, skills, abilities, religions, perspectives and a broad range of other backgrounds and experiences. ur work in this area has been developed over many decades and aims to support our business mission. This work continues to include initiatives intended to foster an inclusive culture, encourage Associate engagement, and support Associate well-being.</w:t>
      </w:r>
    </w:p>
    <w:p>
      <w:pPr>
        <w:spacing w:after="0" w:line="82" w:lineRule="exact"/>
        <w:rPr>
          <w:sz w:val="20"/>
          <w:szCs w:val="20"/>
          <w:color w:val="auto"/>
        </w:rPr>
      </w:pPr>
    </w:p>
    <w:p>
      <w:pPr>
        <w:ind w:right="20" w:firstLine="145"/>
        <w:spacing w:after="0" w:line="258" w:lineRule="auto"/>
        <w:rPr>
          <w:sz w:val="20"/>
          <w:szCs w:val="20"/>
          <w:color w:val="auto"/>
        </w:rPr>
      </w:pPr>
      <w:r>
        <w:rPr>
          <w:rFonts w:ascii="Arial" w:cs="Arial" w:eastAsia="Arial" w:hAnsi="Arial"/>
          <w:sz w:val="20"/>
          <w:szCs w:val="20"/>
          <w:color w:val="auto"/>
        </w:rPr>
        <w:t>ur global approach to total rewards includes sharing in the success of the Company, encouraging teamwork and collaboration across our global workforce, and being fair and e uitable. ur compensation programs are designed to pay our Associates competitively in the market and e uitably, based on their skills, ualifications, role and abilities. For fiscal 2026, we continued our ne TJX approach to annual incentive compensation, with all eligible Associates measured against global TJX performance goals.</w:t>
      </w:r>
    </w:p>
    <w:p>
      <w:pPr>
        <w:spacing w:after="0" w:line="6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22"/>
          <w:szCs w:val="22"/>
          <w:i w:val="1"/>
          <w:iCs w:val="1"/>
          <w:color w:val="auto"/>
        </w:rPr>
        <w:t>rade</w:t>
        <w:tab/>
        <w:t>ar s</w:t>
      </w:r>
    </w:p>
    <w:p>
      <w:pPr>
        <w:spacing w:after="0" w:line="146" w:lineRule="exact"/>
        <w:rPr>
          <w:sz w:val="20"/>
          <w:szCs w:val="20"/>
          <w:color w:val="auto"/>
        </w:rPr>
      </w:pPr>
    </w:p>
    <w:p>
      <w:pPr>
        <w:ind w:left="140" w:right="340" w:firstLine="44"/>
        <w:spacing w:after="0" w:line="263" w:lineRule="auto"/>
        <w:rPr>
          <w:sz w:val="20"/>
          <w:szCs w:val="20"/>
          <w:color w:val="auto"/>
        </w:rPr>
      </w:pPr>
      <w:r>
        <w:rPr>
          <w:rFonts w:ascii="Arial" w:cs="Arial" w:eastAsia="Arial" w:hAnsi="Arial"/>
          <w:sz w:val="19"/>
          <w:szCs w:val="19"/>
          <w:color w:val="auto"/>
        </w:rPr>
        <w:t>e have the right to use our principal trademarks and service marks, which are TJ axx, arshalls, ome oods, inners, omesense omeSense, T axx and Sierra, in relevant countries. e expect our rights in these trademarks and service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marks to endure in locations where we use them for as long as we continue to do so.</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easonalit</w:t>
      </w:r>
    </w:p>
    <w:p>
      <w:pPr>
        <w:spacing w:after="0" w:line="146" w:lineRule="exact"/>
        <w:rPr>
          <w:sz w:val="20"/>
          <w:szCs w:val="20"/>
          <w:color w:val="auto"/>
        </w:rPr>
      </w:pPr>
    </w:p>
    <w:p>
      <w:pPr>
        <w:ind w:right="280" w:firstLine="145"/>
        <w:spacing w:after="0" w:line="283" w:lineRule="auto"/>
        <w:rPr>
          <w:sz w:val="20"/>
          <w:szCs w:val="20"/>
          <w:color w:val="auto"/>
        </w:rPr>
      </w:pPr>
      <w:r>
        <w:rPr>
          <w:rFonts w:ascii="Arial" w:cs="Arial" w:eastAsia="Arial" w:hAnsi="Arial"/>
          <w:sz w:val="20"/>
          <w:szCs w:val="20"/>
          <w:color w:val="auto"/>
        </w:rPr>
        <w:t>ur business is subject to seasonal influences. In the second half of the year, which includes the back-to-school and year-end holiday seasons, we generally reali e higher levels of sales and income.</w:t>
      </w:r>
    </w:p>
    <w:p>
      <w:pPr>
        <w:spacing w:after="0" w:line="42" w:lineRule="exact"/>
        <w:rPr>
          <w:sz w:val="20"/>
          <w:szCs w:val="20"/>
          <w:color w:val="auto"/>
        </w:rPr>
      </w:pPr>
    </w:p>
    <w:p>
      <w:pPr>
        <w:ind w:left="260"/>
        <w:spacing w:after="0"/>
        <w:tabs>
          <w:tab w:leader="none" w:pos="580" w:val="left"/>
        </w:tabs>
        <w:rPr>
          <w:sz w:val="20"/>
          <w:szCs w:val="20"/>
          <w:color w:val="auto"/>
        </w:rPr>
      </w:pPr>
      <w:r>
        <w:rPr>
          <w:rFonts w:ascii="Arial" w:cs="Arial" w:eastAsia="Arial" w:hAnsi="Arial"/>
          <w:sz w:val="22"/>
          <w:szCs w:val="22"/>
          <w:i w:val="1"/>
          <w:iCs w:val="1"/>
          <w:color w:val="auto"/>
        </w:rPr>
        <w:t>C</w:t>
      </w:r>
      <w:r>
        <w:rPr>
          <w:sz w:val="20"/>
          <w:szCs w:val="20"/>
          <w:color w:val="auto"/>
        </w:rPr>
        <w:tab/>
      </w:r>
      <w:r>
        <w:rPr>
          <w:rFonts w:ascii="Arial" w:cs="Arial" w:eastAsia="Arial" w:hAnsi="Arial"/>
          <w:sz w:val="21"/>
          <w:szCs w:val="21"/>
          <w:i w:val="1"/>
          <w:iCs w:val="1"/>
          <w:color w:val="auto"/>
        </w:rPr>
        <w:t>ilings and Certifications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Copies of our annual reports on Form 10- , proxy statements, uarterly reports on Form 10- and current reports on Form 8-filed with or furnished to the SEC, and any amendments to those documents, are available free of charge on our website, tjx.com, under SEC Filings, as soon as reasonably practicable after they are electronically filed with, or furnished to, the SEC. They are also available free of charge from TJX lobal Communications, 770 Cochituate oad, Framingham, assachusetts 01701. The SEC maintains a website containing all reports, proxies, information statements, and all other information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Information appearing on tjx.com is not a part of, and is not incorporated by reference in, this Form 10-  .</w:t>
      </w:r>
    </w:p>
    <w:p>
      <w:pPr>
        <w:sectPr>
          <w:pgSz w:w="12240" w:h="15841" w:orient="portrait"/>
          <w:cols w:equalWidth="0" w:num="1">
            <w:col w:w="10260"/>
          </w:cols>
          <w:pgMar w:left="1000" w:top="792" w:right="981"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92"/>
        </w:trPr>
        <w:tc>
          <w:tcPr>
            <w:tcW w:w="580" w:type="dxa"/>
            <w:vAlign w:val="bottom"/>
          </w:tcPr>
          <w:p>
            <w:pPr>
              <w:spacing w:after="0"/>
              <w:rPr>
                <w:sz w:val="20"/>
                <w:szCs w:val="20"/>
                <w:color w:val="auto"/>
              </w:rPr>
            </w:pPr>
            <w:r>
              <w:rPr>
                <w:rFonts w:ascii="Arial" w:cs="Arial" w:eastAsia="Arial" w:hAnsi="Arial"/>
                <w:sz w:val="22"/>
                <w:szCs w:val="22"/>
                <w:color w:val="auto"/>
              </w:rPr>
              <w:t>INFO</w:t>
            </w:r>
          </w:p>
        </w:tc>
        <w:tc>
          <w:tcPr>
            <w:tcW w:w="1220" w:type="dxa"/>
            <w:vAlign w:val="bottom"/>
          </w:tcPr>
          <w:p>
            <w:pPr>
              <w:ind w:left="640"/>
              <w:spacing w:after="0"/>
              <w:rPr>
                <w:sz w:val="20"/>
                <w:szCs w:val="20"/>
                <w:color w:val="auto"/>
              </w:rPr>
            </w:pPr>
            <w:r>
              <w:rPr>
                <w:rFonts w:ascii="Arial" w:cs="Arial" w:eastAsia="Arial" w:hAnsi="Arial"/>
                <w:sz w:val="22"/>
                <w:szCs w:val="22"/>
                <w:color w:val="auto"/>
              </w:rPr>
              <w:t>ION</w:t>
            </w:r>
          </w:p>
        </w:tc>
        <w:tc>
          <w:tcPr>
            <w:tcW w:w="600" w:type="dxa"/>
            <w:vAlign w:val="bottom"/>
          </w:tcPr>
          <w:p>
            <w:pPr>
              <w:jc w:val="right"/>
              <w:ind w:right="139"/>
              <w:spacing w:after="0"/>
              <w:rPr>
                <w:sz w:val="20"/>
                <w:szCs w:val="20"/>
                <w:color w:val="auto"/>
              </w:rPr>
            </w:pPr>
            <w:r>
              <w:rPr>
                <w:rFonts w:ascii="Arial" w:cs="Arial" w:eastAsia="Arial" w:hAnsi="Arial"/>
                <w:sz w:val="22"/>
                <w:szCs w:val="22"/>
                <w:color w:val="auto"/>
              </w:rPr>
              <w:t>O</w:t>
            </w:r>
          </w:p>
        </w:tc>
        <w:tc>
          <w:tcPr>
            <w:tcW w:w="560" w:type="dxa"/>
            <w:vAlign w:val="bottom"/>
          </w:tcPr>
          <w:p>
            <w:pPr>
              <w:ind w:left="120"/>
              <w:spacing w:after="0"/>
              <w:rPr>
                <w:sz w:val="20"/>
                <w:szCs w:val="20"/>
                <w:color w:val="auto"/>
              </w:rPr>
            </w:pPr>
            <w:r>
              <w:rPr>
                <w:rFonts w:ascii="Arial" w:cs="Arial" w:eastAsia="Arial" w:hAnsi="Arial"/>
                <w:sz w:val="22"/>
                <w:szCs w:val="22"/>
                <w:color w:val="auto"/>
              </w:rPr>
              <w:t>O</w:t>
            </w:r>
          </w:p>
        </w:tc>
        <w:tc>
          <w:tcPr>
            <w:tcW w:w="38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22"/>
                <w:szCs w:val="22"/>
                <w:color w:val="auto"/>
              </w:rPr>
              <w:t>C</w:t>
            </w:r>
          </w:p>
        </w:tc>
        <w:tc>
          <w:tcPr>
            <w:tcW w:w="300" w:type="dxa"/>
            <w:vAlign w:val="bottom"/>
          </w:tcPr>
          <w:p>
            <w:pPr>
              <w:ind w:left="120"/>
              <w:spacing w:after="0"/>
              <w:rPr>
                <w:sz w:val="20"/>
                <w:szCs w:val="20"/>
                <w:color w:val="auto"/>
              </w:rPr>
            </w:pPr>
            <w:r>
              <w:rPr>
                <w:rFonts w:ascii="Arial" w:cs="Arial" w:eastAsia="Arial" w:hAnsi="Arial"/>
                <w:sz w:val="22"/>
                <w:szCs w:val="22"/>
                <w:color w:val="auto"/>
              </w:rPr>
              <w:t>I</w:t>
            </w:r>
          </w:p>
        </w:tc>
        <w:tc>
          <w:tcPr>
            <w:tcW w:w="2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22"/>
                <w:szCs w:val="22"/>
                <w:color w:val="auto"/>
              </w:rPr>
              <w:t>OFFIC</w:t>
            </w:r>
          </w:p>
        </w:tc>
        <w:tc>
          <w:tcPr>
            <w:tcW w:w="600" w:type="dxa"/>
            <w:vAlign w:val="bottom"/>
          </w:tcPr>
          <w:p>
            <w:pPr>
              <w:ind w:left="40"/>
              <w:spacing w:after="0"/>
              <w:rPr>
                <w:sz w:val="20"/>
                <w:szCs w:val="20"/>
                <w:color w:val="auto"/>
              </w:rPr>
            </w:pPr>
            <w:r>
              <w:rPr>
                <w:rFonts w:ascii="Arial" w:cs="Arial" w:eastAsia="Arial" w:hAnsi="Arial"/>
                <w:sz w:val="22"/>
                <w:szCs w:val="22"/>
                <w:color w:val="auto"/>
              </w:rPr>
              <w:t>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420" w:type="dxa"/>
            <w:vAlign w:val="bottom"/>
            <w:gridSpan w:val="8"/>
          </w:tcPr>
          <w:p>
            <w:pPr>
              <w:spacing w:after="0"/>
              <w:rPr>
                <w:sz w:val="20"/>
                <w:szCs w:val="20"/>
                <w:color w:val="auto"/>
              </w:rPr>
            </w:pPr>
            <w:r>
              <w:rPr>
                <w:rFonts w:ascii="Arial" w:cs="Arial" w:eastAsia="Arial" w:hAnsi="Arial"/>
                <w:sz w:val="20"/>
                <w:szCs w:val="20"/>
                <w:color w:val="auto"/>
                <w:w w:val="96"/>
              </w:rPr>
              <w:t>The following are the executive officers of TJX as of</w:t>
            </w:r>
          </w:p>
        </w:tc>
        <w:tc>
          <w:tcPr>
            <w:tcW w:w="1560" w:type="dxa"/>
            <w:vAlign w:val="bottom"/>
            <w:gridSpan w:val="4"/>
          </w:tcPr>
          <w:p>
            <w:pPr>
              <w:ind w:left="40"/>
              <w:spacing w:after="0"/>
              <w:rPr>
                <w:sz w:val="20"/>
                <w:szCs w:val="20"/>
                <w:color w:val="auto"/>
              </w:rPr>
            </w:pPr>
            <w:r>
              <w:rPr>
                <w:rFonts w:ascii="Arial" w:cs="Arial" w:eastAsia="Arial" w:hAnsi="Arial"/>
                <w:sz w:val="20"/>
                <w:szCs w:val="20"/>
                <w:color w:val="auto"/>
              </w:rPr>
              <w:t>arch 31, 2026:</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97"/>
              </w:rPr>
              <w:t>Name</w:t>
            </w: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ge</w:t>
            </w: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60"/>
              <w:spacing w:after="0"/>
              <w:rPr>
                <w:sz w:val="20"/>
                <w:szCs w:val="20"/>
                <w:color w:val="auto"/>
              </w:rPr>
            </w:pPr>
            <w:r>
              <w:rPr>
                <w:rFonts w:ascii="Arial" w:cs="Arial" w:eastAsia="Arial" w:hAnsi="Arial"/>
                <w:sz w:val="20"/>
                <w:szCs w:val="20"/>
                <w:color w:val="auto"/>
              </w:rPr>
              <w:t>Office and</w:t>
            </w:r>
          </w:p>
        </w:tc>
        <w:tc>
          <w:tcPr>
            <w:tcW w:w="940" w:type="dxa"/>
            <w:vAlign w:val="bottom"/>
            <w:tcBorders>
              <w:bottom w:val="single" w:sz="8" w:color="auto"/>
            </w:tcBorders>
            <w:gridSpan w:val="3"/>
          </w:tcPr>
          <w:p>
            <w:pPr>
              <w:ind w:left="140"/>
              <w:spacing w:after="0"/>
              <w:rPr>
                <w:sz w:val="20"/>
                <w:szCs w:val="20"/>
                <w:color w:val="auto"/>
              </w:rPr>
            </w:pPr>
            <w:r>
              <w:rPr>
                <w:rFonts w:ascii="Arial" w:cs="Arial" w:eastAsia="Arial" w:hAnsi="Arial"/>
                <w:sz w:val="20"/>
                <w:szCs w:val="20"/>
                <w:color w:val="auto"/>
              </w:rPr>
              <w:t>usiness</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perience</w:t>
            </w: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00" w:type="dxa"/>
            <w:vAlign w:val="bottom"/>
            <w:gridSpan w:val="2"/>
            <w:shd w:val="clear" w:color="auto" w:fill="E4E4E4"/>
          </w:tcPr>
          <w:p>
            <w:pPr>
              <w:ind w:left="40"/>
              <w:spacing w:after="0" w:line="204" w:lineRule="exact"/>
              <w:rPr>
                <w:sz w:val="20"/>
                <w:szCs w:val="20"/>
                <w:color w:val="auto"/>
              </w:rPr>
            </w:pPr>
            <w:r>
              <w:rPr>
                <w:rFonts w:ascii="Arial" w:cs="Arial" w:eastAsia="Arial" w:hAnsi="Arial"/>
                <w:sz w:val="20"/>
                <w:szCs w:val="20"/>
                <w:color w:val="auto"/>
              </w:rPr>
              <w:t>Peter Benjamin</w:t>
            </w:r>
          </w:p>
        </w:tc>
        <w:tc>
          <w:tcPr>
            <w:tcW w:w="600" w:type="dxa"/>
            <w:vAlign w:val="bottom"/>
            <w:shd w:val="clear" w:color="auto" w:fill="E4E4E4"/>
          </w:tcPr>
          <w:p>
            <w:pPr>
              <w:jc w:val="right"/>
              <w:ind w:right="139"/>
              <w:spacing w:after="0" w:line="204" w:lineRule="exact"/>
              <w:rPr>
                <w:sz w:val="20"/>
                <w:szCs w:val="20"/>
                <w:color w:val="auto"/>
              </w:rPr>
            </w:pPr>
            <w:r>
              <w:rPr>
                <w:rFonts w:ascii="Arial" w:cs="Arial" w:eastAsia="Arial" w:hAnsi="Arial"/>
                <w:sz w:val="20"/>
                <w:szCs w:val="20"/>
                <w:color w:val="auto"/>
              </w:rPr>
              <w:t>63</w:t>
            </w:r>
          </w:p>
        </w:tc>
        <w:tc>
          <w:tcPr>
            <w:tcW w:w="560" w:type="dxa"/>
            <w:vAlign w:val="bottom"/>
            <w:shd w:val="clear" w:color="auto" w:fill="E4E4E4"/>
          </w:tcPr>
          <w:p>
            <w:pPr>
              <w:spacing w:after="0"/>
              <w:rPr>
                <w:sz w:val="17"/>
                <w:szCs w:val="17"/>
                <w:color w:val="auto"/>
              </w:rPr>
            </w:pPr>
          </w:p>
        </w:tc>
        <w:tc>
          <w:tcPr>
            <w:tcW w:w="1640" w:type="dxa"/>
            <w:vAlign w:val="bottom"/>
            <w:gridSpan w:val="5"/>
            <w:shd w:val="clear" w:color="auto" w:fill="E4E4E4"/>
          </w:tcPr>
          <w:p>
            <w:pPr>
              <w:ind w:left="260"/>
              <w:spacing w:after="0" w:line="204" w:lineRule="exact"/>
              <w:rPr>
                <w:sz w:val="20"/>
                <w:szCs w:val="20"/>
                <w:color w:val="auto"/>
              </w:rPr>
            </w:pPr>
            <w:r>
              <w:rPr>
                <w:rFonts w:ascii="Arial" w:cs="Arial" w:eastAsia="Arial" w:hAnsi="Arial"/>
                <w:sz w:val="20"/>
                <w:szCs w:val="20"/>
                <w:color w:val="auto"/>
                <w:w w:val="90"/>
              </w:rPr>
              <w:t>Senior Executive</w:t>
            </w:r>
          </w:p>
        </w:tc>
        <w:tc>
          <w:tcPr>
            <w:tcW w:w="1380" w:type="dxa"/>
            <w:vAlign w:val="bottom"/>
            <w:gridSpan w:val="3"/>
            <w:shd w:val="clear" w:color="auto" w:fill="E4E4E4"/>
          </w:tcPr>
          <w:p>
            <w:pPr>
              <w:ind w:left="180"/>
              <w:spacing w:after="0" w:line="204" w:lineRule="exact"/>
              <w:rPr>
                <w:sz w:val="20"/>
                <w:szCs w:val="20"/>
                <w:color w:val="auto"/>
              </w:rPr>
            </w:pPr>
            <w:r>
              <w:rPr>
                <w:rFonts w:ascii="Arial" w:cs="Arial" w:eastAsia="Arial" w:hAnsi="Arial"/>
                <w:sz w:val="20"/>
                <w:szCs w:val="20"/>
                <w:color w:val="auto"/>
                <w:w w:val="97"/>
              </w:rPr>
              <w:t>ice President,</w:t>
            </w:r>
          </w:p>
        </w:tc>
        <w:tc>
          <w:tcPr>
            <w:tcW w:w="4280" w:type="dxa"/>
            <w:vAlign w:val="bottom"/>
            <w:gridSpan w:val="9"/>
            <w:shd w:val="clear" w:color="auto" w:fill="E4E4E4"/>
          </w:tcPr>
          <w:p>
            <w:pPr>
              <w:jc w:val="right"/>
              <w:ind w:right="360"/>
              <w:spacing w:after="0" w:line="204" w:lineRule="exact"/>
              <w:rPr>
                <w:sz w:val="20"/>
                <w:szCs w:val="20"/>
                <w:color w:val="auto"/>
              </w:rPr>
            </w:pPr>
            <w:r>
              <w:rPr>
                <w:rFonts w:ascii="Arial" w:cs="Arial" w:eastAsia="Arial" w:hAnsi="Arial"/>
                <w:sz w:val="20"/>
                <w:szCs w:val="20"/>
                <w:color w:val="auto"/>
                <w:w w:val="90"/>
              </w:rPr>
              <w:t>roup President since February 2025. President,</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5660" w:type="dxa"/>
            <w:vAlign w:val="bottom"/>
            <w:gridSpan w:val="14"/>
            <w:shd w:val="clear" w:color="auto" w:fill="E4E4E4"/>
          </w:tcPr>
          <w:p>
            <w:pPr>
              <w:ind w:left="60"/>
              <w:spacing w:after="0" w:line="200" w:lineRule="exact"/>
              <w:rPr>
                <w:sz w:val="20"/>
                <w:szCs w:val="20"/>
                <w:color w:val="auto"/>
              </w:rPr>
            </w:pPr>
            <w:r>
              <w:rPr>
                <w:rFonts w:ascii="Arial" w:cs="Arial" w:eastAsia="Arial" w:hAnsi="Arial"/>
                <w:sz w:val="20"/>
                <w:szCs w:val="20"/>
                <w:color w:val="auto"/>
                <w:w w:val="92"/>
              </w:rPr>
              <w:t>armaxx from 2023 to February 2025. Executive  ice President, Chief</w:t>
            </w:r>
          </w:p>
        </w:tc>
        <w:tc>
          <w:tcPr>
            <w:tcW w:w="1260" w:type="dxa"/>
            <w:vAlign w:val="bottom"/>
            <w:gridSpan w:val="2"/>
            <w:vMerge w:val="restart"/>
            <w:shd w:val="clear" w:color="auto" w:fill="E4E4E4"/>
          </w:tcPr>
          <w:p>
            <w:pPr>
              <w:jc w:val="right"/>
              <w:spacing w:after="0"/>
              <w:rPr>
                <w:sz w:val="20"/>
                <w:szCs w:val="20"/>
                <w:color w:val="auto"/>
              </w:rPr>
            </w:pPr>
            <w:r>
              <w:rPr>
                <w:rFonts w:ascii="Arial" w:cs="Arial" w:eastAsia="Arial" w:hAnsi="Arial"/>
                <w:sz w:val="20"/>
                <w:szCs w:val="20"/>
                <w:color w:val="auto"/>
                <w:w w:val="94"/>
              </w:rPr>
              <w:t>ice President,</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1080" w:type="dxa"/>
            <w:vAlign w:val="bottom"/>
            <w:gridSpan w:val="3"/>
            <w:shd w:val="clear" w:color="auto" w:fill="E4E4E4"/>
          </w:tcPr>
          <w:p>
            <w:pPr>
              <w:ind w:left="60"/>
              <w:spacing w:after="0" w:line="200" w:lineRule="exact"/>
              <w:rPr>
                <w:sz w:val="20"/>
                <w:szCs w:val="20"/>
                <w:color w:val="auto"/>
              </w:rPr>
            </w:pPr>
            <w:r>
              <w:rPr>
                <w:rFonts w:ascii="Arial" w:cs="Arial" w:eastAsia="Arial" w:hAnsi="Arial"/>
                <w:sz w:val="20"/>
                <w:szCs w:val="20"/>
                <w:color w:val="auto"/>
                <w:w w:val="88"/>
              </w:rPr>
              <w:t>erchandising</w:t>
            </w:r>
          </w:p>
        </w:tc>
        <w:tc>
          <w:tcPr>
            <w:tcW w:w="180" w:type="dxa"/>
            <w:vAlign w:val="bottom"/>
            <w:shd w:val="clear" w:color="auto" w:fill="E4E4E4"/>
          </w:tcPr>
          <w:p>
            <w:pPr>
              <w:spacing w:after="0"/>
              <w:rPr>
                <w:sz w:val="17"/>
                <w:szCs w:val="17"/>
                <w:color w:val="auto"/>
              </w:rPr>
            </w:pPr>
          </w:p>
        </w:tc>
        <w:tc>
          <w:tcPr>
            <w:tcW w:w="500" w:type="dxa"/>
            <w:vAlign w:val="bottom"/>
            <w:shd w:val="clear" w:color="auto" w:fill="E4E4E4"/>
          </w:tcPr>
          <w:p>
            <w:pPr>
              <w:ind w:left="20"/>
              <w:spacing w:after="0" w:line="200" w:lineRule="exact"/>
              <w:rPr>
                <w:sz w:val="20"/>
                <w:szCs w:val="20"/>
                <w:color w:val="auto"/>
              </w:rPr>
            </w:pPr>
            <w:r>
              <w:rPr>
                <w:rFonts w:ascii="Arial" w:cs="Arial" w:eastAsia="Arial" w:hAnsi="Arial"/>
                <w:sz w:val="20"/>
                <w:szCs w:val="20"/>
                <w:color w:val="auto"/>
                <w:w w:val="93"/>
              </w:rPr>
              <w:t>fficer,</w:t>
            </w:r>
          </w:p>
        </w:tc>
        <w:tc>
          <w:tcPr>
            <w:tcW w:w="3900" w:type="dxa"/>
            <w:vAlign w:val="bottom"/>
            <w:gridSpan w:val="9"/>
            <w:shd w:val="clear" w:color="auto" w:fill="E4E4E4"/>
          </w:tcPr>
          <w:p>
            <w:pPr>
              <w:ind w:left="220"/>
              <w:spacing w:after="0" w:line="200" w:lineRule="exact"/>
              <w:rPr>
                <w:sz w:val="20"/>
                <w:szCs w:val="20"/>
                <w:color w:val="auto"/>
              </w:rPr>
            </w:pPr>
            <w:r>
              <w:rPr>
                <w:rFonts w:ascii="Arial" w:cs="Arial" w:eastAsia="Arial" w:hAnsi="Arial"/>
                <w:sz w:val="20"/>
                <w:szCs w:val="20"/>
                <w:color w:val="auto"/>
                <w:w w:val="94"/>
              </w:rPr>
              <w:t>armaxx, from 2015 through 2022. Executive</w:t>
            </w:r>
          </w:p>
        </w:tc>
        <w:tc>
          <w:tcPr>
            <w:tcW w:w="1260" w:type="dxa"/>
            <w:vAlign w:val="bottom"/>
            <w:gridSpan w:val="2"/>
            <w:vMerge w:val="continue"/>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900" w:type="dxa"/>
            <w:vAlign w:val="bottom"/>
            <w:gridSpan w:val="2"/>
            <w:shd w:val="clear" w:color="auto" w:fill="E4E4E4"/>
          </w:tcPr>
          <w:p>
            <w:pPr>
              <w:ind w:left="260"/>
              <w:spacing w:after="0" w:line="200" w:lineRule="exact"/>
              <w:rPr>
                <w:sz w:val="20"/>
                <w:szCs w:val="20"/>
                <w:color w:val="auto"/>
              </w:rPr>
            </w:pPr>
            <w:r>
              <w:rPr>
                <w:rFonts w:ascii="Arial" w:cs="Arial" w:eastAsia="Arial" w:hAnsi="Arial"/>
                <w:sz w:val="20"/>
                <w:szCs w:val="20"/>
                <w:color w:val="auto"/>
              </w:rPr>
              <w:t>Chief</w:t>
            </w:r>
          </w:p>
        </w:tc>
        <w:tc>
          <w:tcPr>
            <w:tcW w:w="740" w:type="dxa"/>
            <w:vAlign w:val="bottom"/>
            <w:gridSpan w:val="3"/>
            <w:shd w:val="clear" w:color="auto" w:fill="E4E4E4"/>
          </w:tcPr>
          <w:p>
            <w:pPr>
              <w:spacing w:after="0" w:line="200" w:lineRule="exact"/>
              <w:rPr>
                <w:sz w:val="20"/>
                <w:szCs w:val="20"/>
                <w:color w:val="auto"/>
              </w:rPr>
            </w:pPr>
            <w:r>
              <w:rPr>
                <w:rFonts w:ascii="Arial" w:cs="Arial" w:eastAsia="Arial" w:hAnsi="Arial"/>
                <w:sz w:val="20"/>
                <w:szCs w:val="20"/>
                <w:color w:val="auto"/>
                <w:w w:val="99"/>
              </w:rPr>
              <w:t>perating</w:t>
            </w:r>
          </w:p>
        </w:tc>
        <w:tc>
          <w:tcPr>
            <w:tcW w:w="780" w:type="dxa"/>
            <w:vAlign w:val="bottom"/>
            <w:gridSpan w:val="2"/>
            <w:shd w:val="clear" w:color="auto" w:fill="E4E4E4"/>
          </w:tcPr>
          <w:p>
            <w:pPr>
              <w:ind w:left="120"/>
              <w:spacing w:after="0" w:line="200" w:lineRule="exact"/>
              <w:rPr>
                <w:sz w:val="20"/>
                <w:szCs w:val="20"/>
                <w:color w:val="auto"/>
              </w:rPr>
            </w:pPr>
            <w:r>
              <w:rPr>
                <w:rFonts w:ascii="Arial" w:cs="Arial" w:eastAsia="Arial" w:hAnsi="Arial"/>
                <w:sz w:val="20"/>
                <w:szCs w:val="20"/>
                <w:color w:val="auto"/>
              </w:rPr>
              <w:t>fficer,</w:t>
            </w:r>
          </w:p>
        </w:tc>
        <w:tc>
          <w:tcPr>
            <w:tcW w:w="2740" w:type="dxa"/>
            <w:vAlign w:val="bottom"/>
            <w:gridSpan w:val="6"/>
            <w:shd w:val="clear" w:color="auto" w:fill="E4E4E4"/>
          </w:tcPr>
          <w:p>
            <w:pPr>
              <w:ind w:left="40"/>
              <w:spacing w:after="0" w:line="200" w:lineRule="exact"/>
              <w:rPr>
                <w:sz w:val="20"/>
                <w:szCs w:val="20"/>
                <w:color w:val="auto"/>
              </w:rPr>
            </w:pPr>
            <w:r>
              <w:rPr>
                <w:rFonts w:ascii="Arial" w:cs="Arial" w:eastAsia="Arial" w:hAnsi="Arial"/>
                <w:sz w:val="20"/>
                <w:szCs w:val="20"/>
                <w:color w:val="auto"/>
                <w:w w:val="91"/>
              </w:rPr>
              <w:t>armaxx, 2012 to 2015. Executive</w:t>
            </w:r>
          </w:p>
        </w:tc>
        <w:tc>
          <w:tcPr>
            <w:tcW w:w="2140" w:type="dxa"/>
            <w:vAlign w:val="bottom"/>
            <w:gridSpan w:val="4"/>
            <w:shd w:val="clear" w:color="auto" w:fill="E4E4E4"/>
          </w:tcPr>
          <w:p>
            <w:pPr>
              <w:jc w:val="center"/>
              <w:spacing w:after="0" w:line="200" w:lineRule="exact"/>
              <w:rPr>
                <w:sz w:val="20"/>
                <w:szCs w:val="20"/>
                <w:color w:val="auto"/>
              </w:rPr>
            </w:pPr>
            <w:r>
              <w:rPr>
                <w:rFonts w:ascii="Arial" w:cs="Arial" w:eastAsia="Arial" w:hAnsi="Arial"/>
                <w:sz w:val="20"/>
                <w:szCs w:val="20"/>
                <w:color w:val="auto"/>
                <w:w w:val="89"/>
              </w:rPr>
              <w:t>ice President, Planning</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1640" w:type="dxa"/>
            <w:vAlign w:val="bottom"/>
            <w:gridSpan w:val="5"/>
            <w:shd w:val="clear" w:color="auto" w:fill="E4E4E4"/>
          </w:tcPr>
          <w:p>
            <w:pPr>
              <w:ind w:left="260"/>
              <w:spacing w:after="0" w:line="200" w:lineRule="exact"/>
              <w:rPr>
                <w:sz w:val="20"/>
                <w:szCs w:val="20"/>
                <w:color w:val="auto"/>
              </w:rPr>
            </w:pPr>
            <w:r>
              <w:rPr>
                <w:rFonts w:ascii="Arial" w:cs="Arial" w:eastAsia="Arial" w:hAnsi="Arial"/>
                <w:sz w:val="20"/>
                <w:szCs w:val="20"/>
                <w:color w:val="auto"/>
              </w:rPr>
              <w:t>and Allocation,</w:t>
            </w:r>
          </w:p>
        </w:tc>
        <w:tc>
          <w:tcPr>
            <w:tcW w:w="5100" w:type="dxa"/>
            <w:vAlign w:val="bottom"/>
            <w:gridSpan w:val="11"/>
            <w:shd w:val="clear" w:color="auto" w:fill="E4E4E4"/>
          </w:tcPr>
          <w:p>
            <w:pPr>
              <w:ind w:left="80"/>
              <w:spacing w:after="0" w:line="200" w:lineRule="exact"/>
              <w:rPr>
                <w:sz w:val="20"/>
                <w:szCs w:val="20"/>
                <w:color w:val="auto"/>
              </w:rPr>
            </w:pPr>
            <w:r>
              <w:rPr>
                <w:rFonts w:ascii="Arial" w:cs="Arial" w:eastAsia="Arial" w:hAnsi="Arial"/>
                <w:sz w:val="20"/>
                <w:szCs w:val="20"/>
                <w:color w:val="auto"/>
                <w:w w:val="97"/>
              </w:rPr>
              <w:t>armaxx 2011 to 2012. Senior  ice President, Planning and</w:t>
            </w:r>
          </w:p>
        </w:tc>
        <w:tc>
          <w:tcPr>
            <w:tcW w:w="5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1200" w:type="dxa"/>
            <w:vAlign w:val="bottom"/>
            <w:gridSpan w:val="3"/>
            <w:shd w:val="clear" w:color="auto" w:fill="E4E4E4"/>
          </w:tcPr>
          <w:p>
            <w:pPr>
              <w:ind w:left="260"/>
              <w:spacing w:after="0" w:line="200" w:lineRule="exact"/>
              <w:rPr>
                <w:sz w:val="20"/>
                <w:szCs w:val="20"/>
                <w:color w:val="auto"/>
              </w:rPr>
            </w:pPr>
            <w:r>
              <w:rPr>
                <w:rFonts w:ascii="Arial" w:cs="Arial" w:eastAsia="Arial" w:hAnsi="Arial"/>
                <w:sz w:val="20"/>
                <w:szCs w:val="20"/>
                <w:color w:val="auto"/>
                <w:w w:val="99"/>
              </w:rPr>
              <w:t>Allocation,</w:t>
            </w:r>
          </w:p>
        </w:tc>
        <w:tc>
          <w:tcPr>
            <w:tcW w:w="2180" w:type="dxa"/>
            <w:vAlign w:val="bottom"/>
            <w:gridSpan w:val="6"/>
            <w:shd w:val="clear" w:color="auto" w:fill="E4E4E4"/>
          </w:tcPr>
          <w:p>
            <w:pPr>
              <w:jc w:val="center"/>
              <w:spacing w:after="0" w:line="200" w:lineRule="exact"/>
              <w:rPr>
                <w:sz w:val="20"/>
                <w:szCs w:val="20"/>
                <w:color w:val="auto"/>
              </w:rPr>
            </w:pPr>
            <w:r>
              <w:rPr>
                <w:rFonts w:ascii="Arial" w:cs="Arial" w:eastAsia="Arial" w:hAnsi="Arial"/>
                <w:sz w:val="20"/>
                <w:szCs w:val="20"/>
                <w:color w:val="auto"/>
                <w:w w:val="90"/>
              </w:rPr>
              <w:t>armaxx, 2004 to 2011.</w:t>
            </w:r>
          </w:p>
        </w:tc>
        <w:tc>
          <w:tcPr>
            <w:tcW w:w="3920" w:type="dxa"/>
            <w:vAlign w:val="bottom"/>
            <w:gridSpan w:val="8"/>
            <w:shd w:val="clear" w:color="auto" w:fill="E4E4E4"/>
          </w:tcPr>
          <w:p>
            <w:pPr>
              <w:jc w:val="right"/>
              <w:ind w:right="100"/>
              <w:spacing w:after="0" w:line="200" w:lineRule="exact"/>
              <w:rPr>
                <w:sz w:val="20"/>
                <w:szCs w:val="20"/>
                <w:color w:val="auto"/>
              </w:rPr>
            </w:pPr>
            <w:r>
              <w:rPr>
                <w:rFonts w:ascii="Arial" w:cs="Arial" w:eastAsia="Arial" w:hAnsi="Arial"/>
                <w:sz w:val="20"/>
                <w:szCs w:val="20"/>
                <w:color w:val="auto"/>
                <w:w w:val="91"/>
              </w:rPr>
              <w:t>arious merchandising positions with TJX from</w:t>
            </w:r>
          </w:p>
        </w:tc>
        <w:tc>
          <w:tcPr>
            <w:tcW w:w="0" w:type="dxa"/>
            <w:vAlign w:val="bottom"/>
          </w:tcPr>
          <w:p>
            <w:pPr>
              <w:spacing w:after="0"/>
              <w:rPr>
                <w:sz w:val="1"/>
                <w:szCs w:val="1"/>
                <w:color w:val="auto"/>
              </w:rPr>
            </w:pPr>
          </w:p>
        </w:tc>
      </w:tr>
      <w:tr>
        <w:trPr>
          <w:trHeight w:val="266"/>
        </w:trPr>
        <w:tc>
          <w:tcPr>
            <w:tcW w:w="580" w:type="dxa"/>
            <w:vAlign w:val="bottom"/>
            <w:tcBorders>
              <w:bottom w:val="single" w:sz="8" w:color="E4E4E4"/>
            </w:tcBorders>
            <w:shd w:val="clear" w:color="auto" w:fill="E4E4E4"/>
          </w:tcPr>
          <w:p>
            <w:pPr>
              <w:spacing w:after="0"/>
              <w:rPr>
                <w:sz w:val="23"/>
                <w:szCs w:val="23"/>
                <w:color w:val="auto"/>
              </w:rPr>
            </w:pPr>
          </w:p>
        </w:tc>
        <w:tc>
          <w:tcPr>
            <w:tcW w:w="1220" w:type="dxa"/>
            <w:vAlign w:val="bottom"/>
            <w:tcBorders>
              <w:bottom w:val="single" w:sz="8" w:color="E4E4E4"/>
            </w:tcBorders>
            <w:shd w:val="clear" w:color="auto" w:fill="E4E4E4"/>
          </w:tcPr>
          <w:p>
            <w:pPr>
              <w:spacing w:after="0"/>
              <w:rPr>
                <w:sz w:val="23"/>
                <w:szCs w:val="23"/>
                <w:color w:val="auto"/>
              </w:rPr>
            </w:pPr>
          </w:p>
        </w:tc>
        <w:tc>
          <w:tcPr>
            <w:tcW w:w="60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38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20"/>
                <w:szCs w:val="20"/>
                <w:color w:val="auto"/>
                <w:w w:val="89"/>
              </w:rPr>
              <w:t>1</w:t>
            </w:r>
          </w:p>
        </w:tc>
        <w:tc>
          <w:tcPr>
            <w:tcW w:w="1080" w:type="dxa"/>
            <w:vAlign w:val="bottom"/>
            <w:tcBorders>
              <w:bottom w:val="single" w:sz="8" w:color="E4E4E4"/>
            </w:tcBorders>
            <w:gridSpan w:val="3"/>
            <w:shd w:val="clear" w:color="auto" w:fill="E4E4E4"/>
          </w:tcPr>
          <w:p>
            <w:pPr>
              <w:ind w:left="180"/>
              <w:spacing w:after="0"/>
              <w:rPr>
                <w:sz w:val="20"/>
                <w:szCs w:val="20"/>
                <w:color w:val="auto"/>
              </w:rPr>
            </w:pPr>
            <w:r>
              <w:rPr>
                <w:rFonts w:ascii="Arial" w:cs="Arial" w:eastAsia="Arial" w:hAnsi="Arial"/>
                <w:sz w:val="20"/>
                <w:szCs w:val="20"/>
                <w:color w:val="auto"/>
                <w:w w:val="98"/>
              </w:rPr>
              <w:t>0 to 2004.</w:t>
            </w:r>
          </w:p>
        </w:tc>
        <w:tc>
          <w:tcPr>
            <w:tcW w:w="180" w:type="dxa"/>
            <w:vAlign w:val="bottom"/>
            <w:tcBorders>
              <w:bottom w:val="single" w:sz="8" w:color="E4E4E4"/>
            </w:tcBorders>
            <w:shd w:val="clear" w:color="auto" w:fill="E4E4E4"/>
          </w:tcPr>
          <w:p>
            <w:pPr>
              <w:spacing w:after="0"/>
              <w:rPr>
                <w:sz w:val="23"/>
                <w:szCs w:val="23"/>
                <w:color w:val="auto"/>
              </w:rPr>
            </w:pPr>
          </w:p>
        </w:tc>
        <w:tc>
          <w:tcPr>
            <w:tcW w:w="50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600" w:type="dxa"/>
            <w:vAlign w:val="bottom"/>
            <w:tcBorders>
              <w:bottom w:val="single" w:sz="8" w:color="E4E4E4"/>
            </w:tcBorders>
            <w:shd w:val="clear" w:color="auto" w:fill="E4E4E4"/>
          </w:tcPr>
          <w:p>
            <w:pPr>
              <w:spacing w:after="0"/>
              <w:rPr>
                <w:sz w:val="23"/>
                <w:szCs w:val="23"/>
                <w:color w:val="auto"/>
              </w:rPr>
            </w:pPr>
          </w:p>
        </w:tc>
        <w:tc>
          <w:tcPr>
            <w:tcW w:w="36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700" w:type="dxa"/>
            <w:vAlign w:val="bottom"/>
            <w:tcBorders>
              <w:bottom w:val="single" w:sz="8" w:color="E4E4E4"/>
            </w:tcBorders>
            <w:shd w:val="clear" w:color="auto" w:fill="E4E4E4"/>
          </w:tcPr>
          <w:p>
            <w:pPr>
              <w:spacing w:after="0"/>
              <w:rPr>
                <w:sz w:val="23"/>
                <w:szCs w:val="23"/>
                <w:color w:val="auto"/>
              </w:rPr>
            </w:pPr>
          </w:p>
        </w:tc>
        <w:tc>
          <w:tcPr>
            <w:tcW w:w="24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600" w:type="dxa"/>
            <w:vAlign w:val="bottom"/>
            <w:tcBorders>
              <w:bottom w:val="single" w:sz="8" w:color="E4E4E4"/>
            </w:tcBorders>
            <w:shd w:val="clear" w:color="auto" w:fill="E4E4E4"/>
          </w:tcPr>
          <w:p>
            <w:pPr>
              <w:spacing w:after="0"/>
              <w:rPr>
                <w:sz w:val="23"/>
                <w:szCs w:val="23"/>
                <w:color w:val="auto"/>
              </w:rPr>
            </w:pPr>
          </w:p>
        </w:tc>
        <w:tc>
          <w:tcPr>
            <w:tcW w:w="70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800" w:type="dxa"/>
            <w:vAlign w:val="bottom"/>
            <w:gridSpan w:val="2"/>
            <w:shd w:val="clear" w:color="auto" w:fill="FEFEFE"/>
          </w:tcPr>
          <w:p>
            <w:pPr>
              <w:ind w:left="180"/>
              <w:spacing w:after="0" w:line="213" w:lineRule="exact"/>
              <w:rPr>
                <w:sz w:val="20"/>
                <w:szCs w:val="20"/>
                <w:color w:val="auto"/>
              </w:rPr>
            </w:pPr>
            <w:r>
              <w:rPr>
                <w:rFonts w:ascii="Arial" w:cs="Arial" w:eastAsia="Arial" w:hAnsi="Arial"/>
                <w:sz w:val="20"/>
                <w:szCs w:val="20"/>
                <w:color w:val="auto"/>
              </w:rPr>
              <w:t>enneth Canestrari</w:t>
            </w:r>
          </w:p>
        </w:tc>
        <w:tc>
          <w:tcPr>
            <w:tcW w:w="600" w:type="dxa"/>
            <w:vAlign w:val="bottom"/>
            <w:shd w:val="clear" w:color="auto" w:fill="FEFEFE"/>
          </w:tcPr>
          <w:p>
            <w:pPr>
              <w:jc w:val="right"/>
              <w:ind w:right="139"/>
              <w:spacing w:after="0" w:line="213" w:lineRule="exact"/>
              <w:rPr>
                <w:sz w:val="20"/>
                <w:szCs w:val="20"/>
                <w:color w:val="auto"/>
              </w:rPr>
            </w:pPr>
            <w:r>
              <w:rPr>
                <w:rFonts w:ascii="Arial" w:cs="Arial" w:eastAsia="Arial" w:hAnsi="Arial"/>
                <w:sz w:val="20"/>
                <w:szCs w:val="20"/>
                <w:color w:val="auto"/>
              </w:rPr>
              <w:t>64</w:t>
            </w:r>
          </w:p>
        </w:tc>
        <w:tc>
          <w:tcPr>
            <w:tcW w:w="560" w:type="dxa"/>
            <w:vAlign w:val="bottom"/>
            <w:shd w:val="clear" w:color="auto" w:fill="FEFEFE"/>
          </w:tcPr>
          <w:p>
            <w:pPr>
              <w:spacing w:after="0"/>
              <w:rPr>
                <w:sz w:val="18"/>
                <w:szCs w:val="18"/>
                <w:color w:val="auto"/>
              </w:rPr>
            </w:pPr>
          </w:p>
        </w:tc>
        <w:tc>
          <w:tcPr>
            <w:tcW w:w="1640" w:type="dxa"/>
            <w:vAlign w:val="bottom"/>
            <w:gridSpan w:val="5"/>
            <w:shd w:val="clear" w:color="auto" w:fill="FEFEFE"/>
          </w:tcPr>
          <w:p>
            <w:pPr>
              <w:ind w:left="260"/>
              <w:spacing w:after="0" w:line="213" w:lineRule="exact"/>
              <w:rPr>
                <w:sz w:val="20"/>
                <w:szCs w:val="20"/>
                <w:color w:val="auto"/>
              </w:rPr>
            </w:pPr>
            <w:r>
              <w:rPr>
                <w:rFonts w:ascii="Arial" w:cs="Arial" w:eastAsia="Arial" w:hAnsi="Arial"/>
                <w:sz w:val="20"/>
                <w:szCs w:val="20"/>
                <w:color w:val="auto"/>
                <w:w w:val="90"/>
              </w:rPr>
              <w:t>Senior Executive</w:t>
            </w:r>
          </w:p>
        </w:tc>
        <w:tc>
          <w:tcPr>
            <w:tcW w:w="1380" w:type="dxa"/>
            <w:vAlign w:val="bottom"/>
            <w:gridSpan w:val="3"/>
            <w:shd w:val="clear" w:color="auto" w:fill="FEFEFE"/>
          </w:tcPr>
          <w:p>
            <w:pPr>
              <w:ind w:left="180"/>
              <w:spacing w:after="0" w:line="213" w:lineRule="exact"/>
              <w:rPr>
                <w:sz w:val="20"/>
                <w:szCs w:val="20"/>
                <w:color w:val="auto"/>
              </w:rPr>
            </w:pPr>
            <w:r>
              <w:rPr>
                <w:rFonts w:ascii="Arial" w:cs="Arial" w:eastAsia="Arial" w:hAnsi="Arial"/>
                <w:sz w:val="20"/>
                <w:szCs w:val="20"/>
                <w:color w:val="auto"/>
                <w:w w:val="97"/>
              </w:rPr>
              <w:t>ice President,</w:t>
            </w:r>
          </w:p>
        </w:tc>
        <w:tc>
          <w:tcPr>
            <w:tcW w:w="4280" w:type="dxa"/>
            <w:vAlign w:val="bottom"/>
            <w:gridSpan w:val="9"/>
            <w:shd w:val="clear" w:color="auto" w:fill="FEFEFE"/>
          </w:tcPr>
          <w:p>
            <w:pPr>
              <w:jc w:val="right"/>
              <w:ind w:right="240"/>
              <w:spacing w:after="0" w:line="213" w:lineRule="exact"/>
              <w:rPr>
                <w:sz w:val="20"/>
                <w:szCs w:val="20"/>
                <w:color w:val="auto"/>
              </w:rPr>
            </w:pPr>
            <w:r>
              <w:rPr>
                <w:rFonts w:ascii="Arial" w:cs="Arial" w:eastAsia="Arial" w:hAnsi="Arial"/>
                <w:sz w:val="20"/>
                <w:szCs w:val="20"/>
                <w:color w:val="auto"/>
                <w:w w:val="89"/>
              </w:rPr>
              <w:t>roup President since September 2014. President,</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380" w:type="dxa"/>
            <w:vAlign w:val="bottom"/>
            <w:shd w:val="clear" w:color="auto" w:fill="FEFEFE"/>
          </w:tcPr>
          <w:p>
            <w:pPr>
              <w:spacing w:after="0"/>
              <w:rPr>
                <w:sz w:val="17"/>
                <w:szCs w:val="17"/>
                <w:color w:val="auto"/>
              </w:rPr>
            </w:pPr>
          </w:p>
        </w:tc>
        <w:tc>
          <w:tcPr>
            <w:tcW w:w="520" w:type="dxa"/>
            <w:vAlign w:val="bottom"/>
            <w:shd w:val="clear" w:color="auto" w:fill="FEFEFE"/>
          </w:tcPr>
          <w:p>
            <w:pPr>
              <w:ind w:left="20"/>
              <w:spacing w:after="0" w:line="200" w:lineRule="exact"/>
              <w:rPr>
                <w:sz w:val="20"/>
                <w:szCs w:val="20"/>
                <w:color w:val="auto"/>
              </w:rPr>
            </w:pPr>
            <w:r>
              <w:rPr>
                <w:rFonts w:ascii="Arial" w:cs="Arial" w:eastAsia="Arial" w:hAnsi="Arial"/>
                <w:sz w:val="20"/>
                <w:szCs w:val="20"/>
                <w:color w:val="auto"/>
              </w:rPr>
              <w:t>ome</w:t>
            </w:r>
          </w:p>
        </w:tc>
        <w:tc>
          <w:tcPr>
            <w:tcW w:w="3740" w:type="dxa"/>
            <w:vAlign w:val="bottom"/>
            <w:gridSpan w:val="9"/>
            <w:shd w:val="clear" w:color="auto" w:fill="FEFEFE"/>
          </w:tcPr>
          <w:p>
            <w:pPr>
              <w:spacing w:after="0" w:line="200" w:lineRule="exact"/>
              <w:rPr>
                <w:sz w:val="20"/>
                <w:szCs w:val="20"/>
                <w:color w:val="auto"/>
              </w:rPr>
            </w:pPr>
            <w:r>
              <w:rPr>
                <w:rFonts w:ascii="Arial" w:cs="Arial" w:eastAsia="Arial" w:hAnsi="Arial"/>
                <w:sz w:val="20"/>
                <w:szCs w:val="20"/>
                <w:color w:val="auto"/>
                <w:w w:val="90"/>
              </w:rPr>
              <w:t>oods from 2012 to September 2014. Executive</w:t>
            </w:r>
          </w:p>
        </w:tc>
        <w:tc>
          <w:tcPr>
            <w:tcW w:w="2660" w:type="dxa"/>
            <w:vAlign w:val="bottom"/>
            <w:gridSpan w:val="6"/>
            <w:shd w:val="clear" w:color="auto" w:fill="FEFEFE"/>
          </w:tcPr>
          <w:p>
            <w:pPr>
              <w:jc w:val="right"/>
              <w:spacing w:after="0" w:line="200" w:lineRule="exact"/>
              <w:rPr>
                <w:sz w:val="20"/>
                <w:szCs w:val="20"/>
                <w:color w:val="auto"/>
              </w:rPr>
            </w:pPr>
            <w:r>
              <w:rPr>
                <w:rFonts w:ascii="Arial" w:cs="Arial" w:eastAsia="Arial" w:hAnsi="Arial"/>
                <w:sz w:val="20"/>
                <w:szCs w:val="20"/>
                <w:color w:val="auto"/>
              </w:rPr>
              <w:t>ice President, Chief  perating</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380" w:type="dxa"/>
            <w:vAlign w:val="bottom"/>
            <w:vMerge w:val="restart"/>
            <w:shd w:val="clear" w:color="auto" w:fill="FEFEFE"/>
          </w:tcPr>
          <w:p>
            <w:pPr>
              <w:ind w:left="260"/>
              <w:spacing w:after="0"/>
              <w:rPr>
                <w:sz w:val="20"/>
                <w:szCs w:val="20"/>
                <w:color w:val="auto"/>
              </w:rPr>
            </w:pPr>
            <w:r>
              <w:rPr>
                <w:rFonts w:ascii="Arial" w:cs="Arial" w:eastAsia="Arial" w:hAnsi="Arial"/>
                <w:sz w:val="20"/>
                <w:szCs w:val="20"/>
                <w:color w:val="auto"/>
                <w:w w:val="89"/>
              </w:rPr>
              <w:t>1</w:t>
            </w:r>
          </w:p>
        </w:tc>
        <w:tc>
          <w:tcPr>
            <w:tcW w:w="520" w:type="dxa"/>
            <w:vAlign w:val="bottom"/>
            <w:shd w:val="clear" w:color="auto" w:fill="FEFEFE"/>
          </w:tcPr>
          <w:p>
            <w:pPr>
              <w:ind w:left="20"/>
              <w:spacing w:after="0" w:line="200" w:lineRule="exact"/>
              <w:rPr>
                <w:sz w:val="20"/>
                <w:szCs w:val="20"/>
                <w:color w:val="auto"/>
              </w:rPr>
            </w:pPr>
            <w:r>
              <w:rPr>
                <w:rFonts w:ascii="Arial" w:cs="Arial" w:eastAsia="Arial" w:hAnsi="Arial"/>
                <w:sz w:val="20"/>
                <w:szCs w:val="20"/>
                <w:color w:val="auto"/>
                <w:w w:val="98"/>
              </w:rPr>
              <w:t>fficer,</w:t>
            </w:r>
          </w:p>
        </w:tc>
        <w:tc>
          <w:tcPr>
            <w:tcW w:w="560" w:type="dxa"/>
            <w:vAlign w:val="bottom"/>
            <w:gridSpan w:val="2"/>
            <w:shd w:val="clear" w:color="auto" w:fill="FEFEFE"/>
          </w:tcPr>
          <w:p>
            <w:pPr>
              <w:ind w:left="180"/>
              <w:spacing w:after="0" w:line="200" w:lineRule="exact"/>
              <w:rPr>
                <w:sz w:val="20"/>
                <w:szCs w:val="20"/>
                <w:color w:val="auto"/>
              </w:rPr>
            </w:pPr>
            <w:r>
              <w:rPr>
                <w:rFonts w:ascii="Arial" w:cs="Arial" w:eastAsia="Arial" w:hAnsi="Arial"/>
                <w:sz w:val="20"/>
                <w:szCs w:val="20"/>
                <w:color w:val="auto"/>
                <w:w w:val="92"/>
              </w:rPr>
              <w:t>ome</w:t>
            </w:r>
          </w:p>
        </w:tc>
        <w:tc>
          <w:tcPr>
            <w:tcW w:w="2480" w:type="dxa"/>
            <w:vAlign w:val="bottom"/>
            <w:gridSpan w:val="6"/>
            <w:shd w:val="clear" w:color="auto" w:fill="FEFEFE"/>
          </w:tcPr>
          <w:p>
            <w:pPr>
              <w:ind w:left="120"/>
              <w:spacing w:after="0" w:line="200" w:lineRule="exact"/>
              <w:rPr>
                <w:sz w:val="20"/>
                <w:szCs w:val="20"/>
                <w:color w:val="auto"/>
              </w:rPr>
            </w:pPr>
            <w:r>
              <w:rPr>
                <w:rFonts w:ascii="Arial" w:cs="Arial" w:eastAsia="Arial" w:hAnsi="Arial"/>
                <w:sz w:val="20"/>
                <w:szCs w:val="20"/>
                <w:color w:val="auto"/>
                <w:w w:val="98"/>
              </w:rPr>
              <w:t>oods from 2008 until 2012.</w:t>
            </w:r>
          </w:p>
        </w:tc>
        <w:tc>
          <w:tcPr>
            <w:tcW w:w="3360" w:type="dxa"/>
            <w:vAlign w:val="bottom"/>
            <w:gridSpan w:val="7"/>
            <w:shd w:val="clear" w:color="auto" w:fill="FEFEFE"/>
          </w:tcPr>
          <w:p>
            <w:pPr>
              <w:jc w:val="right"/>
              <w:spacing w:after="0" w:line="200" w:lineRule="exact"/>
              <w:rPr>
                <w:sz w:val="20"/>
                <w:szCs w:val="20"/>
                <w:color w:val="auto"/>
              </w:rPr>
            </w:pPr>
            <w:r>
              <w:rPr>
                <w:rFonts w:ascii="Arial" w:cs="Arial" w:eastAsia="Arial" w:hAnsi="Arial"/>
                <w:sz w:val="20"/>
                <w:szCs w:val="20"/>
                <w:color w:val="auto"/>
                <w:w w:val="93"/>
              </w:rPr>
              <w:t>arious financial positions with TJX from</w:t>
            </w:r>
          </w:p>
        </w:tc>
        <w:tc>
          <w:tcPr>
            <w:tcW w:w="0" w:type="dxa"/>
            <w:vAlign w:val="bottom"/>
          </w:tcPr>
          <w:p>
            <w:pPr>
              <w:spacing w:after="0"/>
              <w:rPr>
                <w:sz w:val="1"/>
                <w:szCs w:val="1"/>
                <w:color w:val="auto"/>
              </w:rPr>
            </w:pPr>
          </w:p>
        </w:tc>
      </w:tr>
      <w:tr>
        <w:trPr>
          <w:trHeight w:val="266"/>
        </w:trPr>
        <w:tc>
          <w:tcPr>
            <w:tcW w:w="580" w:type="dxa"/>
            <w:vAlign w:val="bottom"/>
            <w:tcBorders>
              <w:bottom w:val="single" w:sz="8" w:color="FEFEFE"/>
            </w:tcBorders>
            <w:shd w:val="clear" w:color="auto" w:fill="FEFEFE"/>
          </w:tcPr>
          <w:p>
            <w:pPr>
              <w:spacing w:after="0"/>
              <w:rPr>
                <w:sz w:val="23"/>
                <w:szCs w:val="23"/>
                <w:color w:val="auto"/>
              </w:rPr>
            </w:pPr>
          </w:p>
        </w:tc>
        <w:tc>
          <w:tcPr>
            <w:tcW w:w="122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380" w:type="dxa"/>
            <w:vAlign w:val="bottom"/>
            <w:tcBorders>
              <w:bottom w:val="single" w:sz="8" w:color="FEFEFE"/>
            </w:tcBorders>
            <w:vMerge w:val="continue"/>
            <w:shd w:val="clear" w:color="auto" w:fill="FEFEFE"/>
          </w:tcPr>
          <w:p>
            <w:pPr>
              <w:spacing w:after="0"/>
              <w:rPr>
                <w:sz w:val="23"/>
                <w:szCs w:val="23"/>
                <w:color w:val="auto"/>
              </w:rPr>
            </w:pPr>
          </w:p>
        </w:tc>
        <w:tc>
          <w:tcPr>
            <w:tcW w:w="1080" w:type="dxa"/>
            <w:vAlign w:val="bottom"/>
            <w:tcBorders>
              <w:bottom w:val="single" w:sz="8" w:color="FEFEFE"/>
            </w:tcBorders>
            <w:gridSpan w:val="3"/>
            <w:shd w:val="clear" w:color="auto" w:fill="FEFEFE"/>
          </w:tcPr>
          <w:p>
            <w:pPr>
              <w:ind w:left="80"/>
              <w:spacing w:after="0"/>
              <w:rPr>
                <w:sz w:val="20"/>
                <w:szCs w:val="20"/>
                <w:color w:val="auto"/>
              </w:rPr>
            </w:pPr>
            <w:r>
              <w:rPr>
                <w:rFonts w:ascii="Arial" w:cs="Arial" w:eastAsia="Arial" w:hAnsi="Arial"/>
                <w:sz w:val="20"/>
                <w:szCs w:val="20"/>
                <w:color w:val="auto"/>
                <w:w w:val="97"/>
              </w:rPr>
              <w:t>88 to 2008.</w:t>
            </w:r>
          </w:p>
        </w:tc>
        <w:tc>
          <w:tcPr>
            <w:tcW w:w="180" w:type="dxa"/>
            <w:vAlign w:val="bottom"/>
            <w:tcBorders>
              <w:bottom w:val="single" w:sz="8" w:color="FEFEFE"/>
            </w:tcBorders>
            <w:shd w:val="clear" w:color="auto" w:fill="FEFEFE"/>
          </w:tcPr>
          <w:p>
            <w:pPr>
              <w:spacing w:after="0"/>
              <w:rPr>
                <w:sz w:val="23"/>
                <w:szCs w:val="23"/>
                <w:color w:val="auto"/>
              </w:rPr>
            </w:pPr>
          </w:p>
        </w:tc>
        <w:tc>
          <w:tcPr>
            <w:tcW w:w="50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36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700" w:type="dxa"/>
            <w:vAlign w:val="bottom"/>
            <w:tcBorders>
              <w:bottom w:val="single" w:sz="8" w:color="FEFEFE"/>
            </w:tcBorders>
            <w:shd w:val="clear" w:color="auto" w:fill="FEFEFE"/>
          </w:tcPr>
          <w:p>
            <w:pPr>
              <w:spacing w:after="0"/>
              <w:rPr>
                <w:sz w:val="23"/>
                <w:szCs w:val="23"/>
                <w:color w:val="auto"/>
              </w:rPr>
            </w:pPr>
          </w:p>
        </w:tc>
        <w:tc>
          <w:tcPr>
            <w:tcW w:w="24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70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80" w:type="dxa"/>
            <w:vAlign w:val="bottom"/>
            <w:shd w:val="clear" w:color="auto" w:fill="E4E4E4"/>
          </w:tcPr>
          <w:p>
            <w:pPr>
              <w:ind w:left="40"/>
              <w:spacing w:after="0" w:line="213" w:lineRule="exact"/>
              <w:rPr>
                <w:sz w:val="20"/>
                <w:szCs w:val="20"/>
                <w:color w:val="auto"/>
              </w:rPr>
            </w:pPr>
            <w:r>
              <w:rPr>
                <w:rFonts w:ascii="Arial" w:cs="Arial" w:eastAsia="Arial" w:hAnsi="Arial"/>
                <w:sz w:val="20"/>
                <w:szCs w:val="20"/>
                <w:color w:val="auto"/>
              </w:rPr>
              <w:t>Ernie</w:t>
            </w:r>
          </w:p>
        </w:tc>
        <w:tc>
          <w:tcPr>
            <w:tcW w:w="1220" w:type="dxa"/>
            <w:vAlign w:val="bottom"/>
            <w:shd w:val="clear" w:color="auto" w:fill="E4E4E4"/>
          </w:tcPr>
          <w:p>
            <w:pPr>
              <w:ind w:left="100"/>
              <w:spacing w:after="0" w:line="213" w:lineRule="exact"/>
              <w:rPr>
                <w:sz w:val="20"/>
                <w:szCs w:val="20"/>
                <w:color w:val="auto"/>
              </w:rPr>
            </w:pPr>
            <w:r>
              <w:rPr>
                <w:rFonts w:ascii="Arial" w:cs="Arial" w:eastAsia="Arial" w:hAnsi="Arial"/>
                <w:sz w:val="20"/>
                <w:szCs w:val="20"/>
                <w:color w:val="auto"/>
              </w:rPr>
              <w:t>errman</w:t>
            </w:r>
          </w:p>
        </w:tc>
        <w:tc>
          <w:tcPr>
            <w:tcW w:w="600" w:type="dxa"/>
            <w:vAlign w:val="bottom"/>
            <w:shd w:val="clear" w:color="auto" w:fill="E4E4E4"/>
          </w:tcPr>
          <w:p>
            <w:pPr>
              <w:jc w:val="right"/>
              <w:ind w:right="139"/>
              <w:spacing w:after="0" w:line="213" w:lineRule="exact"/>
              <w:rPr>
                <w:sz w:val="20"/>
                <w:szCs w:val="20"/>
                <w:color w:val="auto"/>
              </w:rPr>
            </w:pPr>
            <w:r>
              <w:rPr>
                <w:rFonts w:ascii="Arial" w:cs="Arial" w:eastAsia="Arial" w:hAnsi="Arial"/>
                <w:sz w:val="20"/>
                <w:szCs w:val="20"/>
                <w:color w:val="auto"/>
              </w:rPr>
              <w:t>65</w:t>
            </w:r>
          </w:p>
        </w:tc>
        <w:tc>
          <w:tcPr>
            <w:tcW w:w="560" w:type="dxa"/>
            <w:vAlign w:val="bottom"/>
            <w:shd w:val="clear" w:color="auto" w:fill="E4E4E4"/>
          </w:tcPr>
          <w:p>
            <w:pPr>
              <w:spacing w:after="0"/>
              <w:rPr>
                <w:sz w:val="18"/>
                <w:szCs w:val="18"/>
                <w:color w:val="auto"/>
              </w:rPr>
            </w:pPr>
          </w:p>
        </w:tc>
        <w:tc>
          <w:tcPr>
            <w:tcW w:w="1640" w:type="dxa"/>
            <w:vAlign w:val="bottom"/>
            <w:gridSpan w:val="5"/>
            <w:shd w:val="clear" w:color="auto" w:fill="E4E4E4"/>
          </w:tcPr>
          <w:p>
            <w:pPr>
              <w:ind w:left="260"/>
              <w:spacing w:after="0" w:line="213" w:lineRule="exact"/>
              <w:rPr>
                <w:sz w:val="20"/>
                <w:szCs w:val="20"/>
                <w:color w:val="auto"/>
              </w:rPr>
            </w:pPr>
            <w:r>
              <w:rPr>
                <w:rFonts w:ascii="Arial" w:cs="Arial" w:eastAsia="Arial" w:hAnsi="Arial"/>
                <w:sz w:val="20"/>
                <w:szCs w:val="20"/>
                <w:color w:val="auto"/>
                <w:w w:val="97"/>
              </w:rPr>
              <w:t>Chief Executive</w:t>
            </w:r>
          </w:p>
        </w:tc>
        <w:tc>
          <w:tcPr>
            <w:tcW w:w="3520" w:type="dxa"/>
            <w:vAlign w:val="bottom"/>
            <w:gridSpan w:val="8"/>
            <w:shd w:val="clear" w:color="auto" w:fill="E4E4E4"/>
          </w:tcPr>
          <w:p>
            <w:pPr>
              <w:ind w:left="100"/>
              <w:spacing w:after="0" w:line="213" w:lineRule="exact"/>
              <w:rPr>
                <w:sz w:val="20"/>
                <w:szCs w:val="20"/>
                <w:color w:val="auto"/>
              </w:rPr>
            </w:pPr>
            <w:r>
              <w:rPr>
                <w:rFonts w:ascii="Arial" w:cs="Arial" w:eastAsia="Arial" w:hAnsi="Arial"/>
                <w:sz w:val="20"/>
                <w:szCs w:val="20"/>
                <w:color w:val="auto"/>
                <w:w w:val="95"/>
              </w:rPr>
              <w:t>fficer since January 2016. Director since</w:t>
            </w:r>
          </w:p>
        </w:tc>
        <w:tc>
          <w:tcPr>
            <w:tcW w:w="2140" w:type="dxa"/>
            <w:vAlign w:val="bottom"/>
            <w:gridSpan w:val="4"/>
            <w:shd w:val="clear" w:color="auto" w:fill="E4E4E4"/>
          </w:tcPr>
          <w:p>
            <w:pPr>
              <w:jc w:val="right"/>
              <w:ind w:right="220"/>
              <w:spacing w:after="0" w:line="213" w:lineRule="exact"/>
              <w:rPr>
                <w:sz w:val="20"/>
                <w:szCs w:val="20"/>
                <w:color w:val="auto"/>
              </w:rPr>
            </w:pPr>
            <w:r>
              <w:rPr>
                <w:rFonts w:ascii="Arial" w:cs="Arial" w:eastAsia="Arial" w:hAnsi="Arial"/>
                <w:sz w:val="20"/>
                <w:szCs w:val="20"/>
                <w:color w:val="auto"/>
                <w:w w:val="89"/>
              </w:rPr>
              <w:t>ctober 2015. President</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380" w:type="dxa"/>
            <w:vAlign w:val="bottom"/>
            <w:gridSpan w:val="9"/>
            <w:shd w:val="clear" w:color="auto" w:fill="E4E4E4"/>
          </w:tcPr>
          <w:p>
            <w:pPr>
              <w:ind w:left="260"/>
              <w:spacing w:after="0" w:line="200" w:lineRule="exact"/>
              <w:rPr>
                <w:sz w:val="20"/>
                <w:szCs w:val="20"/>
                <w:color w:val="auto"/>
              </w:rPr>
            </w:pPr>
            <w:r>
              <w:rPr>
                <w:rFonts w:ascii="Arial" w:cs="Arial" w:eastAsia="Arial" w:hAnsi="Arial"/>
                <w:sz w:val="20"/>
                <w:szCs w:val="20"/>
                <w:color w:val="auto"/>
                <w:w w:val="92"/>
              </w:rPr>
              <w:t>since January 2011. Senior Executive</w:t>
            </w:r>
          </w:p>
        </w:tc>
        <w:tc>
          <w:tcPr>
            <w:tcW w:w="1260" w:type="dxa"/>
            <w:vAlign w:val="bottom"/>
            <w:gridSpan w:val="2"/>
            <w:shd w:val="clear" w:color="auto" w:fill="E4E4E4"/>
          </w:tcPr>
          <w:p>
            <w:pPr>
              <w:ind w:left="80"/>
              <w:spacing w:after="0" w:line="200" w:lineRule="exact"/>
              <w:rPr>
                <w:sz w:val="20"/>
                <w:szCs w:val="20"/>
                <w:color w:val="auto"/>
              </w:rPr>
            </w:pPr>
            <w:r>
              <w:rPr>
                <w:rFonts w:ascii="Arial" w:cs="Arial" w:eastAsia="Arial" w:hAnsi="Arial"/>
                <w:sz w:val="20"/>
                <w:szCs w:val="20"/>
                <w:color w:val="auto"/>
                <w:w w:val="95"/>
              </w:rPr>
              <w:t>ice President,</w:t>
            </w:r>
          </w:p>
        </w:tc>
        <w:tc>
          <w:tcPr>
            <w:tcW w:w="2660" w:type="dxa"/>
            <w:vAlign w:val="bottom"/>
            <w:gridSpan w:val="6"/>
            <w:shd w:val="clear" w:color="auto" w:fill="E4E4E4"/>
          </w:tcPr>
          <w:p>
            <w:pPr>
              <w:jc w:val="right"/>
              <w:ind w:right="220"/>
              <w:spacing w:after="0" w:line="200" w:lineRule="exact"/>
              <w:rPr>
                <w:sz w:val="20"/>
                <w:szCs w:val="20"/>
                <w:color w:val="auto"/>
              </w:rPr>
            </w:pPr>
            <w:r>
              <w:rPr>
                <w:rFonts w:ascii="Arial" w:cs="Arial" w:eastAsia="Arial" w:hAnsi="Arial"/>
                <w:sz w:val="20"/>
                <w:szCs w:val="20"/>
                <w:color w:val="auto"/>
                <w:w w:val="93"/>
              </w:rPr>
              <w:t>roup President from 2008 to</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1640" w:type="dxa"/>
            <w:vAlign w:val="bottom"/>
            <w:gridSpan w:val="5"/>
            <w:shd w:val="clear" w:color="auto" w:fill="E4E4E4"/>
          </w:tcPr>
          <w:p>
            <w:pPr>
              <w:ind w:left="260"/>
              <w:spacing w:after="0" w:line="200" w:lineRule="exact"/>
              <w:rPr>
                <w:sz w:val="20"/>
                <w:szCs w:val="20"/>
                <w:color w:val="auto"/>
              </w:rPr>
            </w:pPr>
            <w:r>
              <w:rPr>
                <w:rFonts w:ascii="Arial" w:cs="Arial" w:eastAsia="Arial" w:hAnsi="Arial"/>
                <w:sz w:val="20"/>
                <w:szCs w:val="20"/>
                <w:color w:val="auto"/>
                <w:w w:val="93"/>
              </w:rPr>
              <w:t>2011. President,</w:t>
            </w:r>
          </w:p>
        </w:tc>
        <w:tc>
          <w:tcPr>
            <w:tcW w:w="3800" w:type="dxa"/>
            <w:vAlign w:val="bottom"/>
            <w:gridSpan w:val="9"/>
            <w:shd w:val="clear" w:color="auto" w:fill="E4E4E4"/>
          </w:tcPr>
          <w:p>
            <w:pPr>
              <w:ind w:left="140"/>
              <w:spacing w:after="0" w:line="200" w:lineRule="exact"/>
              <w:rPr>
                <w:sz w:val="20"/>
                <w:szCs w:val="20"/>
                <w:color w:val="auto"/>
              </w:rPr>
            </w:pPr>
            <w:r>
              <w:rPr>
                <w:rFonts w:ascii="Arial" w:cs="Arial" w:eastAsia="Arial" w:hAnsi="Arial"/>
                <w:sz w:val="20"/>
                <w:szCs w:val="20"/>
                <w:color w:val="auto"/>
                <w:w w:val="92"/>
              </w:rPr>
              <w:t>armaxx from 2005 to 2008. Senior Executive</w:t>
            </w:r>
          </w:p>
        </w:tc>
        <w:tc>
          <w:tcPr>
            <w:tcW w:w="1860" w:type="dxa"/>
            <w:vAlign w:val="bottom"/>
            <w:gridSpan w:val="3"/>
            <w:shd w:val="clear" w:color="auto" w:fill="E4E4E4"/>
          </w:tcPr>
          <w:p>
            <w:pPr>
              <w:jc w:val="right"/>
              <w:ind w:right="40"/>
              <w:spacing w:after="0" w:line="200" w:lineRule="exact"/>
              <w:rPr>
                <w:sz w:val="20"/>
                <w:szCs w:val="20"/>
                <w:color w:val="auto"/>
              </w:rPr>
            </w:pPr>
            <w:r>
              <w:rPr>
                <w:rFonts w:ascii="Arial" w:cs="Arial" w:eastAsia="Arial" w:hAnsi="Arial"/>
                <w:sz w:val="20"/>
                <w:szCs w:val="20"/>
                <w:color w:val="auto"/>
                <w:w w:val="98"/>
              </w:rPr>
              <w:t>ice President, Chief</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820" w:type="dxa"/>
            <w:vAlign w:val="bottom"/>
            <w:gridSpan w:val="2"/>
            <w:shd w:val="clear" w:color="auto" w:fill="E4E4E4"/>
          </w:tcPr>
          <w:p>
            <w:pPr>
              <w:ind w:left="20"/>
              <w:spacing w:after="0" w:line="200" w:lineRule="exact"/>
              <w:rPr>
                <w:sz w:val="20"/>
                <w:szCs w:val="20"/>
                <w:color w:val="auto"/>
              </w:rPr>
            </w:pPr>
            <w:r>
              <w:rPr>
                <w:rFonts w:ascii="Arial" w:cs="Arial" w:eastAsia="Arial" w:hAnsi="Arial"/>
                <w:sz w:val="20"/>
                <w:szCs w:val="20"/>
                <w:color w:val="auto"/>
              </w:rPr>
              <w:t>perating</w:t>
            </w:r>
          </w:p>
        </w:tc>
        <w:tc>
          <w:tcPr>
            <w:tcW w:w="3960" w:type="dxa"/>
            <w:vAlign w:val="bottom"/>
            <w:gridSpan w:val="10"/>
            <w:shd w:val="clear" w:color="auto" w:fill="E4E4E4"/>
          </w:tcPr>
          <w:p>
            <w:pPr>
              <w:ind w:left="60"/>
              <w:spacing w:after="0" w:line="200" w:lineRule="exact"/>
              <w:rPr>
                <w:sz w:val="20"/>
                <w:szCs w:val="20"/>
                <w:color w:val="auto"/>
              </w:rPr>
            </w:pPr>
            <w:r>
              <w:rPr>
                <w:rFonts w:ascii="Arial" w:cs="Arial" w:eastAsia="Arial" w:hAnsi="Arial"/>
                <w:sz w:val="20"/>
                <w:szCs w:val="20"/>
                <w:color w:val="auto"/>
                <w:w w:val="99"/>
              </w:rPr>
              <w:t>fficer,  armaxx from 2004 to 2005. Executive</w:t>
            </w:r>
          </w:p>
        </w:tc>
        <w:tc>
          <w:tcPr>
            <w:tcW w:w="1580" w:type="dxa"/>
            <w:vAlign w:val="bottom"/>
            <w:gridSpan w:val="3"/>
            <w:shd w:val="clear" w:color="auto" w:fill="E4E4E4"/>
          </w:tcPr>
          <w:p>
            <w:pPr>
              <w:ind w:left="40"/>
              <w:spacing w:after="0" w:line="200" w:lineRule="exact"/>
              <w:rPr>
                <w:sz w:val="20"/>
                <w:szCs w:val="20"/>
                <w:color w:val="auto"/>
              </w:rPr>
            </w:pPr>
            <w:r>
              <w:rPr>
                <w:rFonts w:ascii="Arial" w:cs="Arial" w:eastAsia="Arial" w:hAnsi="Arial"/>
                <w:sz w:val="20"/>
                <w:szCs w:val="20"/>
                <w:color w:val="auto"/>
              </w:rPr>
              <w:t>ice President,</w:t>
            </w:r>
          </w:p>
        </w:tc>
        <w:tc>
          <w:tcPr>
            <w:tcW w:w="5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1260" w:type="dxa"/>
            <w:vAlign w:val="bottom"/>
            <w:gridSpan w:val="4"/>
            <w:shd w:val="clear" w:color="auto" w:fill="E4E4E4"/>
          </w:tcPr>
          <w:p>
            <w:pPr>
              <w:ind w:left="60"/>
              <w:spacing w:after="0" w:line="200" w:lineRule="exact"/>
              <w:rPr>
                <w:sz w:val="20"/>
                <w:szCs w:val="20"/>
                <w:color w:val="auto"/>
              </w:rPr>
            </w:pPr>
            <w:r>
              <w:rPr>
                <w:rFonts w:ascii="Arial" w:cs="Arial" w:eastAsia="Arial" w:hAnsi="Arial"/>
                <w:sz w:val="20"/>
                <w:szCs w:val="20"/>
                <w:color w:val="auto"/>
                <w:w w:val="99"/>
              </w:rPr>
              <w:t>erchandising,</w:t>
            </w:r>
          </w:p>
        </w:tc>
        <w:tc>
          <w:tcPr>
            <w:tcW w:w="5660" w:type="dxa"/>
            <w:vAlign w:val="bottom"/>
            <w:gridSpan w:val="12"/>
            <w:shd w:val="clear" w:color="auto" w:fill="E4E4E4"/>
          </w:tcPr>
          <w:p>
            <w:pPr>
              <w:ind w:left="100"/>
              <w:spacing w:after="0" w:line="200" w:lineRule="exact"/>
              <w:rPr>
                <w:sz w:val="20"/>
                <w:szCs w:val="20"/>
                <w:color w:val="auto"/>
              </w:rPr>
            </w:pPr>
            <w:r>
              <w:rPr>
                <w:rFonts w:ascii="Arial" w:cs="Arial" w:eastAsia="Arial" w:hAnsi="Arial"/>
                <w:sz w:val="20"/>
                <w:szCs w:val="20"/>
                <w:color w:val="auto"/>
                <w:w w:val="97"/>
              </w:rPr>
              <w:t>armaxx from 2001 to 2004.  arious merchandising positions with</w:t>
            </w:r>
          </w:p>
        </w:tc>
        <w:tc>
          <w:tcPr>
            <w:tcW w:w="0" w:type="dxa"/>
            <w:vAlign w:val="bottom"/>
          </w:tcPr>
          <w:p>
            <w:pPr>
              <w:spacing w:after="0"/>
              <w:rPr>
                <w:sz w:val="1"/>
                <w:szCs w:val="1"/>
                <w:color w:val="auto"/>
              </w:rPr>
            </w:pPr>
          </w:p>
        </w:tc>
      </w:tr>
      <w:tr>
        <w:trPr>
          <w:trHeight w:val="271"/>
        </w:trPr>
        <w:tc>
          <w:tcPr>
            <w:tcW w:w="580" w:type="dxa"/>
            <w:vAlign w:val="bottom"/>
            <w:tcBorders>
              <w:bottom w:val="single" w:sz="8" w:color="E4E4E4"/>
            </w:tcBorders>
            <w:shd w:val="clear" w:color="auto" w:fill="E4E4E4"/>
          </w:tcPr>
          <w:p>
            <w:pPr>
              <w:spacing w:after="0"/>
              <w:rPr>
                <w:sz w:val="23"/>
                <w:szCs w:val="23"/>
                <w:color w:val="auto"/>
              </w:rPr>
            </w:pPr>
          </w:p>
        </w:tc>
        <w:tc>
          <w:tcPr>
            <w:tcW w:w="1220" w:type="dxa"/>
            <w:vAlign w:val="bottom"/>
            <w:tcBorders>
              <w:bottom w:val="single" w:sz="8" w:color="E4E4E4"/>
            </w:tcBorders>
            <w:shd w:val="clear" w:color="auto" w:fill="E4E4E4"/>
          </w:tcPr>
          <w:p>
            <w:pPr>
              <w:spacing w:after="0"/>
              <w:rPr>
                <w:sz w:val="23"/>
                <w:szCs w:val="23"/>
                <w:color w:val="auto"/>
              </w:rPr>
            </w:pPr>
          </w:p>
        </w:tc>
        <w:tc>
          <w:tcPr>
            <w:tcW w:w="60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2140" w:type="dxa"/>
            <w:vAlign w:val="bottom"/>
            <w:tcBorders>
              <w:bottom w:val="single" w:sz="8" w:color="E4E4E4"/>
            </w:tcBorders>
            <w:gridSpan w:val="6"/>
            <w:shd w:val="clear" w:color="auto" w:fill="E4E4E4"/>
          </w:tcPr>
          <w:p>
            <w:pPr>
              <w:ind w:left="260"/>
              <w:spacing w:after="0"/>
              <w:rPr>
                <w:sz w:val="20"/>
                <w:szCs w:val="20"/>
                <w:color w:val="auto"/>
              </w:rPr>
            </w:pPr>
            <w:r>
              <w:rPr>
                <w:rFonts w:ascii="Arial" w:cs="Arial" w:eastAsia="Arial" w:hAnsi="Arial"/>
                <w:sz w:val="20"/>
                <w:szCs w:val="20"/>
                <w:color w:val="auto"/>
                <w:w w:val="98"/>
              </w:rPr>
              <w:t>TJX since joining in 1</w:t>
            </w:r>
          </w:p>
        </w:tc>
        <w:tc>
          <w:tcPr>
            <w:tcW w:w="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20"/>
                <w:szCs w:val="20"/>
                <w:color w:val="auto"/>
                <w:w w:val="98"/>
              </w:rPr>
              <w:t>8 .</w:t>
            </w:r>
          </w:p>
        </w:tc>
        <w:tc>
          <w:tcPr>
            <w:tcW w:w="600" w:type="dxa"/>
            <w:vAlign w:val="bottom"/>
            <w:tcBorders>
              <w:bottom w:val="single" w:sz="8" w:color="E4E4E4"/>
            </w:tcBorders>
            <w:shd w:val="clear" w:color="auto" w:fill="E4E4E4"/>
          </w:tcPr>
          <w:p>
            <w:pPr>
              <w:spacing w:after="0"/>
              <w:rPr>
                <w:sz w:val="23"/>
                <w:szCs w:val="23"/>
                <w:color w:val="auto"/>
              </w:rPr>
            </w:pPr>
          </w:p>
        </w:tc>
        <w:tc>
          <w:tcPr>
            <w:tcW w:w="36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700" w:type="dxa"/>
            <w:vAlign w:val="bottom"/>
            <w:tcBorders>
              <w:bottom w:val="single" w:sz="8" w:color="E4E4E4"/>
            </w:tcBorders>
            <w:shd w:val="clear" w:color="auto" w:fill="E4E4E4"/>
          </w:tcPr>
          <w:p>
            <w:pPr>
              <w:spacing w:after="0"/>
              <w:rPr>
                <w:sz w:val="23"/>
                <w:szCs w:val="23"/>
                <w:color w:val="auto"/>
              </w:rPr>
            </w:pPr>
          </w:p>
        </w:tc>
        <w:tc>
          <w:tcPr>
            <w:tcW w:w="24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600" w:type="dxa"/>
            <w:vAlign w:val="bottom"/>
            <w:tcBorders>
              <w:bottom w:val="single" w:sz="8" w:color="E4E4E4"/>
            </w:tcBorders>
            <w:shd w:val="clear" w:color="auto" w:fill="E4E4E4"/>
          </w:tcPr>
          <w:p>
            <w:pPr>
              <w:spacing w:after="0"/>
              <w:rPr>
                <w:sz w:val="23"/>
                <w:szCs w:val="23"/>
                <w:color w:val="auto"/>
              </w:rPr>
            </w:pPr>
          </w:p>
        </w:tc>
        <w:tc>
          <w:tcPr>
            <w:tcW w:w="700" w:type="dxa"/>
            <w:vAlign w:val="bottom"/>
            <w:tcBorders>
              <w:bottom w:val="single" w:sz="8" w:color="E4E4E4"/>
            </w:tcBorders>
            <w:shd w:val="clear" w:color="auto" w:fill="E4E4E4"/>
          </w:tcPr>
          <w:p>
            <w:pPr>
              <w:spacing w:after="0"/>
              <w:rPr>
                <w:sz w:val="23"/>
                <w:szCs w:val="23"/>
                <w:color w:val="auto"/>
              </w:rPr>
            </w:pPr>
          </w:p>
        </w:tc>
        <w:tc>
          <w:tcPr>
            <w:tcW w:w="56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80" w:type="dxa"/>
            <w:vAlign w:val="bottom"/>
            <w:shd w:val="clear" w:color="auto" w:fill="FEFEFE"/>
          </w:tcPr>
          <w:p>
            <w:pPr>
              <w:ind w:left="40"/>
              <w:spacing w:after="0" w:line="213" w:lineRule="exact"/>
              <w:rPr>
                <w:sz w:val="20"/>
                <w:szCs w:val="20"/>
                <w:color w:val="auto"/>
              </w:rPr>
            </w:pPr>
            <w:r>
              <w:rPr>
                <w:rFonts w:ascii="Arial" w:cs="Arial" w:eastAsia="Arial" w:hAnsi="Arial"/>
                <w:sz w:val="20"/>
                <w:szCs w:val="20"/>
                <w:color w:val="auto"/>
              </w:rPr>
              <w:t>John</w:t>
            </w:r>
          </w:p>
        </w:tc>
        <w:tc>
          <w:tcPr>
            <w:tcW w:w="1220" w:type="dxa"/>
            <w:vAlign w:val="bottom"/>
            <w:shd w:val="clear" w:color="auto" w:fill="FEFEFE"/>
          </w:tcPr>
          <w:p>
            <w:pPr>
              <w:ind w:left="40"/>
              <w:spacing w:after="0" w:line="213" w:lineRule="exact"/>
              <w:rPr>
                <w:sz w:val="20"/>
                <w:szCs w:val="20"/>
                <w:color w:val="auto"/>
              </w:rPr>
            </w:pPr>
            <w:r>
              <w:rPr>
                <w:rFonts w:ascii="Arial" w:cs="Arial" w:eastAsia="Arial" w:hAnsi="Arial"/>
                <w:sz w:val="20"/>
                <w:szCs w:val="20"/>
                <w:color w:val="auto"/>
              </w:rPr>
              <w:t>linger</w:t>
            </w:r>
          </w:p>
        </w:tc>
        <w:tc>
          <w:tcPr>
            <w:tcW w:w="600" w:type="dxa"/>
            <w:vAlign w:val="bottom"/>
            <w:shd w:val="clear" w:color="auto" w:fill="FEFEFE"/>
          </w:tcPr>
          <w:p>
            <w:pPr>
              <w:jc w:val="right"/>
              <w:ind w:right="139"/>
              <w:spacing w:after="0" w:line="213" w:lineRule="exact"/>
              <w:rPr>
                <w:sz w:val="20"/>
                <w:szCs w:val="20"/>
                <w:color w:val="auto"/>
              </w:rPr>
            </w:pPr>
            <w:r>
              <w:rPr>
                <w:rFonts w:ascii="Arial" w:cs="Arial" w:eastAsia="Arial" w:hAnsi="Arial"/>
                <w:sz w:val="20"/>
                <w:szCs w:val="20"/>
                <w:color w:val="auto"/>
              </w:rPr>
              <w:t>61</w:t>
            </w:r>
          </w:p>
        </w:tc>
        <w:tc>
          <w:tcPr>
            <w:tcW w:w="560" w:type="dxa"/>
            <w:vAlign w:val="bottom"/>
            <w:shd w:val="clear" w:color="auto" w:fill="FEFEFE"/>
          </w:tcPr>
          <w:p>
            <w:pPr>
              <w:spacing w:after="0"/>
              <w:rPr>
                <w:sz w:val="18"/>
                <w:szCs w:val="18"/>
                <w:color w:val="auto"/>
              </w:rPr>
            </w:pPr>
          </w:p>
        </w:tc>
        <w:tc>
          <w:tcPr>
            <w:tcW w:w="1640" w:type="dxa"/>
            <w:vAlign w:val="bottom"/>
            <w:gridSpan w:val="5"/>
            <w:shd w:val="clear" w:color="auto" w:fill="FEFEFE"/>
          </w:tcPr>
          <w:p>
            <w:pPr>
              <w:ind w:left="260"/>
              <w:spacing w:after="0" w:line="213" w:lineRule="exact"/>
              <w:rPr>
                <w:sz w:val="20"/>
                <w:szCs w:val="20"/>
                <w:color w:val="auto"/>
              </w:rPr>
            </w:pPr>
            <w:r>
              <w:rPr>
                <w:rFonts w:ascii="Arial" w:cs="Arial" w:eastAsia="Arial" w:hAnsi="Arial"/>
                <w:sz w:val="20"/>
                <w:szCs w:val="20"/>
                <w:color w:val="auto"/>
                <w:w w:val="90"/>
              </w:rPr>
              <w:t>Senior Executive</w:t>
            </w:r>
          </w:p>
        </w:tc>
        <w:tc>
          <w:tcPr>
            <w:tcW w:w="3000" w:type="dxa"/>
            <w:vAlign w:val="bottom"/>
            <w:gridSpan w:val="6"/>
            <w:shd w:val="clear" w:color="auto" w:fill="FEFEFE"/>
          </w:tcPr>
          <w:p>
            <w:pPr>
              <w:ind w:left="180"/>
              <w:spacing w:after="0" w:line="213" w:lineRule="exact"/>
              <w:rPr>
                <w:sz w:val="20"/>
                <w:szCs w:val="20"/>
                <w:color w:val="auto"/>
              </w:rPr>
            </w:pPr>
            <w:r>
              <w:rPr>
                <w:rFonts w:ascii="Arial" w:cs="Arial" w:eastAsia="Arial" w:hAnsi="Arial"/>
                <w:sz w:val="20"/>
                <w:szCs w:val="20"/>
                <w:color w:val="auto"/>
                <w:w w:val="95"/>
              </w:rPr>
              <w:t>ice President and Chief Financial</w:t>
            </w:r>
          </w:p>
        </w:tc>
        <w:tc>
          <w:tcPr>
            <w:tcW w:w="2660" w:type="dxa"/>
            <w:vAlign w:val="bottom"/>
            <w:gridSpan w:val="6"/>
            <w:shd w:val="clear" w:color="auto" w:fill="FEFEFE"/>
          </w:tcPr>
          <w:p>
            <w:pPr>
              <w:jc w:val="right"/>
              <w:ind w:right="360"/>
              <w:spacing w:after="0" w:line="213" w:lineRule="exact"/>
              <w:rPr>
                <w:sz w:val="20"/>
                <w:szCs w:val="20"/>
                <w:color w:val="auto"/>
              </w:rPr>
            </w:pPr>
            <w:r>
              <w:rPr>
                <w:rFonts w:ascii="Arial" w:cs="Arial" w:eastAsia="Arial" w:hAnsi="Arial"/>
                <w:sz w:val="20"/>
                <w:szCs w:val="20"/>
                <w:color w:val="auto"/>
                <w:w w:val="92"/>
              </w:rPr>
              <w:t>fficer since February 2024.</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1200" w:type="dxa"/>
            <w:vAlign w:val="bottom"/>
            <w:gridSpan w:val="3"/>
            <w:shd w:val="clear" w:color="auto" w:fill="FEFEFE"/>
          </w:tcPr>
          <w:p>
            <w:pPr>
              <w:ind w:left="260"/>
              <w:spacing w:after="0" w:line="200" w:lineRule="exact"/>
              <w:rPr>
                <w:sz w:val="20"/>
                <w:szCs w:val="20"/>
                <w:color w:val="auto"/>
              </w:rPr>
            </w:pPr>
            <w:r>
              <w:rPr>
                <w:rFonts w:ascii="Arial" w:cs="Arial" w:eastAsia="Arial" w:hAnsi="Arial"/>
                <w:sz w:val="20"/>
                <w:szCs w:val="20"/>
                <w:color w:val="auto"/>
              </w:rPr>
              <w:t>Executive</w:t>
            </w:r>
          </w:p>
        </w:tc>
        <w:tc>
          <w:tcPr>
            <w:tcW w:w="2740" w:type="dxa"/>
            <w:vAlign w:val="bottom"/>
            <w:gridSpan w:val="7"/>
            <w:shd w:val="clear" w:color="auto" w:fill="FEFEFE"/>
          </w:tcPr>
          <w:p>
            <w:pPr>
              <w:ind w:left="60"/>
              <w:spacing w:after="0" w:line="200" w:lineRule="exact"/>
              <w:rPr>
                <w:sz w:val="20"/>
                <w:szCs w:val="20"/>
                <w:color w:val="auto"/>
              </w:rPr>
            </w:pPr>
            <w:r>
              <w:rPr>
                <w:rFonts w:ascii="Arial" w:cs="Arial" w:eastAsia="Arial" w:hAnsi="Arial"/>
                <w:sz w:val="20"/>
                <w:szCs w:val="20"/>
                <w:color w:val="auto"/>
                <w:w w:val="90"/>
              </w:rPr>
              <w:t>ice President and Chief Financial</w:t>
            </w:r>
          </w:p>
        </w:tc>
        <w:tc>
          <w:tcPr>
            <w:tcW w:w="3360" w:type="dxa"/>
            <w:vAlign w:val="bottom"/>
            <w:gridSpan w:val="7"/>
            <w:shd w:val="clear" w:color="auto" w:fill="FEFEFE"/>
          </w:tcPr>
          <w:p>
            <w:pPr>
              <w:ind w:left="160"/>
              <w:spacing w:after="0" w:line="200" w:lineRule="exact"/>
              <w:rPr>
                <w:sz w:val="20"/>
                <w:szCs w:val="20"/>
                <w:color w:val="auto"/>
              </w:rPr>
            </w:pPr>
            <w:r>
              <w:rPr>
                <w:rFonts w:ascii="Arial" w:cs="Arial" w:eastAsia="Arial" w:hAnsi="Arial"/>
                <w:sz w:val="20"/>
                <w:szCs w:val="20"/>
                <w:color w:val="auto"/>
                <w:w w:val="98"/>
              </w:rPr>
              <w:t>fficer from January 2023 to February</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1640" w:type="dxa"/>
            <w:vAlign w:val="bottom"/>
            <w:gridSpan w:val="5"/>
            <w:shd w:val="clear" w:color="auto" w:fill="FEFEFE"/>
          </w:tcPr>
          <w:p>
            <w:pPr>
              <w:ind w:left="260"/>
              <w:spacing w:after="0" w:line="200" w:lineRule="exact"/>
              <w:rPr>
                <w:sz w:val="20"/>
                <w:szCs w:val="20"/>
                <w:color w:val="auto"/>
              </w:rPr>
            </w:pPr>
            <w:r>
              <w:rPr>
                <w:rFonts w:ascii="Arial" w:cs="Arial" w:eastAsia="Arial" w:hAnsi="Arial"/>
                <w:sz w:val="20"/>
                <w:szCs w:val="20"/>
                <w:color w:val="auto"/>
                <w:w w:val="95"/>
              </w:rPr>
              <w:t>2024. Executive</w:t>
            </w:r>
          </w:p>
        </w:tc>
        <w:tc>
          <w:tcPr>
            <w:tcW w:w="3800" w:type="dxa"/>
            <w:vAlign w:val="bottom"/>
            <w:gridSpan w:val="9"/>
            <w:shd w:val="clear" w:color="auto" w:fill="FEFEFE"/>
          </w:tcPr>
          <w:p>
            <w:pPr>
              <w:ind w:left="120"/>
              <w:spacing w:after="0" w:line="200" w:lineRule="exact"/>
              <w:rPr>
                <w:sz w:val="20"/>
                <w:szCs w:val="20"/>
                <w:color w:val="auto"/>
              </w:rPr>
            </w:pPr>
            <w:r>
              <w:rPr>
                <w:rFonts w:ascii="Arial" w:cs="Arial" w:eastAsia="Arial" w:hAnsi="Arial"/>
                <w:sz w:val="20"/>
                <w:szCs w:val="20"/>
                <w:color w:val="auto"/>
                <w:w w:val="93"/>
              </w:rPr>
              <w:t>ice President, Corporate Controller from 201</w:t>
            </w:r>
          </w:p>
        </w:tc>
        <w:tc>
          <w:tcPr>
            <w:tcW w:w="1860" w:type="dxa"/>
            <w:vAlign w:val="bottom"/>
            <w:gridSpan w:val="3"/>
            <w:shd w:val="clear" w:color="auto" w:fill="FEFEFE"/>
          </w:tcPr>
          <w:p>
            <w:pPr>
              <w:jc w:val="right"/>
              <w:ind w:right="380"/>
              <w:spacing w:after="0" w:line="200" w:lineRule="exact"/>
              <w:rPr>
                <w:sz w:val="20"/>
                <w:szCs w:val="20"/>
                <w:color w:val="auto"/>
              </w:rPr>
            </w:pPr>
            <w:r>
              <w:rPr>
                <w:rFonts w:ascii="Arial" w:cs="Arial" w:eastAsia="Arial" w:hAnsi="Arial"/>
                <w:sz w:val="20"/>
                <w:szCs w:val="20"/>
                <w:color w:val="auto"/>
                <w:w w:val="91"/>
              </w:rPr>
              <w:t>to January 2023.</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900" w:type="dxa"/>
            <w:vAlign w:val="bottom"/>
            <w:gridSpan w:val="2"/>
            <w:shd w:val="clear" w:color="auto" w:fill="FEFEFE"/>
          </w:tcPr>
          <w:p>
            <w:pPr>
              <w:ind w:left="260"/>
              <w:spacing w:after="0" w:line="200" w:lineRule="exact"/>
              <w:rPr>
                <w:sz w:val="20"/>
                <w:szCs w:val="20"/>
                <w:color w:val="auto"/>
              </w:rPr>
            </w:pPr>
            <w:r>
              <w:rPr>
                <w:rFonts w:ascii="Arial" w:cs="Arial" w:eastAsia="Arial" w:hAnsi="Arial"/>
                <w:sz w:val="20"/>
                <w:szCs w:val="20"/>
                <w:color w:val="auto"/>
              </w:rPr>
              <w:t>Senior</w:t>
            </w:r>
          </w:p>
        </w:tc>
        <w:tc>
          <w:tcPr>
            <w:tcW w:w="5140" w:type="dxa"/>
            <w:vAlign w:val="bottom"/>
            <w:gridSpan w:val="13"/>
            <w:shd w:val="clear" w:color="auto" w:fill="FEFEFE"/>
          </w:tcPr>
          <w:p>
            <w:pPr>
              <w:ind w:left="80"/>
              <w:spacing w:after="0" w:line="200" w:lineRule="exact"/>
              <w:rPr>
                <w:sz w:val="20"/>
                <w:szCs w:val="20"/>
                <w:color w:val="auto"/>
              </w:rPr>
            </w:pPr>
            <w:r>
              <w:rPr>
                <w:rFonts w:ascii="Arial" w:cs="Arial" w:eastAsia="Arial" w:hAnsi="Arial"/>
                <w:sz w:val="20"/>
                <w:szCs w:val="20"/>
                <w:color w:val="auto"/>
                <w:w w:val="93"/>
              </w:rPr>
              <w:t>ice President, Corporate Controller from 2014 to 201 . Senior</w:t>
            </w:r>
          </w:p>
        </w:tc>
        <w:tc>
          <w:tcPr>
            <w:tcW w:w="1260" w:type="dxa"/>
            <w:vAlign w:val="bottom"/>
            <w:gridSpan w:val="2"/>
            <w:shd w:val="clear" w:color="auto" w:fill="FEFEFE"/>
          </w:tcPr>
          <w:p>
            <w:pPr>
              <w:jc w:val="right"/>
              <w:spacing w:after="0" w:line="200" w:lineRule="exact"/>
              <w:rPr>
                <w:sz w:val="20"/>
                <w:szCs w:val="20"/>
                <w:color w:val="auto"/>
              </w:rPr>
            </w:pPr>
            <w:r>
              <w:rPr>
                <w:rFonts w:ascii="Arial" w:cs="Arial" w:eastAsia="Arial" w:hAnsi="Arial"/>
                <w:sz w:val="20"/>
                <w:szCs w:val="20"/>
                <w:color w:val="auto"/>
                <w:w w:val="95"/>
              </w:rPr>
              <w:t>ice President,</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2420" w:type="dxa"/>
            <w:vAlign w:val="bottom"/>
            <w:gridSpan w:val="7"/>
            <w:shd w:val="clear" w:color="auto" w:fill="FEFEFE"/>
          </w:tcPr>
          <w:p>
            <w:pPr>
              <w:ind w:left="260"/>
              <w:spacing w:after="0" w:line="200" w:lineRule="exact"/>
              <w:rPr>
                <w:sz w:val="20"/>
                <w:szCs w:val="20"/>
                <w:color w:val="auto"/>
              </w:rPr>
            </w:pPr>
            <w:r>
              <w:rPr>
                <w:rFonts w:ascii="Arial" w:cs="Arial" w:eastAsia="Arial" w:hAnsi="Arial"/>
                <w:sz w:val="20"/>
                <w:szCs w:val="20"/>
                <w:color w:val="auto"/>
                <w:w w:val="95"/>
              </w:rPr>
              <w:t>Divisional Chief Financial</w:t>
            </w:r>
          </w:p>
        </w:tc>
        <w:tc>
          <w:tcPr>
            <w:tcW w:w="4880" w:type="dxa"/>
            <w:vAlign w:val="bottom"/>
            <w:gridSpan w:val="10"/>
            <w:shd w:val="clear" w:color="auto" w:fill="FEFEFE"/>
          </w:tcPr>
          <w:p>
            <w:pPr>
              <w:jc w:val="right"/>
              <w:ind w:right="260"/>
              <w:spacing w:after="0" w:line="200" w:lineRule="exact"/>
              <w:rPr>
                <w:sz w:val="20"/>
                <w:szCs w:val="20"/>
                <w:color w:val="auto"/>
              </w:rPr>
            </w:pPr>
            <w:r>
              <w:rPr>
                <w:rFonts w:ascii="Arial" w:cs="Arial" w:eastAsia="Arial" w:hAnsi="Arial"/>
                <w:sz w:val="20"/>
                <w:szCs w:val="20"/>
                <w:color w:val="auto"/>
                <w:w w:val="96"/>
              </w:rPr>
              <w:t>fficer, TJX Europe from 2011 to 2014.  ice President,</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7300" w:type="dxa"/>
            <w:vAlign w:val="bottom"/>
            <w:gridSpan w:val="17"/>
            <w:shd w:val="clear" w:color="auto" w:fill="FEFEFE"/>
          </w:tcPr>
          <w:p>
            <w:pPr>
              <w:ind w:left="260"/>
              <w:spacing w:after="0" w:line="200" w:lineRule="exact"/>
              <w:rPr>
                <w:sz w:val="20"/>
                <w:szCs w:val="20"/>
                <w:color w:val="auto"/>
              </w:rPr>
            </w:pPr>
            <w:r>
              <w:rPr>
                <w:rFonts w:ascii="Arial" w:cs="Arial" w:eastAsia="Arial" w:hAnsi="Arial"/>
                <w:sz w:val="20"/>
                <w:szCs w:val="20"/>
                <w:color w:val="auto"/>
                <w:w w:val="99"/>
              </w:rPr>
              <w:t>Corporate Finance from 2011 to 2011.  arious financial positions with TJX since</w:t>
            </w:r>
          </w:p>
        </w:tc>
        <w:tc>
          <w:tcPr>
            <w:tcW w:w="0" w:type="dxa"/>
            <w:vAlign w:val="bottom"/>
          </w:tcPr>
          <w:p>
            <w:pPr>
              <w:spacing w:after="0"/>
              <w:rPr>
                <w:sz w:val="1"/>
                <w:szCs w:val="1"/>
                <w:color w:val="auto"/>
              </w:rPr>
            </w:pPr>
          </w:p>
        </w:tc>
      </w:tr>
      <w:tr>
        <w:trPr>
          <w:trHeight w:val="266"/>
        </w:trPr>
        <w:tc>
          <w:tcPr>
            <w:tcW w:w="580" w:type="dxa"/>
            <w:vAlign w:val="bottom"/>
            <w:tcBorders>
              <w:bottom w:val="single" w:sz="8" w:color="FEFEFE"/>
            </w:tcBorders>
            <w:shd w:val="clear" w:color="auto" w:fill="FEFEFE"/>
          </w:tcPr>
          <w:p>
            <w:pPr>
              <w:spacing w:after="0"/>
              <w:rPr>
                <w:sz w:val="23"/>
                <w:szCs w:val="23"/>
                <w:color w:val="auto"/>
              </w:rPr>
            </w:pPr>
          </w:p>
        </w:tc>
        <w:tc>
          <w:tcPr>
            <w:tcW w:w="122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1640" w:type="dxa"/>
            <w:vAlign w:val="bottom"/>
            <w:tcBorders>
              <w:bottom w:val="single" w:sz="8" w:color="FEFEFE"/>
            </w:tcBorders>
            <w:gridSpan w:val="5"/>
            <w:shd w:val="clear" w:color="auto" w:fill="FEFEFE"/>
          </w:tcPr>
          <w:p>
            <w:pPr>
              <w:ind w:left="260"/>
              <w:spacing w:after="0"/>
              <w:rPr>
                <w:sz w:val="20"/>
                <w:szCs w:val="20"/>
                <w:color w:val="auto"/>
              </w:rPr>
            </w:pPr>
            <w:r>
              <w:rPr>
                <w:rFonts w:ascii="Arial" w:cs="Arial" w:eastAsia="Arial" w:hAnsi="Arial"/>
                <w:sz w:val="20"/>
                <w:szCs w:val="20"/>
                <w:color w:val="auto"/>
              </w:rPr>
              <w:t>joining in 2000.</w:t>
            </w:r>
          </w:p>
        </w:tc>
        <w:tc>
          <w:tcPr>
            <w:tcW w:w="50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36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700" w:type="dxa"/>
            <w:vAlign w:val="bottom"/>
            <w:tcBorders>
              <w:bottom w:val="single" w:sz="8" w:color="FEFEFE"/>
            </w:tcBorders>
            <w:shd w:val="clear" w:color="auto" w:fill="FEFEFE"/>
          </w:tcPr>
          <w:p>
            <w:pPr>
              <w:spacing w:after="0"/>
              <w:rPr>
                <w:sz w:val="23"/>
                <w:szCs w:val="23"/>
                <w:color w:val="auto"/>
              </w:rPr>
            </w:pPr>
          </w:p>
        </w:tc>
        <w:tc>
          <w:tcPr>
            <w:tcW w:w="24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280" w:type="dxa"/>
            <w:vAlign w:val="bottom"/>
            <w:tcBorders>
              <w:bottom w:val="single" w:sz="8" w:color="FEFEFE"/>
            </w:tcBorders>
            <w:shd w:val="clear" w:color="auto" w:fill="FEFEFE"/>
          </w:tcPr>
          <w:p>
            <w:pPr>
              <w:spacing w:after="0"/>
              <w:rPr>
                <w:sz w:val="23"/>
                <w:szCs w:val="23"/>
                <w:color w:val="auto"/>
              </w:rPr>
            </w:pPr>
          </w:p>
        </w:tc>
        <w:tc>
          <w:tcPr>
            <w:tcW w:w="600" w:type="dxa"/>
            <w:vAlign w:val="bottom"/>
            <w:tcBorders>
              <w:bottom w:val="single" w:sz="8" w:color="FEFEFE"/>
            </w:tcBorders>
            <w:shd w:val="clear" w:color="auto" w:fill="FEFEFE"/>
          </w:tcPr>
          <w:p>
            <w:pPr>
              <w:spacing w:after="0"/>
              <w:rPr>
                <w:sz w:val="23"/>
                <w:szCs w:val="23"/>
                <w:color w:val="auto"/>
              </w:rPr>
            </w:pPr>
          </w:p>
        </w:tc>
        <w:tc>
          <w:tcPr>
            <w:tcW w:w="700" w:type="dxa"/>
            <w:vAlign w:val="bottom"/>
            <w:tcBorders>
              <w:bottom w:val="single" w:sz="8" w:color="FEFEFE"/>
            </w:tcBorders>
            <w:shd w:val="clear" w:color="auto" w:fill="FEFEFE"/>
          </w:tcPr>
          <w:p>
            <w:pPr>
              <w:spacing w:after="0"/>
              <w:rPr>
                <w:sz w:val="23"/>
                <w:szCs w:val="23"/>
                <w:color w:val="auto"/>
              </w:rPr>
            </w:pPr>
          </w:p>
        </w:tc>
        <w:tc>
          <w:tcPr>
            <w:tcW w:w="56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80" w:type="dxa"/>
            <w:vAlign w:val="bottom"/>
            <w:shd w:val="clear" w:color="auto" w:fill="E4E4E4"/>
          </w:tcPr>
          <w:p>
            <w:pPr>
              <w:ind w:left="40"/>
              <w:spacing w:after="0" w:line="213" w:lineRule="exact"/>
              <w:rPr>
                <w:sz w:val="20"/>
                <w:szCs w:val="20"/>
                <w:color w:val="auto"/>
              </w:rPr>
            </w:pPr>
            <w:r>
              <w:rPr>
                <w:rFonts w:ascii="Arial" w:cs="Arial" w:eastAsia="Arial" w:hAnsi="Arial"/>
                <w:sz w:val="20"/>
                <w:szCs w:val="20"/>
                <w:color w:val="auto"/>
              </w:rPr>
              <w:t>Carol</w:t>
            </w:r>
          </w:p>
        </w:tc>
        <w:tc>
          <w:tcPr>
            <w:tcW w:w="1220" w:type="dxa"/>
            <w:vAlign w:val="bottom"/>
            <w:shd w:val="clear" w:color="auto" w:fill="E4E4E4"/>
          </w:tcPr>
          <w:p>
            <w:pPr>
              <w:ind w:left="140"/>
              <w:spacing w:after="0" w:line="213" w:lineRule="exact"/>
              <w:rPr>
                <w:sz w:val="20"/>
                <w:szCs w:val="20"/>
                <w:color w:val="auto"/>
              </w:rPr>
            </w:pPr>
            <w:r>
              <w:rPr>
                <w:rFonts w:ascii="Arial" w:cs="Arial" w:eastAsia="Arial" w:hAnsi="Arial"/>
                <w:sz w:val="20"/>
                <w:szCs w:val="20"/>
                <w:color w:val="auto"/>
              </w:rPr>
              <w:t>eyrowit</w:t>
            </w:r>
          </w:p>
        </w:tc>
        <w:tc>
          <w:tcPr>
            <w:tcW w:w="600" w:type="dxa"/>
            <w:vAlign w:val="bottom"/>
            <w:shd w:val="clear" w:color="auto" w:fill="E4E4E4"/>
          </w:tcPr>
          <w:p>
            <w:pPr>
              <w:jc w:val="right"/>
              <w:ind w:right="139"/>
              <w:spacing w:after="0" w:line="213" w:lineRule="exact"/>
              <w:rPr>
                <w:sz w:val="20"/>
                <w:szCs w:val="20"/>
                <w:color w:val="auto"/>
              </w:rPr>
            </w:pPr>
            <w:r>
              <w:rPr>
                <w:rFonts w:ascii="Arial" w:cs="Arial" w:eastAsia="Arial" w:hAnsi="Arial"/>
                <w:sz w:val="20"/>
                <w:szCs w:val="20"/>
                <w:color w:val="auto"/>
              </w:rPr>
              <w:t>72</w:t>
            </w:r>
          </w:p>
        </w:tc>
        <w:tc>
          <w:tcPr>
            <w:tcW w:w="560" w:type="dxa"/>
            <w:vAlign w:val="bottom"/>
            <w:shd w:val="clear" w:color="auto" w:fill="E4E4E4"/>
          </w:tcPr>
          <w:p>
            <w:pPr>
              <w:spacing w:after="0"/>
              <w:rPr>
                <w:sz w:val="18"/>
                <w:szCs w:val="18"/>
                <w:color w:val="auto"/>
              </w:rPr>
            </w:pPr>
          </w:p>
        </w:tc>
        <w:tc>
          <w:tcPr>
            <w:tcW w:w="7300" w:type="dxa"/>
            <w:vAlign w:val="bottom"/>
            <w:gridSpan w:val="17"/>
            <w:shd w:val="clear" w:color="auto" w:fill="E4E4E4"/>
          </w:tcPr>
          <w:p>
            <w:pPr>
              <w:ind w:left="260"/>
              <w:spacing w:after="0" w:line="213" w:lineRule="exact"/>
              <w:rPr>
                <w:sz w:val="20"/>
                <w:szCs w:val="20"/>
                <w:color w:val="auto"/>
              </w:rPr>
            </w:pPr>
            <w:r>
              <w:rPr>
                <w:rFonts w:ascii="Arial" w:cs="Arial" w:eastAsia="Arial" w:hAnsi="Arial"/>
                <w:sz w:val="20"/>
                <w:szCs w:val="20"/>
                <w:color w:val="auto"/>
                <w:w w:val="96"/>
              </w:rPr>
              <w:t>Executive Chairman of the Board since January 2016. Chairman of the Board from</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940" w:type="dxa"/>
            <w:vAlign w:val="bottom"/>
            <w:gridSpan w:val="10"/>
            <w:shd w:val="clear" w:color="auto" w:fill="E4E4E4"/>
          </w:tcPr>
          <w:p>
            <w:pPr>
              <w:ind w:left="260"/>
              <w:spacing w:after="0" w:line="200" w:lineRule="exact"/>
              <w:rPr>
                <w:sz w:val="20"/>
                <w:szCs w:val="20"/>
                <w:color w:val="auto"/>
              </w:rPr>
            </w:pPr>
            <w:r>
              <w:rPr>
                <w:rFonts w:ascii="Arial" w:cs="Arial" w:eastAsia="Arial" w:hAnsi="Arial"/>
                <w:sz w:val="20"/>
                <w:szCs w:val="20"/>
                <w:color w:val="auto"/>
                <w:w w:val="93"/>
              </w:rPr>
              <w:t>June 2015 to January 2016. Chief Executive</w:t>
            </w:r>
          </w:p>
        </w:tc>
        <w:tc>
          <w:tcPr>
            <w:tcW w:w="3360" w:type="dxa"/>
            <w:vAlign w:val="bottom"/>
            <w:gridSpan w:val="7"/>
            <w:shd w:val="clear" w:color="auto" w:fill="E4E4E4"/>
          </w:tcPr>
          <w:p>
            <w:pPr>
              <w:jc w:val="right"/>
              <w:ind w:right="340"/>
              <w:spacing w:after="0" w:line="200" w:lineRule="exact"/>
              <w:rPr>
                <w:sz w:val="20"/>
                <w:szCs w:val="20"/>
                <w:color w:val="auto"/>
              </w:rPr>
            </w:pPr>
            <w:r>
              <w:rPr>
                <w:rFonts w:ascii="Arial" w:cs="Arial" w:eastAsia="Arial" w:hAnsi="Arial"/>
                <w:sz w:val="20"/>
                <w:szCs w:val="20"/>
                <w:color w:val="auto"/>
                <w:w w:val="92"/>
              </w:rPr>
              <w:t>fficer from January 2007 to January</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940" w:type="dxa"/>
            <w:vAlign w:val="bottom"/>
            <w:gridSpan w:val="10"/>
            <w:shd w:val="clear" w:color="auto" w:fill="E4E4E4"/>
          </w:tcPr>
          <w:p>
            <w:pPr>
              <w:ind w:left="260"/>
              <w:spacing w:after="0" w:line="200" w:lineRule="exact"/>
              <w:rPr>
                <w:sz w:val="20"/>
                <w:szCs w:val="20"/>
                <w:color w:val="auto"/>
              </w:rPr>
            </w:pPr>
            <w:r>
              <w:rPr>
                <w:rFonts w:ascii="Arial" w:cs="Arial" w:eastAsia="Arial" w:hAnsi="Arial"/>
                <w:sz w:val="20"/>
                <w:szCs w:val="20"/>
                <w:color w:val="auto"/>
                <w:w w:val="90"/>
              </w:rPr>
              <w:t>2016. Director since 2006 and President from</w:t>
            </w:r>
          </w:p>
        </w:tc>
        <w:tc>
          <w:tcPr>
            <w:tcW w:w="2800" w:type="dxa"/>
            <w:vAlign w:val="bottom"/>
            <w:gridSpan w:val="6"/>
            <w:shd w:val="clear" w:color="auto" w:fill="E4E4E4"/>
          </w:tcPr>
          <w:p>
            <w:pPr>
              <w:ind w:left="160"/>
              <w:spacing w:after="0" w:line="200" w:lineRule="exact"/>
              <w:rPr>
                <w:sz w:val="20"/>
                <w:szCs w:val="20"/>
                <w:color w:val="auto"/>
              </w:rPr>
            </w:pPr>
            <w:r>
              <w:rPr>
                <w:rFonts w:ascii="Arial" w:cs="Arial" w:eastAsia="Arial" w:hAnsi="Arial"/>
                <w:sz w:val="20"/>
                <w:szCs w:val="20"/>
                <w:color w:val="auto"/>
              </w:rPr>
              <w:t>ctober 2005 to January 2011.</w:t>
            </w:r>
          </w:p>
        </w:tc>
        <w:tc>
          <w:tcPr>
            <w:tcW w:w="5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6740" w:type="dxa"/>
            <w:vAlign w:val="bottom"/>
            <w:gridSpan w:val="16"/>
            <w:shd w:val="clear" w:color="auto" w:fill="E4E4E4"/>
          </w:tcPr>
          <w:p>
            <w:pPr>
              <w:ind w:left="260"/>
              <w:spacing w:after="0" w:line="200" w:lineRule="exact"/>
              <w:rPr>
                <w:sz w:val="20"/>
                <w:szCs w:val="20"/>
                <w:color w:val="auto"/>
              </w:rPr>
            </w:pPr>
            <w:r>
              <w:rPr>
                <w:rFonts w:ascii="Arial" w:cs="Arial" w:eastAsia="Arial" w:hAnsi="Arial"/>
                <w:sz w:val="20"/>
                <w:szCs w:val="20"/>
                <w:color w:val="auto"/>
                <w:w w:val="96"/>
              </w:rPr>
              <w:t>Consultant to TJX from January 2005 to  ctober 2005. Senior Executive  ice</w:t>
            </w:r>
          </w:p>
        </w:tc>
        <w:tc>
          <w:tcPr>
            <w:tcW w:w="5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1460" w:type="dxa"/>
            <w:vAlign w:val="bottom"/>
            <w:gridSpan w:val="4"/>
            <w:shd w:val="clear" w:color="auto" w:fill="E4E4E4"/>
          </w:tcPr>
          <w:p>
            <w:pPr>
              <w:ind w:left="260"/>
              <w:spacing w:after="0" w:line="200" w:lineRule="exact"/>
              <w:rPr>
                <w:sz w:val="20"/>
                <w:szCs w:val="20"/>
                <w:color w:val="auto"/>
              </w:rPr>
            </w:pPr>
            <w:r>
              <w:rPr>
                <w:rFonts w:ascii="Arial" w:cs="Arial" w:eastAsia="Arial" w:hAnsi="Arial"/>
                <w:sz w:val="20"/>
                <w:szCs w:val="20"/>
                <w:color w:val="auto"/>
                <w:w w:val="90"/>
              </w:rPr>
              <w:t>President from</w:t>
            </w:r>
          </w:p>
        </w:tc>
        <w:tc>
          <w:tcPr>
            <w:tcW w:w="180" w:type="dxa"/>
            <w:vAlign w:val="bottom"/>
            <w:shd w:val="clear" w:color="auto" w:fill="E4E4E4"/>
          </w:tcPr>
          <w:p>
            <w:pPr>
              <w:spacing w:after="0"/>
              <w:rPr>
                <w:sz w:val="17"/>
                <w:szCs w:val="17"/>
                <w:color w:val="auto"/>
              </w:rPr>
            </w:pPr>
          </w:p>
        </w:tc>
        <w:tc>
          <w:tcPr>
            <w:tcW w:w="3240" w:type="dxa"/>
            <w:vAlign w:val="bottom"/>
            <w:gridSpan w:val="7"/>
            <w:shd w:val="clear" w:color="auto" w:fill="E4E4E4"/>
          </w:tcPr>
          <w:p>
            <w:pPr>
              <w:ind w:left="40"/>
              <w:spacing w:after="0" w:line="200" w:lineRule="exact"/>
              <w:rPr>
                <w:sz w:val="20"/>
                <w:szCs w:val="20"/>
                <w:color w:val="auto"/>
              </w:rPr>
            </w:pPr>
            <w:r>
              <w:rPr>
                <w:rFonts w:ascii="Arial" w:cs="Arial" w:eastAsia="Arial" w:hAnsi="Arial"/>
                <w:sz w:val="20"/>
                <w:szCs w:val="20"/>
                <w:color w:val="auto"/>
                <w:w w:val="93"/>
              </w:rPr>
              <w:t>arch 2004 to January 2005. President,</w:t>
            </w:r>
          </w:p>
        </w:tc>
        <w:tc>
          <w:tcPr>
            <w:tcW w:w="2420" w:type="dxa"/>
            <w:vAlign w:val="bottom"/>
            <w:gridSpan w:val="5"/>
            <w:shd w:val="clear" w:color="auto" w:fill="E4E4E4"/>
          </w:tcPr>
          <w:p>
            <w:pPr>
              <w:jc w:val="right"/>
              <w:ind w:right="140"/>
              <w:spacing w:after="0" w:line="200" w:lineRule="exact"/>
              <w:rPr>
                <w:sz w:val="20"/>
                <w:szCs w:val="20"/>
                <w:color w:val="auto"/>
              </w:rPr>
            </w:pPr>
            <w:r>
              <w:rPr>
                <w:rFonts w:ascii="Arial" w:cs="Arial" w:eastAsia="Arial" w:hAnsi="Arial"/>
                <w:sz w:val="20"/>
                <w:szCs w:val="20"/>
                <w:color w:val="auto"/>
                <w:w w:val="92"/>
              </w:rPr>
              <w:t>armaxx from 2001 to 2005</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1460" w:type="dxa"/>
            <w:vAlign w:val="bottom"/>
            <w:gridSpan w:val="4"/>
            <w:shd w:val="clear" w:color="auto" w:fill="E4E4E4"/>
          </w:tcPr>
          <w:p>
            <w:pPr>
              <w:ind w:left="260"/>
              <w:spacing w:after="0" w:line="200" w:lineRule="exact"/>
              <w:rPr>
                <w:sz w:val="20"/>
                <w:szCs w:val="20"/>
                <w:color w:val="auto"/>
              </w:rPr>
            </w:pPr>
            <w:r>
              <w:rPr>
                <w:rFonts w:ascii="Arial" w:cs="Arial" w:eastAsia="Arial" w:hAnsi="Arial"/>
                <w:sz w:val="20"/>
                <w:szCs w:val="20"/>
                <w:color w:val="auto"/>
                <w:w w:val="93"/>
              </w:rPr>
              <w:t>and Executive</w:t>
            </w:r>
          </w:p>
        </w:tc>
        <w:tc>
          <w:tcPr>
            <w:tcW w:w="3420" w:type="dxa"/>
            <w:vAlign w:val="bottom"/>
            <w:gridSpan w:val="8"/>
            <w:shd w:val="clear" w:color="auto" w:fill="E4E4E4"/>
          </w:tcPr>
          <w:p>
            <w:pPr>
              <w:ind w:left="140"/>
              <w:spacing w:after="0" w:line="200" w:lineRule="exact"/>
              <w:rPr>
                <w:sz w:val="20"/>
                <w:szCs w:val="20"/>
                <w:color w:val="auto"/>
              </w:rPr>
            </w:pPr>
            <w:r>
              <w:rPr>
                <w:rFonts w:ascii="Arial" w:cs="Arial" w:eastAsia="Arial" w:hAnsi="Arial"/>
                <w:sz w:val="20"/>
                <w:szCs w:val="20"/>
                <w:color w:val="auto"/>
                <w:w w:val="92"/>
              </w:rPr>
              <w:t>ice President of TJX from 2001 to 2004.</w:t>
            </w:r>
          </w:p>
        </w:tc>
        <w:tc>
          <w:tcPr>
            <w:tcW w:w="2420" w:type="dxa"/>
            <w:vAlign w:val="bottom"/>
            <w:gridSpan w:val="5"/>
            <w:shd w:val="clear" w:color="auto" w:fill="E4E4E4"/>
          </w:tcPr>
          <w:p>
            <w:pPr>
              <w:jc w:val="right"/>
              <w:ind w:right="80"/>
              <w:spacing w:after="0" w:line="200" w:lineRule="exact"/>
              <w:rPr>
                <w:sz w:val="20"/>
                <w:szCs w:val="20"/>
                <w:color w:val="auto"/>
              </w:rPr>
            </w:pPr>
            <w:r>
              <w:rPr>
                <w:rFonts w:ascii="Arial" w:cs="Arial" w:eastAsia="Arial" w:hAnsi="Arial"/>
                <w:sz w:val="20"/>
                <w:szCs w:val="20"/>
                <w:color w:val="auto"/>
                <w:w w:val="93"/>
              </w:rPr>
              <w:t>arious senior management</w:t>
            </w:r>
          </w:p>
        </w:tc>
        <w:tc>
          <w:tcPr>
            <w:tcW w:w="0" w:type="dxa"/>
            <w:vAlign w:val="bottom"/>
          </w:tcPr>
          <w:p>
            <w:pPr>
              <w:spacing w:after="0"/>
              <w:rPr>
                <w:sz w:val="1"/>
                <w:szCs w:val="1"/>
                <w:color w:val="auto"/>
              </w:rPr>
            </w:pPr>
          </w:p>
        </w:tc>
      </w:tr>
      <w:tr>
        <w:trPr>
          <w:trHeight w:val="200"/>
        </w:trPr>
        <w:tc>
          <w:tcPr>
            <w:tcW w:w="580" w:type="dxa"/>
            <w:vAlign w:val="bottom"/>
            <w:shd w:val="clear" w:color="auto" w:fill="E4E4E4"/>
          </w:tcPr>
          <w:p>
            <w:pPr>
              <w:spacing w:after="0"/>
              <w:rPr>
                <w:sz w:val="17"/>
                <w:szCs w:val="17"/>
                <w:color w:val="auto"/>
              </w:rPr>
            </w:pPr>
          </w:p>
        </w:tc>
        <w:tc>
          <w:tcPr>
            <w:tcW w:w="1220" w:type="dxa"/>
            <w:vAlign w:val="bottom"/>
            <w:shd w:val="clear" w:color="auto" w:fill="E4E4E4"/>
          </w:tcPr>
          <w:p>
            <w:pPr>
              <w:spacing w:after="0"/>
              <w:rPr>
                <w:sz w:val="17"/>
                <w:szCs w:val="17"/>
                <w:color w:val="auto"/>
              </w:rPr>
            </w:pPr>
          </w:p>
        </w:tc>
        <w:tc>
          <w:tcPr>
            <w:tcW w:w="60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3020" w:type="dxa"/>
            <w:vAlign w:val="bottom"/>
            <w:gridSpan w:val="8"/>
            <w:shd w:val="clear" w:color="auto" w:fill="E4E4E4"/>
          </w:tcPr>
          <w:p>
            <w:pPr>
              <w:ind w:left="260"/>
              <w:spacing w:after="0" w:line="200" w:lineRule="exact"/>
              <w:rPr>
                <w:sz w:val="20"/>
                <w:szCs w:val="20"/>
                <w:color w:val="auto"/>
              </w:rPr>
            </w:pPr>
            <w:r>
              <w:rPr>
                <w:rFonts w:ascii="Arial" w:cs="Arial" w:eastAsia="Arial" w:hAnsi="Arial"/>
                <w:sz w:val="20"/>
                <w:szCs w:val="20"/>
                <w:color w:val="auto"/>
                <w:w w:val="93"/>
              </w:rPr>
              <w:t>and merchandising positions with</w:t>
            </w:r>
          </w:p>
        </w:tc>
        <w:tc>
          <w:tcPr>
            <w:tcW w:w="3720" w:type="dxa"/>
            <w:vAlign w:val="bottom"/>
            <w:gridSpan w:val="8"/>
            <w:shd w:val="clear" w:color="auto" w:fill="E4E4E4"/>
          </w:tcPr>
          <w:p>
            <w:pPr>
              <w:ind w:left="160"/>
              <w:spacing w:after="0" w:line="200" w:lineRule="exact"/>
              <w:rPr>
                <w:sz w:val="20"/>
                <w:szCs w:val="20"/>
                <w:color w:val="auto"/>
              </w:rPr>
            </w:pPr>
            <w:r>
              <w:rPr>
                <w:rFonts w:ascii="Arial" w:cs="Arial" w:eastAsia="Arial" w:hAnsi="Arial"/>
                <w:sz w:val="20"/>
                <w:szCs w:val="20"/>
                <w:color w:val="auto"/>
                <w:w w:val="92"/>
              </w:rPr>
              <w:t>armaxx and with Chadwick’s of Boston and</w:t>
            </w:r>
          </w:p>
        </w:tc>
        <w:tc>
          <w:tcPr>
            <w:tcW w:w="560" w:type="dxa"/>
            <w:vAlign w:val="bottom"/>
            <w:shd w:val="clear" w:color="auto" w:fill="E4E4E4"/>
          </w:tcPr>
          <w:p>
            <w:pPr>
              <w:jc w:val="right"/>
              <w:spacing w:after="0" w:line="200" w:lineRule="exact"/>
              <w:rPr>
                <w:sz w:val="20"/>
                <w:szCs w:val="20"/>
                <w:color w:val="auto"/>
              </w:rPr>
            </w:pPr>
            <w:r>
              <w:rPr>
                <w:rFonts w:ascii="Arial" w:cs="Arial" w:eastAsia="Arial" w:hAnsi="Arial"/>
                <w:sz w:val="20"/>
                <w:szCs w:val="20"/>
                <w:color w:val="auto"/>
              </w:rPr>
              <w:t>it or</w:t>
            </w:r>
          </w:p>
        </w:tc>
        <w:tc>
          <w:tcPr>
            <w:tcW w:w="0" w:type="dxa"/>
            <w:vAlign w:val="bottom"/>
          </w:tcPr>
          <w:p>
            <w:pPr>
              <w:spacing w:after="0"/>
              <w:rPr>
                <w:sz w:val="1"/>
                <w:szCs w:val="1"/>
                <w:color w:val="auto"/>
              </w:rPr>
            </w:pPr>
          </w:p>
        </w:tc>
      </w:tr>
      <w:tr>
        <w:trPr>
          <w:trHeight w:val="261"/>
        </w:trPr>
        <w:tc>
          <w:tcPr>
            <w:tcW w:w="58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3000" w:type="dxa"/>
            <w:vAlign w:val="bottom"/>
            <w:tcBorders>
              <w:bottom w:val="single" w:sz="8" w:color="E4E4E4"/>
            </w:tcBorders>
            <w:gridSpan w:val="8"/>
            <w:shd w:val="clear" w:color="auto" w:fill="E4E4E4"/>
          </w:tcPr>
          <w:p>
            <w:pPr>
              <w:ind w:left="60"/>
              <w:spacing w:after="0"/>
              <w:rPr>
                <w:sz w:val="20"/>
                <w:szCs w:val="20"/>
                <w:color w:val="auto"/>
              </w:rPr>
            </w:pPr>
            <w:r>
              <w:rPr>
                <w:rFonts w:ascii="Arial" w:cs="Arial" w:eastAsia="Arial" w:hAnsi="Arial"/>
                <w:sz w:val="20"/>
                <w:szCs w:val="20"/>
                <w:color w:val="auto"/>
                <w:w w:val="95"/>
              </w:rPr>
              <w:t>iss, former divisions of TJX, from 1</w:t>
            </w:r>
          </w:p>
        </w:tc>
        <w:tc>
          <w:tcPr>
            <w:tcW w:w="126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rPr>
              <w:t>83 to 2001.</w:t>
            </w:r>
          </w:p>
        </w:tc>
        <w:tc>
          <w:tcPr>
            <w:tcW w:w="2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800" w:type="dxa"/>
            <w:vAlign w:val="bottom"/>
            <w:gridSpan w:val="2"/>
            <w:shd w:val="clear" w:color="auto" w:fill="FEFEFE"/>
          </w:tcPr>
          <w:p>
            <w:pPr>
              <w:ind w:left="40"/>
              <w:spacing w:after="0" w:line="213" w:lineRule="exact"/>
              <w:rPr>
                <w:sz w:val="20"/>
                <w:szCs w:val="20"/>
                <w:color w:val="auto"/>
              </w:rPr>
            </w:pPr>
            <w:r>
              <w:rPr>
                <w:rFonts w:ascii="Arial" w:cs="Arial" w:eastAsia="Arial" w:hAnsi="Arial"/>
                <w:sz w:val="20"/>
                <w:szCs w:val="20"/>
                <w:color w:val="auto"/>
              </w:rPr>
              <w:t>Douglas  i  i</w:t>
            </w:r>
          </w:p>
        </w:tc>
        <w:tc>
          <w:tcPr>
            <w:tcW w:w="600" w:type="dxa"/>
            <w:vAlign w:val="bottom"/>
            <w:shd w:val="clear" w:color="auto" w:fill="FEFEFE"/>
          </w:tcPr>
          <w:p>
            <w:pPr>
              <w:jc w:val="right"/>
              <w:ind w:right="139"/>
              <w:spacing w:after="0" w:line="213" w:lineRule="exact"/>
              <w:rPr>
                <w:sz w:val="20"/>
                <w:szCs w:val="20"/>
                <w:color w:val="auto"/>
              </w:rPr>
            </w:pPr>
            <w:r>
              <w:rPr>
                <w:rFonts w:ascii="Arial" w:cs="Arial" w:eastAsia="Arial" w:hAnsi="Arial"/>
                <w:sz w:val="20"/>
                <w:szCs w:val="20"/>
                <w:color w:val="auto"/>
              </w:rPr>
              <w:t>66</w:t>
            </w:r>
          </w:p>
        </w:tc>
        <w:tc>
          <w:tcPr>
            <w:tcW w:w="560" w:type="dxa"/>
            <w:vAlign w:val="bottom"/>
            <w:shd w:val="clear" w:color="auto" w:fill="FEFEFE"/>
          </w:tcPr>
          <w:p>
            <w:pPr>
              <w:spacing w:after="0"/>
              <w:rPr>
                <w:sz w:val="18"/>
                <w:szCs w:val="18"/>
                <w:color w:val="auto"/>
              </w:rPr>
            </w:pPr>
          </w:p>
        </w:tc>
        <w:tc>
          <w:tcPr>
            <w:tcW w:w="1640" w:type="dxa"/>
            <w:vAlign w:val="bottom"/>
            <w:gridSpan w:val="5"/>
            <w:shd w:val="clear" w:color="auto" w:fill="FEFEFE"/>
          </w:tcPr>
          <w:p>
            <w:pPr>
              <w:ind w:left="260"/>
              <w:spacing w:after="0" w:line="213" w:lineRule="exact"/>
              <w:rPr>
                <w:sz w:val="20"/>
                <w:szCs w:val="20"/>
                <w:color w:val="auto"/>
              </w:rPr>
            </w:pPr>
            <w:r>
              <w:rPr>
                <w:rFonts w:ascii="Arial" w:cs="Arial" w:eastAsia="Arial" w:hAnsi="Arial"/>
                <w:sz w:val="20"/>
                <w:szCs w:val="20"/>
                <w:color w:val="auto"/>
                <w:w w:val="90"/>
              </w:rPr>
              <w:t>Senior Executive</w:t>
            </w:r>
          </w:p>
        </w:tc>
        <w:tc>
          <w:tcPr>
            <w:tcW w:w="1380" w:type="dxa"/>
            <w:vAlign w:val="bottom"/>
            <w:gridSpan w:val="3"/>
            <w:shd w:val="clear" w:color="auto" w:fill="FEFEFE"/>
          </w:tcPr>
          <w:p>
            <w:pPr>
              <w:ind w:left="180"/>
              <w:spacing w:after="0" w:line="213" w:lineRule="exact"/>
              <w:rPr>
                <w:sz w:val="20"/>
                <w:szCs w:val="20"/>
                <w:color w:val="auto"/>
              </w:rPr>
            </w:pPr>
            <w:r>
              <w:rPr>
                <w:rFonts w:ascii="Arial" w:cs="Arial" w:eastAsia="Arial" w:hAnsi="Arial"/>
                <w:sz w:val="20"/>
                <w:szCs w:val="20"/>
                <w:color w:val="auto"/>
                <w:w w:val="97"/>
              </w:rPr>
              <w:t>ice President,</w:t>
            </w:r>
          </w:p>
        </w:tc>
        <w:tc>
          <w:tcPr>
            <w:tcW w:w="4280" w:type="dxa"/>
            <w:vAlign w:val="bottom"/>
            <w:gridSpan w:val="9"/>
            <w:shd w:val="clear" w:color="auto" w:fill="FEFEFE"/>
          </w:tcPr>
          <w:p>
            <w:pPr>
              <w:jc w:val="right"/>
              <w:spacing w:after="0" w:line="213" w:lineRule="exact"/>
              <w:rPr>
                <w:sz w:val="20"/>
                <w:szCs w:val="20"/>
                <w:color w:val="auto"/>
              </w:rPr>
            </w:pPr>
            <w:r>
              <w:rPr>
                <w:rFonts w:ascii="Arial" w:cs="Arial" w:eastAsia="Arial" w:hAnsi="Arial"/>
                <w:sz w:val="20"/>
                <w:szCs w:val="20"/>
                <w:color w:val="auto"/>
                <w:w w:val="90"/>
              </w:rPr>
              <w:t>roup President since February 2018. President, TJX</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1460" w:type="dxa"/>
            <w:vAlign w:val="bottom"/>
            <w:gridSpan w:val="4"/>
            <w:shd w:val="clear" w:color="auto" w:fill="FEFEFE"/>
          </w:tcPr>
          <w:p>
            <w:pPr>
              <w:ind w:left="260"/>
              <w:spacing w:after="0" w:line="200" w:lineRule="exact"/>
              <w:rPr>
                <w:sz w:val="20"/>
                <w:szCs w:val="20"/>
                <w:color w:val="auto"/>
              </w:rPr>
            </w:pPr>
            <w:r>
              <w:rPr>
                <w:rFonts w:ascii="Arial" w:cs="Arial" w:eastAsia="Arial" w:hAnsi="Arial"/>
                <w:sz w:val="20"/>
                <w:szCs w:val="20"/>
                <w:color w:val="auto"/>
              </w:rPr>
              <w:t>Canada from</w:t>
            </w:r>
          </w:p>
        </w:tc>
        <w:tc>
          <w:tcPr>
            <w:tcW w:w="2480" w:type="dxa"/>
            <w:vAlign w:val="bottom"/>
            <w:gridSpan w:val="6"/>
            <w:shd w:val="clear" w:color="auto" w:fill="FEFEFE"/>
          </w:tcPr>
          <w:p>
            <w:pPr>
              <w:ind w:left="40"/>
              <w:spacing w:after="0" w:line="200" w:lineRule="exact"/>
              <w:rPr>
                <w:sz w:val="20"/>
                <w:szCs w:val="20"/>
                <w:color w:val="auto"/>
              </w:rPr>
            </w:pPr>
            <w:r>
              <w:rPr>
                <w:rFonts w:ascii="Arial" w:cs="Arial" w:eastAsia="Arial" w:hAnsi="Arial"/>
                <w:sz w:val="20"/>
                <w:szCs w:val="20"/>
                <w:color w:val="auto"/>
                <w:w w:val="89"/>
              </w:rPr>
              <w:t>ctober 2011 to February 2018.</w:t>
            </w:r>
          </w:p>
        </w:tc>
        <w:tc>
          <w:tcPr>
            <w:tcW w:w="2100" w:type="dxa"/>
            <w:vAlign w:val="bottom"/>
            <w:gridSpan w:val="5"/>
            <w:shd w:val="clear" w:color="auto" w:fill="FEFEFE"/>
          </w:tcPr>
          <w:p>
            <w:pPr>
              <w:ind w:left="200"/>
              <w:spacing w:after="0" w:line="200" w:lineRule="exact"/>
              <w:rPr>
                <w:sz w:val="20"/>
                <w:szCs w:val="20"/>
                <w:color w:val="auto"/>
              </w:rPr>
            </w:pPr>
            <w:r>
              <w:rPr>
                <w:rFonts w:ascii="Arial" w:cs="Arial" w:eastAsia="Arial" w:hAnsi="Arial"/>
                <w:sz w:val="20"/>
                <w:szCs w:val="20"/>
                <w:color w:val="auto"/>
              </w:rPr>
              <w:t>anaging Director T</w:t>
            </w:r>
          </w:p>
        </w:tc>
        <w:tc>
          <w:tcPr>
            <w:tcW w:w="700" w:type="dxa"/>
            <w:vAlign w:val="bottom"/>
            <w:shd w:val="clear" w:color="auto" w:fill="FEFEFE"/>
          </w:tcPr>
          <w:p>
            <w:pPr>
              <w:jc w:val="center"/>
              <w:ind w:right="260"/>
              <w:spacing w:after="0" w:line="200" w:lineRule="exact"/>
              <w:rPr>
                <w:sz w:val="20"/>
                <w:szCs w:val="20"/>
                <w:color w:val="auto"/>
              </w:rPr>
            </w:pPr>
            <w:r>
              <w:rPr>
                <w:rFonts w:ascii="Arial" w:cs="Arial" w:eastAsia="Arial" w:hAnsi="Arial"/>
                <w:sz w:val="20"/>
                <w:szCs w:val="20"/>
                <w:color w:val="auto"/>
                <w:w w:val="92"/>
              </w:rPr>
              <w:t>axx,</w:t>
            </w:r>
          </w:p>
        </w:tc>
        <w:tc>
          <w:tcPr>
            <w:tcW w:w="560" w:type="dxa"/>
            <w:vAlign w:val="bottom"/>
            <w:shd w:val="clear" w:color="auto" w:fill="FEFEFE"/>
          </w:tcPr>
          <w:p>
            <w:pPr>
              <w:jc w:val="right"/>
              <w:ind w:right="40"/>
              <w:spacing w:after="0" w:line="200" w:lineRule="exact"/>
              <w:rPr>
                <w:sz w:val="20"/>
                <w:szCs w:val="20"/>
                <w:color w:val="auto"/>
              </w:rPr>
            </w:pPr>
            <w:r>
              <w:rPr>
                <w:rFonts w:ascii="Arial" w:cs="Arial" w:eastAsia="Arial" w:hAnsi="Arial"/>
                <w:sz w:val="20"/>
                <w:szCs w:val="20"/>
                <w:color w:val="auto"/>
                <w:w w:val="99"/>
              </w:rPr>
              <w:t>from</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1460" w:type="dxa"/>
            <w:vAlign w:val="bottom"/>
            <w:gridSpan w:val="4"/>
            <w:shd w:val="clear" w:color="auto" w:fill="FEFEFE"/>
          </w:tcPr>
          <w:p>
            <w:pPr>
              <w:ind w:left="260"/>
              <w:spacing w:after="0" w:line="200" w:lineRule="exact"/>
              <w:rPr>
                <w:sz w:val="20"/>
                <w:szCs w:val="20"/>
                <w:color w:val="auto"/>
              </w:rPr>
            </w:pPr>
            <w:r>
              <w:rPr>
                <w:rFonts w:ascii="Arial" w:cs="Arial" w:eastAsia="Arial" w:hAnsi="Arial"/>
                <w:sz w:val="20"/>
                <w:szCs w:val="20"/>
                <w:color w:val="auto"/>
              </w:rPr>
              <w:t>April 2010 to</w:t>
            </w:r>
          </w:p>
        </w:tc>
        <w:tc>
          <w:tcPr>
            <w:tcW w:w="1920" w:type="dxa"/>
            <w:vAlign w:val="bottom"/>
            <w:gridSpan w:val="5"/>
            <w:shd w:val="clear" w:color="auto" w:fill="FEFEFE"/>
          </w:tcPr>
          <w:p>
            <w:pPr>
              <w:ind w:left="80"/>
              <w:spacing w:after="0" w:line="200" w:lineRule="exact"/>
              <w:rPr>
                <w:sz w:val="20"/>
                <w:szCs w:val="20"/>
                <w:color w:val="auto"/>
              </w:rPr>
            </w:pPr>
            <w:r>
              <w:rPr>
                <w:rFonts w:ascii="Arial" w:cs="Arial" w:eastAsia="Arial" w:hAnsi="Arial"/>
                <w:sz w:val="20"/>
                <w:szCs w:val="20"/>
                <w:color w:val="auto"/>
                <w:w w:val="89"/>
              </w:rPr>
              <w:t>ctober 2011. Executive</w:t>
            </w:r>
          </w:p>
        </w:tc>
        <w:tc>
          <w:tcPr>
            <w:tcW w:w="1780" w:type="dxa"/>
            <w:vAlign w:val="bottom"/>
            <w:gridSpan w:val="4"/>
            <w:shd w:val="clear" w:color="auto" w:fill="FEFEFE"/>
          </w:tcPr>
          <w:p>
            <w:pPr>
              <w:ind w:left="200"/>
              <w:spacing w:after="0" w:line="200" w:lineRule="exact"/>
              <w:rPr>
                <w:sz w:val="20"/>
                <w:szCs w:val="20"/>
                <w:color w:val="auto"/>
              </w:rPr>
            </w:pPr>
            <w:r>
              <w:rPr>
                <w:rFonts w:ascii="Arial" w:cs="Arial" w:eastAsia="Arial" w:hAnsi="Arial"/>
                <w:sz w:val="20"/>
                <w:szCs w:val="20"/>
                <w:color w:val="auto"/>
                <w:w w:val="89"/>
              </w:rPr>
              <w:t>ice President, Chief</w:t>
            </w:r>
          </w:p>
        </w:tc>
        <w:tc>
          <w:tcPr>
            <w:tcW w:w="880" w:type="dxa"/>
            <w:vAlign w:val="bottom"/>
            <w:gridSpan w:val="2"/>
            <w:shd w:val="clear" w:color="auto" w:fill="FEFEFE"/>
          </w:tcPr>
          <w:p>
            <w:pPr>
              <w:ind w:left="180"/>
              <w:spacing w:after="0" w:line="200" w:lineRule="exact"/>
              <w:rPr>
                <w:sz w:val="20"/>
                <w:szCs w:val="20"/>
                <w:color w:val="auto"/>
              </w:rPr>
            </w:pPr>
            <w:r>
              <w:rPr>
                <w:rFonts w:ascii="Arial" w:cs="Arial" w:eastAsia="Arial" w:hAnsi="Arial"/>
                <w:sz w:val="20"/>
                <w:szCs w:val="20"/>
                <w:color w:val="auto"/>
                <w:w w:val="94"/>
              </w:rPr>
              <w:t>perating</w:t>
            </w:r>
          </w:p>
        </w:tc>
        <w:tc>
          <w:tcPr>
            <w:tcW w:w="700" w:type="dxa"/>
            <w:vAlign w:val="bottom"/>
            <w:shd w:val="clear" w:color="auto" w:fill="FEFEFE"/>
          </w:tcPr>
          <w:p>
            <w:pPr>
              <w:ind w:left="160"/>
              <w:spacing w:after="0" w:line="200" w:lineRule="exact"/>
              <w:rPr>
                <w:sz w:val="20"/>
                <w:szCs w:val="20"/>
                <w:color w:val="auto"/>
              </w:rPr>
            </w:pPr>
            <w:r>
              <w:rPr>
                <w:rFonts w:ascii="Arial" w:cs="Arial" w:eastAsia="Arial" w:hAnsi="Arial"/>
                <w:sz w:val="20"/>
                <w:szCs w:val="20"/>
                <w:color w:val="auto"/>
              </w:rPr>
              <w:t>fficer,</w:t>
            </w:r>
          </w:p>
        </w:tc>
        <w:tc>
          <w:tcPr>
            <w:tcW w:w="560" w:type="dxa"/>
            <w:vAlign w:val="bottom"/>
            <w:shd w:val="clear" w:color="auto" w:fill="FEFEFE"/>
          </w:tcPr>
          <w:p>
            <w:pPr>
              <w:jc w:val="right"/>
              <w:ind w:right="40"/>
              <w:spacing w:after="0" w:line="200" w:lineRule="exact"/>
              <w:rPr>
                <w:sz w:val="20"/>
                <w:szCs w:val="20"/>
                <w:color w:val="auto"/>
              </w:rPr>
            </w:pPr>
            <w:r>
              <w:rPr>
                <w:rFonts w:ascii="Arial" w:cs="Arial" w:eastAsia="Arial" w:hAnsi="Arial"/>
                <w:sz w:val="20"/>
                <w:szCs w:val="20"/>
                <w:color w:val="auto"/>
              </w:rPr>
              <w:t>I</w:t>
            </w:r>
          </w:p>
        </w:tc>
        <w:tc>
          <w:tcPr>
            <w:tcW w:w="0" w:type="dxa"/>
            <w:vAlign w:val="bottom"/>
          </w:tcPr>
          <w:p>
            <w:pPr>
              <w:spacing w:after="0"/>
              <w:rPr>
                <w:sz w:val="1"/>
                <w:szCs w:val="1"/>
                <w:color w:val="auto"/>
              </w:rPr>
            </w:pPr>
          </w:p>
        </w:tc>
      </w:tr>
      <w:tr>
        <w:trPr>
          <w:trHeight w:val="200"/>
        </w:trPr>
        <w:tc>
          <w:tcPr>
            <w:tcW w:w="580" w:type="dxa"/>
            <w:vAlign w:val="bottom"/>
            <w:shd w:val="clear" w:color="auto" w:fill="FEFEFE"/>
          </w:tcPr>
          <w:p>
            <w:pPr>
              <w:spacing w:after="0"/>
              <w:rPr>
                <w:sz w:val="17"/>
                <w:szCs w:val="17"/>
                <w:color w:val="auto"/>
              </w:rPr>
            </w:pPr>
          </w:p>
        </w:tc>
        <w:tc>
          <w:tcPr>
            <w:tcW w:w="122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7300" w:type="dxa"/>
            <w:vAlign w:val="bottom"/>
            <w:gridSpan w:val="17"/>
            <w:shd w:val="clear" w:color="auto" w:fill="FEFEFE"/>
          </w:tcPr>
          <w:p>
            <w:pPr>
              <w:ind w:left="260"/>
              <w:spacing w:after="0" w:line="200" w:lineRule="exact"/>
              <w:rPr>
                <w:sz w:val="20"/>
                <w:szCs w:val="20"/>
                <w:color w:val="auto"/>
              </w:rPr>
            </w:pPr>
            <w:r>
              <w:rPr>
                <w:rFonts w:ascii="Arial" w:cs="Arial" w:eastAsia="Arial" w:hAnsi="Arial"/>
                <w:sz w:val="20"/>
                <w:szCs w:val="20"/>
                <w:color w:val="auto"/>
                <w:w w:val="96"/>
              </w:rPr>
              <w:t>from February 2006 to April 2010.  arious store operations positions with TJX from</w:t>
            </w:r>
          </w:p>
        </w:tc>
        <w:tc>
          <w:tcPr>
            <w:tcW w:w="0" w:type="dxa"/>
            <w:vAlign w:val="bottom"/>
          </w:tcPr>
          <w:p>
            <w:pPr>
              <w:spacing w:after="0"/>
              <w:rPr>
                <w:sz w:val="1"/>
                <w:szCs w:val="1"/>
                <w:color w:val="auto"/>
              </w:rPr>
            </w:pPr>
          </w:p>
        </w:tc>
      </w:tr>
      <w:tr>
        <w:trPr>
          <w:trHeight w:val="271"/>
        </w:trPr>
        <w:tc>
          <w:tcPr>
            <w:tcW w:w="580" w:type="dxa"/>
            <w:vAlign w:val="bottom"/>
            <w:tcBorders>
              <w:bottom w:val="single" w:sz="8" w:color="auto"/>
            </w:tcBorders>
            <w:shd w:val="clear" w:color="auto" w:fill="FEFEFE"/>
          </w:tcPr>
          <w:p>
            <w:pPr>
              <w:spacing w:after="0"/>
              <w:rPr>
                <w:sz w:val="23"/>
                <w:szCs w:val="23"/>
                <w:color w:val="auto"/>
              </w:rPr>
            </w:pPr>
          </w:p>
        </w:tc>
        <w:tc>
          <w:tcPr>
            <w:tcW w:w="1220" w:type="dxa"/>
            <w:vAlign w:val="bottom"/>
            <w:tcBorders>
              <w:bottom w:val="single" w:sz="8" w:color="auto"/>
            </w:tcBorders>
            <w:shd w:val="clear" w:color="auto" w:fill="FEFEFE"/>
          </w:tcPr>
          <w:p>
            <w:pPr>
              <w:spacing w:after="0"/>
              <w:rPr>
                <w:sz w:val="23"/>
                <w:szCs w:val="23"/>
                <w:color w:val="auto"/>
              </w:rPr>
            </w:pPr>
          </w:p>
        </w:tc>
        <w:tc>
          <w:tcPr>
            <w:tcW w:w="600" w:type="dxa"/>
            <w:vAlign w:val="bottom"/>
            <w:tcBorders>
              <w:bottom w:val="single" w:sz="8" w:color="auto"/>
            </w:tcBorders>
            <w:shd w:val="clear" w:color="auto" w:fill="FEFEFE"/>
          </w:tcPr>
          <w:p>
            <w:pPr>
              <w:spacing w:after="0"/>
              <w:rPr>
                <w:sz w:val="23"/>
                <w:szCs w:val="23"/>
                <w:color w:val="auto"/>
              </w:rPr>
            </w:pPr>
          </w:p>
        </w:tc>
        <w:tc>
          <w:tcPr>
            <w:tcW w:w="560" w:type="dxa"/>
            <w:vAlign w:val="bottom"/>
            <w:tcBorders>
              <w:bottom w:val="single" w:sz="8" w:color="auto"/>
            </w:tcBorders>
            <w:shd w:val="clear" w:color="auto" w:fill="FEFEFE"/>
          </w:tcPr>
          <w:p>
            <w:pPr>
              <w:spacing w:after="0"/>
              <w:rPr>
                <w:sz w:val="23"/>
                <w:szCs w:val="23"/>
                <w:color w:val="auto"/>
              </w:rPr>
            </w:pPr>
          </w:p>
        </w:tc>
        <w:tc>
          <w:tcPr>
            <w:tcW w:w="38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w w:val="89"/>
              </w:rPr>
              <w:t>1</w:t>
            </w:r>
          </w:p>
        </w:tc>
        <w:tc>
          <w:tcPr>
            <w:tcW w:w="1080" w:type="dxa"/>
            <w:vAlign w:val="bottom"/>
            <w:tcBorders>
              <w:bottom w:val="single" w:sz="8" w:color="auto"/>
            </w:tcBorders>
            <w:gridSpan w:val="3"/>
            <w:shd w:val="clear" w:color="auto" w:fill="FEFEFE"/>
          </w:tcPr>
          <w:p>
            <w:pPr>
              <w:ind w:left="80"/>
              <w:spacing w:after="0"/>
              <w:rPr>
                <w:sz w:val="20"/>
                <w:szCs w:val="20"/>
                <w:color w:val="auto"/>
              </w:rPr>
            </w:pPr>
            <w:r>
              <w:rPr>
                <w:rFonts w:ascii="Arial" w:cs="Arial" w:eastAsia="Arial" w:hAnsi="Arial"/>
                <w:sz w:val="20"/>
                <w:szCs w:val="20"/>
                <w:color w:val="auto"/>
                <w:w w:val="97"/>
              </w:rPr>
              <w:t>88 to 2006.</w:t>
            </w:r>
          </w:p>
        </w:tc>
        <w:tc>
          <w:tcPr>
            <w:tcW w:w="180" w:type="dxa"/>
            <w:vAlign w:val="bottom"/>
            <w:tcBorders>
              <w:bottom w:val="single" w:sz="8" w:color="auto"/>
            </w:tcBorders>
            <w:shd w:val="clear" w:color="auto" w:fill="FEFEFE"/>
          </w:tcPr>
          <w:p>
            <w:pPr>
              <w:spacing w:after="0"/>
              <w:rPr>
                <w:sz w:val="23"/>
                <w:szCs w:val="23"/>
                <w:color w:val="auto"/>
              </w:rPr>
            </w:pPr>
          </w:p>
        </w:tc>
        <w:tc>
          <w:tcPr>
            <w:tcW w:w="500" w:type="dxa"/>
            <w:vAlign w:val="bottom"/>
            <w:tcBorders>
              <w:bottom w:val="single" w:sz="8" w:color="auto"/>
            </w:tcBorders>
            <w:shd w:val="clear" w:color="auto" w:fill="FEFEFE"/>
          </w:tcPr>
          <w:p>
            <w:pPr>
              <w:spacing w:after="0"/>
              <w:rPr>
                <w:sz w:val="23"/>
                <w:szCs w:val="23"/>
                <w:color w:val="auto"/>
              </w:rPr>
            </w:pPr>
          </w:p>
        </w:tc>
        <w:tc>
          <w:tcPr>
            <w:tcW w:w="280" w:type="dxa"/>
            <w:vAlign w:val="bottom"/>
            <w:tcBorders>
              <w:bottom w:val="single" w:sz="8" w:color="auto"/>
            </w:tcBorders>
            <w:shd w:val="clear" w:color="auto" w:fill="FEFEFE"/>
          </w:tcPr>
          <w:p>
            <w:pPr>
              <w:spacing w:after="0"/>
              <w:rPr>
                <w:sz w:val="23"/>
                <w:szCs w:val="23"/>
                <w:color w:val="auto"/>
              </w:rPr>
            </w:pPr>
          </w:p>
        </w:tc>
        <w:tc>
          <w:tcPr>
            <w:tcW w:w="600" w:type="dxa"/>
            <w:vAlign w:val="bottom"/>
            <w:tcBorders>
              <w:bottom w:val="single" w:sz="8" w:color="auto"/>
            </w:tcBorders>
            <w:shd w:val="clear" w:color="auto" w:fill="FEFEFE"/>
          </w:tcPr>
          <w:p>
            <w:pPr>
              <w:spacing w:after="0"/>
              <w:rPr>
                <w:sz w:val="23"/>
                <w:szCs w:val="23"/>
                <w:color w:val="auto"/>
              </w:rPr>
            </w:pPr>
          </w:p>
        </w:tc>
        <w:tc>
          <w:tcPr>
            <w:tcW w:w="360" w:type="dxa"/>
            <w:vAlign w:val="bottom"/>
            <w:tcBorders>
              <w:bottom w:val="single" w:sz="8" w:color="auto"/>
            </w:tcBorders>
            <w:shd w:val="clear" w:color="auto" w:fill="FEFEFE"/>
          </w:tcPr>
          <w:p>
            <w:pPr>
              <w:spacing w:after="0"/>
              <w:rPr>
                <w:sz w:val="23"/>
                <w:szCs w:val="23"/>
                <w:color w:val="auto"/>
              </w:rPr>
            </w:pPr>
          </w:p>
        </w:tc>
        <w:tc>
          <w:tcPr>
            <w:tcW w:w="560" w:type="dxa"/>
            <w:vAlign w:val="bottom"/>
            <w:tcBorders>
              <w:bottom w:val="single" w:sz="8" w:color="auto"/>
            </w:tcBorders>
            <w:shd w:val="clear" w:color="auto" w:fill="FEFEFE"/>
          </w:tcPr>
          <w:p>
            <w:pPr>
              <w:spacing w:after="0"/>
              <w:rPr>
                <w:sz w:val="23"/>
                <w:szCs w:val="23"/>
                <w:color w:val="auto"/>
              </w:rPr>
            </w:pPr>
          </w:p>
        </w:tc>
        <w:tc>
          <w:tcPr>
            <w:tcW w:w="700" w:type="dxa"/>
            <w:vAlign w:val="bottom"/>
            <w:tcBorders>
              <w:bottom w:val="single" w:sz="8" w:color="auto"/>
            </w:tcBorders>
            <w:shd w:val="clear" w:color="auto" w:fill="FEFEFE"/>
          </w:tcPr>
          <w:p>
            <w:pPr>
              <w:spacing w:after="0"/>
              <w:rPr>
                <w:sz w:val="23"/>
                <w:szCs w:val="23"/>
                <w:color w:val="auto"/>
              </w:rPr>
            </w:pPr>
          </w:p>
        </w:tc>
        <w:tc>
          <w:tcPr>
            <w:tcW w:w="240" w:type="dxa"/>
            <w:vAlign w:val="bottom"/>
            <w:tcBorders>
              <w:bottom w:val="single" w:sz="8" w:color="auto"/>
            </w:tcBorders>
            <w:shd w:val="clear" w:color="auto" w:fill="FEFEFE"/>
          </w:tcPr>
          <w:p>
            <w:pPr>
              <w:spacing w:after="0"/>
              <w:rPr>
                <w:sz w:val="23"/>
                <w:szCs w:val="23"/>
                <w:color w:val="auto"/>
              </w:rPr>
            </w:pPr>
          </w:p>
        </w:tc>
        <w:tc>
          <w:tcPr>
            <w:tcW w:w="280" w:type="dxa"/>
            <w:vAlign w:val="bottom"/>
            <w:tcBorders>
              <w:bottom w:val="single" w:sz="8" w:color="auto"/>
            </w:tcBorders>
            <w:shd w:val="clear" w:color="auto" w:fill="FEFEFE"/>
          </w:tcPr>
          <w:p>
            <w:pPr>
              <w:spacing w:after="0"/>
              <w:rPr>
                <w:sz w:val="23"/>
                <w:szCs w:val="23"/>
                <w:color w:val="auto"/>
              </w:rPr>
            </w:pPr>
          </w:p>
        </w:tc>
        <w:tc>
          <w:tcPr>
            <w:tcW w:w="280" w:type="dxa"/>
            <w:vAlign w:val="bottom"/>
            <w:tcBorders>
              <w:bottom w:val="single" w:sz="8" w:color="auto"/>
            </w:tcBorders>
            <w:shd w:val="clear" w:color="auto" w:fill="FEFEFE"/>
          </w:tcPr>
          <w:p>
            <w:pPr>
              <w:spacing w:after="0"/>
              <w:rPr>
                <w:sz w:val="23"/>
                <w:szCs w:val="23"/>
                <w:color w:val="auto"/>
              </w:rPr>
            </w:pPr>
          </w:p>
        </w:tc>
        <w:tc>
          <w:tcPr>
            <w:tcW w:w="600" w:type="dxa"/>
            <w:vAlign w:val="bottom"/>
            <w:tcBorders>
              <w:bottom w:val="single" w:sz="8" w:color="auto"/>
            </w:tcBorders>
            <w:shd w:val="clear" w:color="auto" w:fill="FEFEFE"/>
          </w:tcPr>
          <w:p>
            <w:pPr>
              <w:spacing w:after="0"/>
              <w:rPr>
                <w:sz w:val="23"/>
                <w:szCs w:val="23"/>
                <w:color w:val="auto"/>
              </w:rPr>
            </w:pPr>
          </w:p>
        </w:tc>
        <w:tc>
          <w:tcPr>
            <w:tcW w:w="700" w:type="dxa"/>
            <w:vAlign w:val="bottom"/>
            <w:tcBorders>
              <w:bottom w:val="single" w:sz="8" w:color="auto"/>
            </w:tcBorders>
            <w:shd w:val="clear" w:color="auto" w:fill="FEFEFE"/>
          </w:tcPr>
          <w:p>
            <w:pPr>
              <w:spacing w:after="0"/>
              <w:rPr>
                <w:sz w:val="23"/>
                <w:szCs w:val="23"/>
                <w:color w:val="auto"/>
              </w:rPr>
            </w:pPr>
          </w:p>
        </w:tc>
        <w:tc>
          <w:tcPr>
            <w:tcW w:w="560" w:type="dxa"/>
            <w:vAlign w:val="bottom"/>
            <w:tcBorders>
              <w:bottom w:val="single" w:sz="8" w:color="auto"/>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right="80"/>
        <w:spacing w:after="0" w:line="283" w:lineRule="auto"/>
        <w:rPr>
          <w:sz w:val="20"/>
          <w:szCs w:val="20"/>
          <w:color w:val="auto"/>
        </w:rPr>
      </w:pPr>
      <w:r>
        <w:rPr>
          <w:rFonts w:ascii="Arial" w:cs="Arial" w:eastAsia="Arial" w:hAnsi="Arial"/>
          <w:sz w:val="20"/>
          <w:szCs w:val="20"/>
          <w:color w:val="auto"/>
        </w:rPr>
        <w:t>The executive officers hold office until the next annual meeting of the Board in June 2026 and until their successors are elected and ualified.</w:t>
      </w:r>
    </w:p>
    <w:p>
      <w:pPr>
        <w:sectPr>
          <w:pgSz w:w="12240" w:h="15841" w:orient="portrait"/>
          <w:cols w:equalWidth="0" w:num="1">
            <w:col w:w="10260"/>
          </w:cols>
          <w:pgMar w:left="1000" w:top="77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2240" w:h="15841" w:orient="portrait"/>
          <w:cols w:equalWidth="0" w:num="1">
            <w:col w:w="10260"/>
          </w:cols>
          <w:pgMar w:left="1000" w:top="778" w:right="981" w:bottom="0" w:gutter="0" w:footer="0" w:header="0"/>
          <w:type w:val="continuous"/>
        </w:sectPr>
      </w:pPr>
    </w:p>
    <w:bookmarkStart w:id="18" w:name="page19"/>
    <w:bookmarkEnd w:id="18"/>
    <w:p>
      <w:pPr>
        <w:spacing w:after="0"/>
        <w:tabs>
          <w:tab w:leader="none" w:pos="680" w:val="left"/>
          <w:tab w:leader="none" w:pos="132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r>
        <w:rPr>
          <w:sz w:val="20"/>
          <w:szCs w:val="20"/>
          <w:color w:val="auto"/>
        </w:rPr>
        <w:tab/>
      </w:r>
      <w:r>
        <w:rPr>
          <w:rFonts w:ascii="Arial" w:cs="Arial" w:eastAsia="Arial" w:hAnsi="Arial"/>
          <w:sz w:val="24"/>
          <w:szCs w:val="24"/>
          <w:color w:val="auto"/>
        </w:rPr>
        <w:t>1  .</w:t>
        <w:tab/>
        <w:t>is  Factors</w:t>
      </w:r>
    </w:p>
    <w:p>
      <w:pPr>
        <w:spacing w:after="0" w:line="153"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The statements in this section describe the major risks to our business and should be considered carefully, in connection with all the other information set forth in this annual report on Form 10- . The risks listed below are those that we think, individually or in the aggregate, are potentially material to our business and could cause our actual results to differ materially from those stated or implied in forward-looking statements. There may be additional risks that we are not aware of or that we currently believe are immaterial, and factors besides the ones discussed below, that could adversely affect our business.</w:t>
      </w:r>
    </w:p>
    <w:p>
      <w:pPr>
        <w:spacing w:after="0" w:line="38" w:lineRule="exact"/>
        <w:rPr>
          <w:sz w:val="20"/>
          <w:szCs w:val="20"/>
          <w:color w:val="auto"/>
        </w:rPr>
      </w:pPr>
    </w:p>
    <w:p>
      <w:pPr>
        <w:spacing w:after="0"/>
        <w:tabs>
          <w:tab w:leader="none" w:pos="880" w:val="left"/>
          <w:tab w:leader="none" w:pos="1820" w:val="left"/>
          <w:tab w:leader="none" w:pos="2200" w:val="left"/>
          <w:tab w:leader="none" w:pos="3240" w:val="left"/>
          <w:tab w:leader="none" w:pos="370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ION</w:t>
      </w:r>
      <w:r>
        <w:rPr>
          <w:sz w:val="20"/>
          <w:szCs w:val="20"/>
          <w:color w:val="auto"/>
        </w:rPr>
        <w:tab/>
      </w:r>
      <w:r>
        <w:rPr>
          <w:rFonts w:ascii="Arial" w:cs="Arial" w:eastAsia="Arial" w:hAnsi="Arial"/>
          <w:sz w:val="22"/>
          <w:szCs w:val="22"/>
          <w:color w:val="auto"/>
        </w:rPr>
        <w:t>N</w:t>
        <w:tab/>
        <w:t>S</w:t>
      </w:r>
      <w:r>
        <w:rPr>
          <w:sz w:val="20"/>
          <w:szCs w:val="20"/>
          <w:color w:val="auto"/>
        </w:rPr>
        <w:tab/>
      </w:r>
      <w:r>
        <w:rPr>
          <w:rFonts w:ascii="Arial" w:cs="Arial" w:eastAsia="Arial" w:hAnsi="Arial"/>
          <w:sz w:val="22"/>
          <w:szCs w:val="22"/>
          <w:color w:val="auto"/>
        </w:rPr>
        <w:t>IC</w:t>
        <w:tab/>
        <w:t>IS  S</w:t>
      </w:r>
    </w:p>
    <w:p>
      <w:pPr>
        <w:spacing w:after="0" w:line="137" w:lineRule="exact"/>
        <w:rPr>
          <w:sz w:val="20"/>
          <w:szCs w:val="20"/>
          <w:color w:val="auto"/>
        </w:rPr>
      </w:pPr>
    </w:p>
    <w:p>
      <w:pPr>
        <w:ind w:right="520" w:firstLine="133"/>
        <w:spacing w:after="0" w:line="288" w:lineRule="auto"/>
        <w:rPr>
          <w:sz w:val="20"/>
          <w:szCs w:val="20"/>
          <w:color w:val="auto"/>
        </w:rPr>
      </w:pPr>
      <w:r>
        <w:rPr>
          <w:rFonts w:ascii="Arial" w:cs="Arial" w:eastAsia="Arial" w:hAnsi="Arial"/>
          <w:sz w:val="20"/>
          <w:szCs w:val="20"/>
          <w:i w:val="1"/>
          <w:iCs w:val="1"/>
          <w:color w:val="auto"/>
        </w:rPr>
        <w:t>ailure to e ecute our o ortunistic bu ing strateg and successfull anage our in entor could ad ersel affect our results</w:t>
      </w:r>
    </w:p>
    <w:p>
      <w:pPr>
        <w:spacing w:after="0" w:line="56" w:lineRule="exact"/>
        <w:rPr>
          <w:sz w:val="20"/>
          <w:szCs w:val="20"/>
          <w:color w:val="auto"/>
        </w:rPr>
      </w:pPr>
    </w:p>
    <w:p>
      <w:pPr>
        <w:jc w:val="both"/>
        <w:ind w:right="80" w:firstLine="145"/>
        <w:spacing w:after="0" w:line="279" w:lineRule="auto"/>
        <w:rPr>
          <w:sz w:val="20"/>
          <w:szCs w:val="20"/>
          <w:color w:val="auto"/>
        </w:rPr>
      </w:pPr>
      <w:r>
        <w:rPr>
          <w:rFonts w:ascii="Arial" w:cs="Arial" w:eastAsia="Arial" w:hAnsi="Arial"/>
          <w:sz w:val="19"/>
          <w:szCs w:val="19"/>
          <w:color w:val="auto"/>
        </w:rPr>
        <w:t>ey elements of our off-price business strategy, including opportunistic buying, operating with relatively lean inventory levels, fre uent inventory turns and our treasure hunt experience, subject us to risks. ur customer transactions and our sales, margins and other financial results could be adversely affected if we do not obtain and allocate the right merchandise at the right times, in the right uantities, at the right prices, in the right mix and into the right stores.</w:t>
      </w:r>
    </w:p>
    <w:p>
      <w:pPr>
        <w:spacing w:after="0" w:line="64" w:lineRule="exact"/>
        <w:rPr>
          <w:sz w:val="20"/>
          <w:szCs w:val="20"/>
          <w:color w:val="auto"/>
        </w:rPr>
      </w:pPr>
    </w:p>
    <w:p>
      <w:pPr>
        <w:ind w:right="20" w:firstLine="145"/>
        <w:spacing w:after="0" w:line="299" w:lineRule="auto"/>
        <w:rPr>
          <w:sz w:val="20"/>
          <w:szCs w:val="20"/>
          <w:color w:val="auto"/>
        </w:rPr>
      </w:pPr>
      <w:r>
        <w:rPr>
          <w:rFonts w:ascii="Arial" w:cs="Arial" w:eastAsia="Arial" w:hAnsi="Arial"/>
          <w:sz w:val="18"/>
          <w:szCs w:val="18"/>
          <w:color w:val="auto"/>
        </w:rPr>
        <w:t>ur opportunistic buying strategy places considerable discretion with our merchants. They typically buy throughout the year, with much of our merchandise purchased for the current or immediately upcoming season. ur merchants are expected to react effectively to rapidly changing opportunities and trends in the market, to assess the desirability and value of merchandise and to generally make determinations of what and how we source, as well as when and from where we source it.</w:t>
      </w:r>
    </w:p>
    <w:p>
      <w:pPr>
        <w:spacing w:after="0" w:line="49"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If they do not make assessments accurately or otherwise cannot execute our strategy in an effective or timely way, our customer transactions and our sales, margins and other financial results could be adversely affected. If our merchandise is not generally purchased at prices sufficiently below prices paid by conventional retailers, we may not be able to maintain our desired value gap at various times or in some segments, banners, product categories or geographies, which could also affect our sales, margins and other financial results.</w:t>
      </w:r>
    </w:p>
    <w:p>
      <w:pPr>
        <w:spacing w:after="0" w:line="84" w:lineRule="exact"/>
        <w:rPr>
          <w:sz w:val="20"/>
          <w:szCs w:val="20"/>
          <w:color w:val="auto"/>
        </w:rPr>
      </w:pPr>
    </w:p>
    <w:p>
      <w:pPr>
        <w:ind w:right="20" w:firstLine="189"/>
        <w:spacing w:after="0" w:line="257" w:lineRule="auto"/>
        <w:rPr>
          <w:sz w:val="20"/>
          <w:szCs w:val="20"/>
          <w:color w:val="auto"/>
        </w:rPr>
      </w:pPr>
      <w:r>
        <w:rPr>
          <w:rFonts w:ascii="Arial" w:cs="Arial" w:eastAsia="Arial" w:hAnsi="Arial"/>
          <w:sz w:val="20"/>
          <w:szCs w:val="20"/>
          <w:color w:val="auto"/>
        </w:rPr>
        <w:t>e also base our inventory purchases, in part, on our sales forecasts. If our sales forecasts fail to predict customer demand with sufficient accuracy, or we do not appropriately allocate and deliver merchandise to stores, maintain inventory mix and levels, or maintain flexibility in our allocation of floor space across product categories effectively, then we may either have higher inventory levels than we planned and may need to take markdowns on excess or slow-moving inventory, or have insufficient inventory to meet customer demand, either of which could impact sales in a way that could adversely affect our financial performance.</w:t>
      </w:r>
    </w:p>
    <w:p>
      <w:pPr>
        <w:spacing w:after="0" w:line="82"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In addition to the above factors, a variety of external factors have impacted, and may continue to impact, execution of our opportunistic buying strategy and inventory management. In the past, our ability to allocate, deliver and maintain our preferred mix and level of inventory has been impacted by temporary store closures, inflationary pressures, global supply chain disruptions and other challenges as a result of external events. For more information, see External and Economic isks below.</w:t>
      </w:r>
    </w:p>
    <w:p>
      <w:pPr>
        <w:spacing w:after="0" w:line="76" w:lineRule="exact"/>
        <w:rPr>
          <w:sz w:val="20"/>
          <w:szCs w:val="20"/>
          <w:color w:val="auto"/>
        </w:rPr>
      </w:pPr>
    </w:p>
    <w:p>
      <w:pPr>
        <w:ind w:right="520" w:firstLine="133"/>
        <w:spacing w:after="0" w:line="288" w:lineRule="auto"/>
        <w:rPr>
          <w:sz w:val="20"/>
          <w:szCs w:val="20"/>
          <w:color w:val="auto"/>
        </w:rPr>
      </w:pPr>
      <w:r>
        <w:rPr>
          <w:rFonts w:ascii="Arial" w:cs="Arial" w:eastAsia="Arial" w:hAnsi="Arial"/>
          <w:sz w:val="20"/>
          <w:szCs w:val="20"/>
          <w:i w:val="1"/>
          <w:iCs w:val="1"/>
          <w:color w:val="auto"/>
        </w:rPr>
        <w:t>ailure to identif consu er trends and references or to ot er ise eet custo er de and or e ectations in ne or e isting ar ets or c annels could negati el i act our erfor ance</w:t>
      </w:r>
    </w:p>
    <w:p>
      <w:pPr>
        <w:spacing w:after="0" w:line="56"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color w:val="auto"/>
        </w:rPr>
        <w:t>As our success depends on our ability to meet customer demand and expectations, we seek to identify consumer trends and preferences on an ongoing basis and to offer inventory and shopping experiences that meet those trends and preferences.</w:t>
      </w:r>
    </w:p>
    <w:p>
      <w:pPr>
        <w:spacing w:after="0" w:line="1" w:lineRule="exact"/>
        <w:rPr>
          <w:sz w:val="20"/>
          <w:szCs w:val="20"/>
          <w:color w:val="auto"/>
        </w:rPr>
      </w:pPr>
    </w:p>
    <w:p>
      <w:pPr>
        <w:ind w:firstLine="145"/>
        <w:spacing w:after="0" w:line="288" w:lineRule="auto"/>
        <w:rPr>
          <w:sz w:val="20"/>
          <w:szCs w:val="20"/>
          <w:color w:val="auto"/>
        </w:rPr>
      </w:pPr>
      <w:r>
        <w:rPr>
          <w:rFonts w:ascii="Arial" w:cs="Arial" w:eastAsia="Arial" w:hAnsi="Arial"/>
          <w:sz w:val="18"/>
          <w:szCs w:val="18"/>
          <w:color w:val="auto"/>
        </w:rPr>
        <w:t>owever, we may not do so effectively and or in a timely manner across our diverse merchandise categories and in each of the many markets in which we do business. Trends and preferences in markets may differ from what we anticipate and could change rapidly. Although our business model allows us greater flexibility to meet consumer product preferences and trends than many traditional retailers (for example, by rapidly expanding and contracting merchandise categories in response to consumers’ changing tastes), we may not successfully do so, which could impact inventory turns, customer transactions and sales, and may have a negative impact on our ability to attract new customers, retain existing customers and or encourage fre uent customer visits and or cross-shopping of our multiple retail banners, any of which could adversely affect our results.</w:t>
      </w:r>
    </w:p>
    <w:p>
      <w:pPr>
        <w:spacing w:after="0" w:line="61"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Customers also may have expectations about how they shop in stores or through e-commerce or more generally engage with businesses across different channels (including digital social media platforms). These expectations may vary both across and within demographics and geographies and may evolve rapidly or be impacted by external factors. For example, changes to our store layout, loss prevention, or digital security protocols may impact the shopping experience and customer transactions. Similarly, platforms that help consumers engage with our brands may change in meaningful ways, negatively impacting the consumer experience and reducing or eliminating benefits to us from that channel. eeting customers’ expectations effectively generally involves identifying the right opportunities, balancing them with potential risks and making the right investments at the right time, on the right scale and with the right speed, among other things, and failure to do so effectively may impact our business and financial results.</w:t>
      </w:r>
    </w:p>
    <w:p>
      <w:pPr>
        <w:sectPr>
          <w:pgSz w:w="12240" w:h="15841" w:orient="portrait"/>
          <w:cols w:equalWidth="0" w:num="1">
            <w:col w:w="10240"/>
          </w:cols>
          <w:pgMar w:left="1000" w:top="681" w:right="1001"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2240" w:h="15841" w:orient="portrait"/>
          <w:cols w:equalWidth="0" w:num="1">
            <w:col w:w="10240"/>
          </w:cols>
          <w:pgMar w:left="1000" w:top="681" w:right="1001" w:bottom="0" w:gutter="0" w:footer="0" w:header="0"/>
          <w:type w:val="continuous"/>
        </w:sectPr>
      </w:pPr>
    </w:p>
    <w:bookmarkStart w:id="19" w:name="page20"/>
    <w:bookmarkEnd w:id="19"/>
    <w:p>
      <w:pPr>
        <w:ind w:left="160"/>
        <w:spacing w:after="0"/>
        <w:tabs>
          <w:tab w:leader="none" w:pos="1280" w:val="left"/>
          <w:tab w:leader="none" w:pos="2180" w:val="left"/>
          <w:tab w:leader="none" w:pos="2880" w:val="left"/>
          <w:tab w:leader="none" w:pos="3960" w:val="left"/>
          <w:tab w:leader="none" w:pos="4260" w:val="left"/>
          <w:tab w:leader="none" w:pos="6100"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 o erate in</w:t>
        <w:tab/>
        <w:t>ig l  co</w:t>
        <w:tab/>
        <w:t>etiti e</w:t>
        <w:tab/>
        <w:t>ar ets and</w:t>
        <w:tab/>
        <w:t>e</w:t>
        <w:tab/>
        <w:t>a  not be able to co</w:t>
      </w:r>
      <w:r>
        <w:rPr>
          <w:sz w:val="20"/>
          <w:szCs w:val="20"/>
          <w:color w:val="auto"/>
        </w:rPr>
        <w:tab/>
      </w:r>
      <w:r>
        <w:rPr>
          <w:rFonts w:ascii="Arial" w:cs="Arial" w:eastAsia="Arial" w:hAnsi="Arial"/>
          <w:sz w:val="18"/>
          <w:szCs w:val="18"/>
          <w:i w:val="1"/>
          <w:iCs w:val="1"/>
          <w:color w:val="auto"/>
        </w:rPr>
        <w:t>ete effecti el</w:t>
      </w:r>
    </w:p>
    <w:p>
      <w:pPr>
        <w:spacing w:after="0" w:line="138"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The retail apparel and home fashion businesses are highly competitive. e compete on the basis of various factors affecting value (which we define as the combination of brand, fashion, price and uality). e also compete on merchandise selection and freshness banner name recognition and appeal both in-store and online service and shopping experience convenience and store location. e compete with local, regional, national and international retailers that sell apparel, home fashions and other merchandise that we may carry, including retailers that operate through stores, e-commerce and or other media, as well as omnichannel retailers. Some of our competitors are larger than we are, hold greater financial resources, have more experience selling certain product lines, provide certain product categories more consistently, or provide products through different channels than we do. Competitors may increase their presence in markets in which we operate, consolidate with other retailers, expand their merchandise offerings, expand their e-commerce and delivery capabilities, add new sales channels, change their pricing strategies and or adopt new processes or technologies that may allow them to compete more effectively. e could be at a competitive disadvantage if, over time, our competitors are more effective than we are in their use and integration of rapidly evolving technologies, including artificial intelligence or other emerging technologies. In addition, new competitors fre uently enter the market. ore generally, consumer e-commerce spending may continue to increase, as it has in recent years, while our business is primarily in brick-and-mortar stores. If we fail to compete effectively, our sales and results of operations could be adversely affected.</w:t>
      </w:r>
    </w:p>
    <w:p>
      <w:pPr>
        <w:spacing w:after="0" w:line="79" w:lineRule="exact"/>
        <w:rPr>
          <w:sz w:val="20"/>
          <w:szCs w:val="20"/>
          <w:color w:val="auto"/>
        </w:rPr>
      </w:pPr>
    </w:p>
    <w:p>
      <w:pPr>
        <w:ind w:right="360" w:firstLine="78"/>
        <w:spacing w:after="0" w:line="269" w:lineRule="auto"/>
        <w:rPr>
          <w:sz w:val="20"/>
          <w:szCs w:val="20"/>
          <w:color w:val="auto"/>
        </w:rPr>
      </w:pPr>
      <w:r>
        <w:rPr>
          <w:rFonts w:ascii="Arial" w:cs="Arial" w:eastAsia="Arial" w:hAnsi="Arial"/>
          <w:sz w:val="20"/>
          <w:szCs w:val="20"/>
          <w:i w:val="1"/>
          <w:iCs w:val="1"/>
          <w:color w:val="auto"/>
        </w:rPr>
        <w:t>f e fail to successfull i le ent our ar eting efforts if our ar eting efforts are not successful in dri ing e ected increases in sales or if our co etitors ar eting rogra s are ore effecti e t an ours our re enue or results of o erations a be ad ersel affected</w:t>
      </w:r>
    </w:p>
    <w:p>
      <w:pPr>
        <w:spacing w:after="0" w:line="7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Customer transactions and demand for our merchandise may be influenced by our marketing efforts. Although we use various marketing channels (including, among others, linear television, streaming video, audio, outdoor, digital social media and mobile) to drive customer awareness of and interest in shopping our retail banners and to increase sales, some of our competitors may spend more for their marketing programs or use different approaches than we do, which may provide them with a competitive advantage. ur competitors’ marketing programs may also resonate with consumers more than ours do. Changes to online search, email delivery, and digital social media (including algorithmic changes) can increase customer</w:t>
      </w:r>
    </w:p>
    <w:p>
      <w:pPr>
        <w:spacing w:after="0" w:line="1" w:lineRule="exact"/>
        <w:rPr>
          <w:sz w:val="20"/>
          <w:szCs w:val="20"/>
          <w:color w:val="auto"/>
        </w:rPr>
      </w:pPr>
    </w:p>
    <w:p>
      <w:pPr>
        <w:jc w:val="right"/>
        <w:spacing w:after="0" w:line="278" w:lineRule="auto"/>
        <w:rPr>
          <w:sz w:val="20"/>
          <w:szCs w:val="20"/>
          <w:color w:val="auto"/>
        </w:rPr>
      </w:pPr>
      <w:r>
        <w:rPr>
          <w:rFonts w:ascii="Arial" w:cs="Arial" w:eastAsia="Arial" w:hAnsi="Arial"/>
          <w:sz w:val="18"/>
          <w:szCs w:val="18"/>
          <w:color w:val="auto"/>
        </w:rPr>
        <w:t>ac uisition costs, reduce the effectiveness of digital marketing and or alter traffic patterns to our e-commerce sites and or stores. e may not be able to develop or implement strategies effectively in rapidly evolving digital social media channels, which may</w:t>
      </w:r>
    </w:p>
    <w:p>
      <w:pPr>
        <w:ind w:right="20"/>
        <w:spacing w:after="0" w:line="273" w:lineRule="auto"/>
        <w:rPr>
          <w:sz w:val="20"/>
          <w:szCs w:val="20"/>
          <w:color w:val="auto"/>
        </w:rPr>
      </w:pPr>
      <w:r>
        <w:rPr>
          <w:rFonts w:ascii="Arial" w:cs="Arial" w:eastAsia="Arial" w:hAnsi="Arial"/>
          <w:sz w:val="19"/>
          <w:szCs w:val="19"/>
          <w:color w:val="auto"/>
        </w:rPr>
        <w:t>adversely impact some of our banners, segments, or overall business. e also may face challenges appropriately managing strategies for our different banners across geographies. Further, our marketing partners, celebrities, social media content creators, influencers or other individuals who are viewed as representing our banners may expose us to reputational or other risks. For delivery of our marketing we depend on a variety of partners whose financial health, reputation and or ability to attract talent could negatively impact the results of our marketing. If our marketing efforts are not as successful or cost effective as anticipated, our revenue and results of operations could be adversely affected.</w:t>
      </w:r>
    </w:p>
    <w:p>
      <w:pPr>
        <w:spacing w:after="0" w:line="6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20"/>
          <w:szCs w:val="20"/>
          <w:i w:val="1"/>
          <w:iCs w:val="1"/>
          <w:color w:val="auto"/>
        </w:rPr>
        <w:t>ailure to continue to e</w:t>
      </w:r>
      <w:r>
        <w:rPr>
          <w:sz w:val="20"/>
          <w:szCs w:val="20"/>
          <w:color w:val="auto"/>
        </w:rPr>
        <w:tab/>
      </w:r>
      <w:r>
        <w:rPr>
          <w:rFonts w:ascii="Arial" w:cs="Arial" w:eastAsia="Arial" w:hAnsi="Arial"/>
          <w:sz w:val="19"/>
          <w:szCs w:val="19"/>
          <w:i w:val="1"/>
          <w:iCs w:val="1"/>
          <w:color w:val="auto"/>
        </w:rPr>
        <w:t>and our business successfull  could ad ersel  affect our financial results</w:t>
      </w:r>
    </w:p>
    <w:p>
      <w:pPr>
        <w:spacing w:after="0" w:line="138" w:lineRule="exact"/>
        <w:rPr>
          <w:sz w:val="20"/>
          <w:szCs w:val="20"/>
          <w:color w:val="auto"/>
        </w:rPr>
      </w:pPr>
    </w:p>
    <w:p>
      <w:pPr>
        <w:ind w:firstLine="145"/>
        <w:spacing w:after="0" w:line="268" w:lineRule="auto"/>
        <w:rPr>
          <w:sz w:val="20"/>
          <w:szCs w:val="20"/>
          <w:color w:val="auto"/>
        </w:rPr>
      </w:pPr>
      <w:r>
        <w:rPr>
          <w:rFonts w:ascii="Arial" w:cs="Arial" w:eastAsia="Arial" w:hAnsi="Arial"/>
          <w:sz w:val="19"/>
          <w:szCs w:val="19"/>
          <w:color w:val="auto"/>
        </w:rPr>
        <w:t>ur growth strategy includes, whether by development, investment, or ac uisition, successfully expanding our business within our current markets and or into new geographic regions, appropriately calibrating product lines and channels (including within our e-commerce sites) and, as appropriate, adding new businesses. If any aspect of our expansion strategy does not achieve the success we expect, in whole or in part, we may fail to meet our financial performance expectations generally or within certain markets or divisions, and we may be re uired to increase or decrease investments or slow our planned growth. For our store growth, even if a particular market has high commercial vacancies, if we are not able to find and lease appropriate real estate on attractive terms in the locations where we seek to open stores, or if new stores do not perform as well as we anticipated, we may need to change our planned growth in those markets. e have closed stores and operations and have divested from and disposed of businesses in the past, including for performance-related reasons, and we may be re uired to do so again in the future.</w:t>
      </w:r>
    </w:p>
    <w:p>
      <w:pPr>
        <w:spacing w:after="0" w:line="80" w:lineRule="exact"/>
        <w:rPr>
          <w:sz w:val="20"/>
          <w:szCs w:val="20"/>
          <w:color w:val="auto"/>
        </w:rPr>
      </w:pPr>
    </w:p>
    <w:p>
      <w:pPr>
        <w:ind w:firstLine="145"/>
        <w:spacing w:after="0" w:line="254" w:lineRule="auto"/>
        <w:rPr>
          <w:sz w:val="20"/>
          <w:szCs w:val="20"/>
          <w:color w:val="auto"/>
        </w:rPr>
      </w:pPr>
      <w:r>
        <w:rPr>
          <w:rFonts w:ascii="Arial" w:cs="Arial" w:eastAsia="Arial" w:hAnsi="Arial"/>
          <w:sz w:val="20"/>
          <w:szCs w:val="20"/>
          <w:color w:val="auto"/>
        </w:rPr>
        <w:t>rowth can also add complexity to our business operations by re uiring effective and timely information sharing significant additional attention from our management and other functions across our business, including compliance and risk management attention to varied health and safety re uirements integration of existing or development of new capabilities, processes and controls increased staffing and Associate training and retention, including in new or unfamiliar labor markets and management of appropriate third-party providers, including training or coordinating with those operating businesses in which we are invested or with which we share certain responsibilities. These re uirements may increase with further growth, particularly if we expand into additional countries. If we are unable to manage our growth effectively, our business may be adversely affected or we may need to reduce the rate of expansion or otherwise curtail growth, which may adversely affect our sales, business plans and results.</w:t>
      </w:r>
    </w:p>
    <w:p>
      <w:pPr>
        <w:sectPr>
          <w:pgSz w:w="12240" w:h="15841" w:orient="portrait"/>
          <w:cols w:equalWidth="0" w:num="1">
            <w:col w:w="10240"/>
          </w:cols>
          <w:pgMar w:left="1000" w:top="694"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2240" w:h="15841" w:orient="portrait"/>
          <w:cols w:equalWidth="0" w:num="1">
            <w:col w:w="10240"/>
          </w:cols>
          <w:pgMar w:left="1000" w:top="694" w:right="1001" w:bottom="0" w:gutter="0" w:footer="0" w:header="0"/>
          <w:type w:val="continuous"/>
        </w:sectPr>
      </w:pPr>
    </w:p>
    <w:bookmarkStart w:id="20" w:name="page21"/>
    <w:bookmarkEnd w:id="20"/>
    <w:p>
      <w:pPr>
        <w:ind w:left="120"/>
        <w:spacing w:after="0"/>
        <w:tabs>
          <w:tab w:leader="none" w:pos="1880" w:val="left"/>
          <w:tab w:leader="none" w:pos="6000"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ailure to effecti el</w:t>
        <w:tab/>
        <w:t>anage t e large si e and scale of our o erations</w:t>
      </w:r>
      <w:r>
        <w:rPr>
          <w:sz w:val="20"/>
          <w:szCs w:val="20"/>
          <w:color w:val="auto"/>
        </w:rPr>
        <w:tab/>
      </w:r>
      <w:r>
        <w:rPr>
          <w:rFonts w:ascii="Arial" w:cs="Arial" w:eastAsia="Arial" w:hAnsi="Arial"/>
          <w:sz w:val="19"/>
          <w:szCs w:val="19"/>
          <w:i w:val="1"/>
          <w:iCs w:val="1"/>
          <w:color w:val="auto"/>
        </w:rPr>
        <w:t>a  ad ersel  affect our financial results</w:t>
      </w:r>
    </w:p>
    <w:p>
      <w:pPr>
        <w:spacing w:after="0" w:line="13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substantial si e of our business can make it challenging to run our complex operations effectively and to manage suitable internal resources and third-party providers with appropriate oversight, including, for example, for teams managing information technology ( IT ) systems, merchandising, sourcing, marketing, store operations, distribution, logistics, compliance, finance and administrative support. The large si e and scale of our operations, our multiple banners and locations across the .S., Canada, Europe and Australia and the autonomy afforded to the banners in some aspects of the business also increase the risk that our systems, controls, practices and policies may not be effectively or consistently implemented or updated on a timely basis throughout our company, or that information may not be appropriately shared across our operations. The si e and scale of our business also create challenges in human resources administration and effectively recruiting, managing, training, retaining and engaging a large, disparate workforce, including Associates in on-site, remote and hybrid roles. These challenges may increase if a portion of our workforce is unable to work on site or is temporarily furloughed, as has occurred in the past. If we are unable to manage our si e and scale effectively, our results of operations may be adversely affected.</w:t>
      </w:r>
    </w:p>
    <w:p>
      <w:pPr>
        <w:spacing w:after="0" w:line="58" w:lineRule="exact"/>
        <w:rPr>
          <w:sz w:val="20"/>
          <w:szCs w:val="20"/>
          <w:color w:val="auto"/>
        </w:rPr>
      </w:pPr>
    </w:p>
    <w:p>
      <w:pPr>
        <w:ind w:left="160"/>
        <w:spacing w:after="0"/>
        <w:tabs>
          <w:tab w:leader="none" w:pos="1380" w:val="left"/>
          <w:tab w:leader="none" w:pos="3320" w:val="left"/>
          <w:tab w:leader="none" w:pos="3620" w:val="left"/>
          <w:tab w:leader="none" w:pos="6340" w:val="left"/>
          <w:tab w:leader="none" w:pos="6760" w:val="left"/>
          <w:tab w:leader="none" w:pos="7420" w:val="left"/>
        </w:tabs>
        <w:rPr>
          <w:sz w:val="20"/>
          <w:szCs w:val="20"/>
          <w:color w:val="auto"/>
        </w:rPr>
      </w:pPr>
      <w:r>
        <w:rPr>
          <w:rFonts w:ascii="Arial" w:cs="Arial" w:eastAsia="Arial" w:hAnsi="Arial"/>
          <w:sz w:val="20"/>
          <w:szCs w:val="20"/>
          <w:i w:val="1"/>
          <w:iCs w:val="1"/>
          <w:color w:val="auto"/>
        </w:rPr>
        <w:t>e source our</w:t>
        <w:tab/>
        <w:t>erc andise globall</w:t>
      </w:r>
      <w:r>
        <w:rPr>
          <w:sz w:val="20"/>
          <w:szCs w:val="20"/>
          <w:color w:val="auto"/>
        </w:rPr>
        <w:tab/>
      </w:r>
      <w:r>
        <w:rPr>
          <w:rFonts w:ascii="Arial" w:cs="Arial" w:eastAsia="Arial" w:hAnsi="Arial"/>
          <w:sz w:val="20"/>
          <w:szCs w:val="20"/>
          <w:i w:val="1"/>
          <w:iCs w:val="1"/>
          <w:color w:val="auto"/>
        </w:rPr>
        <w:t>ic</w:t>
        <w:tab/>
        <w:t>sub ects us to ris s including</w:t>
        <w:tab/>
        <w:t>en</w:t>
        <w:tab/>
        <w:t>o ing</w:t>
      </w:r>
      <w:r>
        <w:rPr>
          <w:sz w:val="20"/>
          <w:szCs w:val="20"/>
          <w:color w:val="auto"/>
        </w:rPr>
        <w:tab/>
      </w:r>
      <w:r>
        <w:rPr>
          <w:rFonts w:ascii="Arial" w:cs="Arial" w:eastAsia="Arial" w:hAnsi="Arial"/>
          <w:sz w:val="19"/>
          <w:szCs w:val="19"/>
          <w:i w:val="1"/>
          <w:iCs w:val="1"/>
          <w:color w:val="auto"/>
        </w:rPr>
        <w:t>erc andise internationall</w:t>
      </w:r>
    </w:p>
    <w:p>
      <w:pPr>
        <w:spacing w:after="0" w:line="138" w:lineRule="exact"/>
        <w:rPr>
          <w:sz w:val="20"/>
          <w:szCs w:val="20"/>
          <w:color w:val="auto"/>
        </w:rPr>
      </w:pPr>
    </w:p>
    <w:p>
      <w:pPr>
        <w:ind w:firstLine="189"/>
        <w:spacing w:after="0" w:line="278" w:lineRule="auto"/>
        <w:rPr>
          <w:sz w:val="20"/>
          <w:szCs w:val="20"/>
          <w:color w:val="auto"/>
        </w:rPr>
      </w:pPr>
      <w:r>
        <w:rPr>
          <w:rFonts w:ascii="Arial" w:cs="Arial" w:eastAsia="Arial" w:hAnsi="Arial"/>
          <w:sz w:val="18"/>
          <w:szCs w:val="18"/>
          <w:color w:val="auto"/>
        </w:rPr>
        <w:t>e are subject to various risks of sourcing merchandise, particularly from other countries, including risks related to moving merchandise internationally. any of the products sold in our stores are sourced in locations (particularly in China, India and southeastern Asia) other than the location in which they will be sold. here we are the importer of record, we may be subject to regulatory or other re uirements, including those similar to re uirements imposed upon the manufacturer of such products.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isks related to sourcing merchandise include:</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potential disruptions in manufacturing and supply</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transport availability, capacity and costs</w:t>
      </w:r>
    </w:p>
    <w:p>
      <w:pPr>
        <w:spacing w:after="0" w:line="130" w:lineRule="exact"/>
        <w:rPr>
          <w:sz w:val="20"/>
          <w:szCs w:val="20"/>
          <w:color w:val="auto"/>
        </w:rPr>
      </w:pPr>
    </w:p>
    <w:p>
      <w:pPr>
        <w:ind w:left="720" w:right="660"/>
        <w:spacing w:after="0" w:line="283" w:lineRule="auto"/>
        <w:rPr>
          <w:sz w:val="20"/>
          <w:szCs w:val="20"/>
          <w:color w:val="auto"/>
        </w:rPr>
      </w:pPr>
      <w:r>
        <w:rPr>
          <w:rFonts w:ascii="Arial" w:cs="Arial" w:eastAsia="Arial" w:hAnsi="Arial"/>
          <w:sz w:val="20"/>
          <w:szCs w:val="20"/>
          <w:color w:val="auto"/>
        </w:rPr>
        <w:t>tariffs, duties, border adjustment taxes, trade restrictions, sanctions, uotas and voluntary export restrictions on imported merchandise</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changes to international trade agreements or to trade agreement enforcement practices</w:t>
      </w:r>
    </w:p>
    <w:p>
      <w:pPr>
        <w:spacing w:after="0" w:line="130" w:lineRule="exact"/>
        <w:rPr>
          <w:sz w:val="20"/>
          <w:szCs w:val="20"/>
          <w:color w:val="auto"/>
        </w:rPr>
      </w:pPr>
    </w:p>
    <w:p>
      <w:pPr>
        <w:ind w:left="720" w:right="100"/>
        <w:spacing w:after="0" w:line="283" w:lineRule="auto"/>
        <w:rPr>
          <w:sz w:val="20"/>
          <w:szCs w:val="20"/>
          <w:color w:val="auto"/>
        </w:rPr>
      </w:pPr>
      <w:r>
        <w:rPr>
          <w:rFonts w:ascii="Arial" w:cs="Arial" w:eastAsia="Arial" w:hAnsi="Arial"/>
          <w:sz w:val="20"/>
          <w:szCs w:val="20"/>
          <w:color w:val="auto"/>
        </w:rPr>
        <w:t>compliance with laws and regulations including labor, environmental, supply chain, international trade and other laws in relevant countries and those concerning ethical business practices</w:t>
      </w:r>
    </w:p>
    <w:p>
      <w:pPr>
        <w:spacing w:after="0" w:line="58" w:lineRule="exact"/>
        <w:rPr>
          <w:sz w:val="20"/>
          <w:szCs w:val="20"/>
          <w:color w:val="auto"/>
        </w:rPr>
      </w:pPr>
    </w:p>
    <w:p>
      <w:pPr>
        <w:ind w:left="720" w:right="180"/>
        <w:spacing w:after="0" w:line="375" w:lineRule="auto"/>
        <w:rPr>
          <w:sz w:val="20"/>
          <w:szCs w:val="20"/>
          <w:color w:val="auto"/>
        </w:rPr>
      </w:pPr>
      <w:r>
        <w:rPr>
          <w:rFonts w:ascii="Arial" w:cs="Arial" w:eastAsia="Arial" w:hAnsi="Arial"/>
          <w:sz w:val="20"/>
          <w:szCs w:val="20"/>
          <w:color w:val="auto"/>
        </w:rPr>
        <w:t>problems with third-party distribution and warehousing, logistics, transportation and other supply chain interruptions IT security or resiliency challenges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strikes, threats of strikes and other events affecting delivery</w:t>
      </w:r>
    </w:p>
    <w:p>
      <w:pPr>
        <w:spacing w:after="0" w:line="130" w:lineRule="exact"/>
        <w:rPr>
          <w:sz w:val="20"/>
          <w:szCs w:val="20"/>
          <w:color w:val="auto"/>
        </w:rPr>
      </w:pPr>
    </w:p>
    <w:p>
      <w:pPr>
        <w:ind w:left="720" w:right="3760"/>
        <w:spacing w:after="0" w:line="417" w:lineRule="auto"/>
        <w:rPr>
          <w:sz w:val="20"/>
          <w:szCs w:val="20"/>
          <w:color w:val="auto"/>
        </w:rPr>
      </w:pPr>
      <w:r>
        <w:rPr>
          <w:rFonts w:ascii="Arial" w:cs="Arial" w:eastAsia="Arial" w:hAnsi="Arial"/>
          <w:sz w:val="18"/>
          <w:szCs w:val="18"/>
          <w:color w:val="auto"/>
        </w:rPr>
        <w:t>consumer perceptions of the safety or uality of imported merchandise compliance with product laws and regulations of the destination country</w:t>
      </w:r>
    </w:p>
    <w:p>
      <w:pPr>
        <w:spacing w:after="0" w:line="1" w:lineRule="exact"/>
        <w:rPr>
          <w:sz w:val="20"/>
          <w:szCs w:val="20"/>
          <w:color w:val="auto"/>
        </w:rPr>
      </w:pPr>
    </w:p>
    <w:p>
      <w:pPr>
        <w:ind w:left="720" w:right="400"/>
        <w:spacing w:after="0" w:line="341" w:lineRule="auto"/>
        <w:rPr>
          <w:sz w:val="20"/>
          <w:szCs w:val="20"/>
          <w:color w:val="auto"/>
        </w:rPr>
      </w:pPr>
      <w:r>
        <w:rPr>
          <w:rFonts w:ascii="Arial" w:cs="Arial" w:eastAsia="Arial" w:hAnsi="Arial"/>
          <w:sz w:val="18"/>
          <w:szCs w:val="18"/>
          <w:color w:val="auto"/>
        </w:rPr>
        <w:t>product liability claims from customers or investigations, enforcement actions or penalties by or from government agencies relating to products that are recalled, defective or otherwise noncompliant or alleged to be harmful</w:t>
      </w:r>
    </w:p>
    <w:p>
      <w:pPr>
        <w:spacing w:after="0" w:line="12" w:lineRule="exact"/>
        <w:rPr>
          <w:sz w:val="20"/>
          <w:szCs w:val="20"/>
          <w:color w:val="auto"/>
        </w:rPr>
      </w:pPr>
    </w:p>
    <w:p>
      <w:pPr>
        <w:ind w:left="720" w:right="200"/>
        <w:spacing w:after="0" w:line="283" w:lineRule="auto"/>
        <w:rPr>
          <w:sz w:val="20"/>
          <w:szCs w:val="20"/>
          <w:color w:val="auto"/>
        </w:rPr>
      </w:pPr>
      <w:r>
        <w:rPr>
          <w:rFonts w:ascii="Arial" w:cs="Arial" w:eastAsia="Arial" w:hAnsi="Arial"/>
          <w:sz w:val="20"/>
          <w:szCs w:val="20"/>
          <w:color w:val="auto"/>
        </w:rPr>
        <w:t>pandemics and epidemics (such as the C ID-1 pandemic) affecting sourcing, including manufacturing, buying or delivery</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intellectual property enforcement and infringement issues</w:t>
      </w:r>
    </w:p>
    <w:p>
      <w:pPr>
        <w:spacing w:after="0" w:line="130" w:lineRule="exact"/>
        <w:rPr>
          <w:sz w:val="20"/>
          <w:szCs w:val="20"/>
          <w:color w:val="auto"/>
        </w:rPr>
      </w:pPr>
    </w:p>
    <w:p>
      <w:pPr>
        <w:ind w:left="720" w:right="140"/>
        <w:spacing w:after="0" w:line="266" w:lineRule="auto"/>
        <w:rPr>
          <w:sz w:val="20"/>
          <w:szCs w:val="20"/>
          <w:color w:val="auto"/>
        </w:rPr>
      </w:pPr>
      <w:r>
        <w:rPr>
          <w:rFonts w:ascii="Arial" w:cs="Arial" w:eastAsia="Arial" w:hAnsi="Arial"/>
          <w:sz w:val="20"/>
          <w:szCs w:val="20"/>
          <w:color w:val="auto"/>
        </w:rPr>
        <w:t>concerns about environmental impact where merchandise is produced or materials are sourced, including relating to greenhouse gas emissions, waste, water usage, deforestation, biodiversity and the impact of these activities on human health and local communities</w:t>
      </w:r>
    </w:p>
    <w:p>
      <w:pPr>
        <w:spacing w:after="0" w:line="75" w:lineRule="exact"/>
        <w:rPr>
          <w:sz w:val="20"/>
          <w:szCs w:val="20"/>
          <w:color w:val="auto"/>
        </w:rPr>
      </w:pPr>
    </w:p>
    <w:p>
      <w:pPr>
        <w:ind w:left="720" w:right="20"/>
        <w:spacing w:after="0" w:line="283" w:lineRule="auto"/>
        <w:rPr>
          <w:sz w:val="20"/>
          <w:szCs w:val="20"/>
          <w:color w:val="auto"/>
        </w:rPr>
      </w:pPr>
      <w:r>
        <w:rPr>
          <w:rFonts w:ascii="Arial" w:cs="Arial" w:eastAsia="Arial" w:hAnsi="Arial"/>
          <w:sz w:val="20"/>
          <w:szCs w:val="20"/>
          <w:color w:val="auto"/>
        </w:rPr>
        <w:t>concerns about human rights, working conditions and other labor rights and conditions where merchandise is produced or materials are sourced</w:t>
      </w:r>
    </w:p>
    <w:p>
      <w:pPr>
        <w:spacing w:after="0" w:line="58" w:lineRule="exact"/>
        <w:rPr>
          <w:sz w:val="20"/>
          <w:szCs w:val="20"/>
          <w:color w:val="auto"/>
        </w:rPr>
      </w:pPr>
    </w:p>
    <w:p>
      <w:pPr>
        <w:ind w:left="720" w:right="600"/>
        <w:spacing w:after="0" w:line="283" w:lineRule="auto"/>
        <w:rPr>
          <w:sz w:val="20"/>
          <w:szCs w:val="20"/>
          <w:color w:val="auto"/>
        </w:rPr>
      </w:pPr>
      <w:r>
        <w:rPr>
          <w:rFonts w:ascii="Arial" w:cs="Arial" w:eastAsia="Arial" w:hAnsi="Arial"/>
          <w:sz w:val="20"/>
          <w:szCs w:val="20"/>
          <w:color w:val="auto"/>
        </w:rPr>
        <w:t>currency exchange rates and financial or economic instability (including potential financial instability related to banking institutions) and</w:t>
      </w:r>
    </w:p>
    <w:p>
      <w:pPr>
        <w:spacing w:after="0" w:line="58" w:lineRule="exact"/>
        <w:rPr>
          <w:sz w:val="20"/>
          <w:szCs w:val="20"/>
          <w:color w:val="auto"/>
        </w:rPr>
      </w:pPr>
    </w:p>
    <w:p>
      <w:pPr>
        <w:ind w:left="720" w:right="160"/>
        <w:spacing w:after="0" w:line="283" w:lineRule="auto"/>
        <w:rPr>
          <w:sz w:val="20"/>
          <w:szCs w:val="20"/>
          <w:color w:val="auto"/>
        </w:rPr>
      </w:pPr>
      <w:r>
        <w:rPr>
          <w:rFonts w:ascii="Arial" w:cs="Arial" w:eastAsia="Arial" w:hAnsi="Arial"/>
          <w:sz w:val="20"/>
          <w:szCs w:val="20"/>
          <w:color w:val="auto"/>
        </w:rPr>
        <w:t>political, military or other disruptions in regions and or countries from, to or through which merchandise is imported, including in kraine and ussia, the iddle East and the ed Sea and surrounding waterways.</w:t>
      </w:r>
    </w:p>
    <w:p>
      <w:pPr>
        <w:sectPr>
          <w:pgSz w:w="12240" w:h="15841" w:orient="portrait"/>
          <w:cols w:equalWidth="0" w:num="1">
            <w:col w:w="10240"/>
          </w:cols>
          <w:pgMar w:left="1000" w:top="694"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2240" w:h="15841" w:orient="portrait"/>
          <w:cols w:equalWidth="0" w:num="1">
            <w:col w:w="10240"/>
          </w:cols>
          <w:pgMar w:left="1000" w:top="694" w:right="1001" w:bottom="0" w:gutter="0" w:footer="0" w:header="0"/>
          <w:type w:val="continuous"/>
        </w:sectPr>
      </w:pPr>
    </w:p>
    <w:bookmarkStart w:id="21" w:name="page22"/>
    <w:bookmarkEnd w:id="21"/>
    <w:p>
      <w:pPr>
        <w:spacing w:after="0" w:line="28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Further, we are, and expect we will continue to be, subject to an increasing number of regulations that re uire us to report, develop new policies and procedures for, and, in certain cases, work to mitigate, certain supply chain risks related to sourcing merchandise internationally. As with other regulations, these may result in increased operating costs and affect where, what and how we source and how we allocate what we buy. These and other factors relating to sourcing, international trade and imported merchandise could affect the availability and the price of our inventory and our operating costs. Furthermore, although we have implemented policies and procedures designed to facilitate compliance with laws and regulations relating to production of merchandise, international operations and importing merchandise, our Associates and our contractors, agents, vendors or other third parties with whom we do business or to whom we outsource or coordinate business operations, including retail operations, may nevertheless violate such laws and regulations or our policies, which could subject us to liability and could adversely affect our reputation, operations or operating results.</w:t>
      </w:r>
    </w:p>
    <w:p>
      <w:pPr>
        <w:sectPr>
          <w:pgSz w:w="12240" w:h="15841" w:orient="portrait"/>
          <w:cols w:equalWidth="0" w:num="1">
            <w:col w:w="10240"/>
          </w:cols>
          <w:pgMar w:left="1000" w:top="702" w:right="1001" w:bottom="0" w:gutter="0" w:footer="0" w:header="0"/>
        </w:sectPr>
      </w:pPr>
    </w:p>
    <w:p>
      <w:pPr>
        <w:spacing w:after="0" w:line="54" w:lineRule="exact"/>
        <w:rPr>
          <w:sz w:val="20"/>
          <w:szCs w:val="20"/>
          <w:color w:val="auto"/>
        </w:rPr>
      </w:pPr>
    </w:p>
    <w:p>
      <w:pPr>
        <w:spacing w:after="0" w:line="288" w:lineRule="auto"/>
        <w:rPr>
          <w:sz w:val="20"/>
          <w:szCs w:val="20"/>
          <w:color w:val="auto"/>
        </w:rPr>
      </w:pPr>
      <w:r>
        <w:rPr>
          <w:rFonts w:ascii="Arial" w:cs="Arial" w:eastAsia="Arial" w:hAnsi="Arial"/>
          <w:sz w:val="20"/>
          <w:szCs w:val="20"/>
          <w:i w:val="1"/>
          <w:iCs w:val="1"/>
          <w:color w:val="auto"/>
        </w:rPr>
        <w:t>Co ro ises of our c bersecurit result in aterial loss or liabilit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hanging="21"/>
        <w:spacing w:after="0" w:line="288" w:lineRule="auto"/>
        <w:rPr>
          <w:sz w:val="20"/>
          <w:szCs w:val="20"/>
          <w:color w:val="auto"/>
        </w:rPr>
      </w:pPr>
      <w:r>
        <w:rPr>
          <w:rFonts w:ascii="Arial" w:cs="Arial" w:eastAsia="Arial" w:hAnsi="Arial"/>
          <w:sz w:val="20"/>
          <w:szCs w:val="20"/>
          <w:i w:val="1"/>
          <w:iCs w:val="1"/>
          <w:color w:val="auto"/>
        </w:rPr>
        <w:t>disru tions in our</w:t>
      </w:r>
      <w:r>
        <w:rPr>
          <w:sz w:val="20"/>
          <w:szCs w:val="20"/>
          <w:color w:val="auto"/>
        </w:rPr>
        <w:t xml:space="preserve"> </w:t>
      </w:r>
      <w:r>
        <w:rPr>
          <w:rFonts w:ascii="Arial" w:cs="Arial" w:eastAsia="Arial" w:hAnsi="Arial"/>
          <w:sz w:val="20"/>
          <w:szCs w:val="20"/>
          <w:i w:val="1"/>
          <w:iCs w:val="1"/>
          <w:color w:val="auto"/>
        </w:rPr>
        <w:t>s ste s or failure to satisf t e ateriall i act our o erating results or ateriall ar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0" w:hanging="64"/>
        <w:spacing w:after="0" w:line="288" w:lineRule="auto"/>
        <w:rPr>
          <w:sz w:val="20"/>
          <w:szCs w:val="20"/>
          <w:color w:val="auto"/>
        </w:rPr>
      </w:pPr>
      <w:r>
        <w:rPr>
          <w:rFonts w:ascii="Arial" w:cs="Arial" w:eastAsia="Arial" w:hAnsi="Arial"/>
          <w:sz w:val="20"/>
          <w:szCs w:val="20"/>
          <w:i w:val="1"/>
          <w:iCs w:val="1"/>
          <w:color w:val="auto"/>
        </w:rPr>
        <w:t>needs of our business could our re utation</w:t>
      </w:r>
    </w:p>
    <w:p>
      <w:pPr>
        <w:spacing w:after="0" w:line="56" w:lineRule="exact"/>
        <w:rPr>
          <w:sz w:val="20"/>
          <w:szCs w:val="20"/>
          <w:color w:val="auto"/>
        </w:rPr>
      </w:pPr>
    </w:p>
    <w:p>
      <w:pPr>
        <w:sectPr>
          <w:pgSz w:w="12240" w:h="15841" w:orient="portrait"/>
          <w:cols w:equalWidth="0" w:num="3">
            <w:col w:w="2720" w:space="200"/>
            <w:col w:w="4500" w:space="220"/>
            <w:col w:w="2600"/>
          </w:cols>
          <w:pgMar w:left="1000" w:top="702" w:right="1001" w:bottom="0" w:gutter="0" w:footer="0" w:header="0"/>
          <w:type w:val="continuous"/>
        </w:sectPr>
      </w:pPr>
    </w:p>
    <w:p>
      <w:pPr>
        <w:ind w:right="100" w:firstLine="145"/>
        <w:spacing w:after="0" w:line="284" w:lineRule="auto"/>
        <w:rPr>
          <w:sz w:val="20"/>
          <w:szCs w:val="20"/>
          <w:color w:val="auto"/>
        </w:rPr>
      </w:pPr>
      <w:r>
        <w:rPr>
          <w:rFonts w:ascii="Arial" w:cs="Arial" w:eastAsia="Arial" w:hAnsi="Arial"/>
          <w:sz w:val="18"/>
          <w:szCs w:val="18"/>
          <w:color w:val="auto"/>
        </w:rPr>
        <w:t>ur business depends on our IT systems, which collect and process information of customers, Associates and other persons, as well as information of our business and of our suppliers, service providers and other third parties. e rely heavily on IT systems, including those operated and maintained by our suppliers, service providers and other third parties, to manage key aspects of our business, including planning purchasing sales, including point-of-sale transaction processing and e-commerce supply chain management logistics inventory management human resources financial management communications information security and legal and regulatory compliance. ur ongoing operations and successful growth are dependent on these systems and re uire us to accurately anticipate our current and future IT needs. This includes successfully developing, implementing and maintaining appropriate systems adopting new technologies (including artificial intelligence or other emerging technologies) appropriately and in a timely manner and maintaining effective disaster recovery and resiliency plans for such systems. ur ongoing operations and successful growth are dependent on our doing these things effectively. e also are dependent on the ongoing integrity, security and consistent operation of these systems, including related back-up systems.</w:t>
      </w:r>
    </w:p>
    <w:p>
      <w:pPr>
        <w:spacing w:after="0" w:line="66"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As is common in the retail industry, our IT systems, as well as those of our suppliers, service providers and other third parties with whom we do business directly or indirectly, are targeted by attempts to access or obtain personal or other sensitive information, attempts at monetary theft and attempts to disrupt business. These attempts include use of malware, ransomware, phishing, vishing, deepfakes, social engineering, denial-of-service attacks, exploitation of system vulnerabilities or misconfigurations, Associate or third-party malfeasance, digital and physical payment card skimmers, account takeovers and other forms of cyber-attacks. These attempts continue to increase in sophistication (including through the use of artificial intelligence), heightening the risk of compromise or disruption. hile some of these attempts have resulted in cybersecurity incidents, the unauthori ed intrusion into our network discovered late in 2006 is the only such cybersecurity incident to date that has been material to the results of our operations. ur IT systems and those of our suppliers, service providers and other third parties with whom we do business directly or indirectly also may be damaged or disrupted, or personal or sensitive information compromised, from a number of other causes, including power outages, system failures, catastrophic events, or Associate or third-party error. Such damage, disruption or compromise could materially impair our ability to operate our business or otherwise result in material impacts on our operating results.</w:t>
      </w:r>
    </w:p>
    <w:p>
      <w:pPr>
        <w:spacing w:after="0" w:line="67"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Changes in the business landscape and the impact of remote working by our Associates, service providers and other third parties have the potential to increase the likelihood of system damage or disruption and increase the risk of a cybersecurity compromise. The si e, geographic dispersion, and turnover rate of our workforce increase the risk that our controls may not be implemented consistently.</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20"/>
          <w:szCs w:val="20"/>
          <w:color w:val="auto"/>
        </w:rPr>
        <w:t>Additionally, there continues to be a heightened risk of cybersecurity incidents as a result of geopolitical events outside of our control. These factors have led to the need for additional mitigation strategies and investments across our IT workforce, capabilities and processes.</w:t>
      </w:r>
    </w:p>
    <w:p>
      <w:pPr>
        <w:spacing w:after="0" w:line="75"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In addition, the global regulatory environment surrounding information security and privacy is increasingly demanding, and cybersecurity compromises and disruptions in our IT systems could result in regulatory enforcement actions, class actions, contract liability or other forms of material legal liability. Any successful compromise or disruption of our IT systems, or other compromise of the information that we collect or is collected on our behalf from our customers, Associates or other persons, could result in material reputational harm and impact our customers’ willingness to shop in our stores or online, and could affect our suppliers’, service providers’, or other third parties’ willingness to do business with us.</w:t>
      </w:r>
    </w:p>
    <w:p>
      <w:pPr>
        <w:spacing w:after="0" w:line="59" w:lineRule="exact"/>
        <w:rPr>
          <w:sz w:val="20"/>
          <w:szCs w:val="20"/>
          <w:color w:val="auto"/>
        </w:rPr>
      </w:pPr>
    </w:p>
    <w:p>
      <w:pPr>
        <w:ind w:right="160" w:firstLine="189"/>
        <w:spacing w:after="0" w:line="257" w:lineRule="auto"/>
        <w:rPr>
          <w:sz w:val="20"/>
          <w:szCs w:val="20"/>
          <w:color w:val="auto"/>
        </w:rPr>
      </w:pPr>
      <w:r>
        <w:rPr>
          <w:rFonts w:ascii="Arial" w:cs="Arial" w:eastAsia="Arial" w:hAnsi="Arial"/>
          <w:sz w:val="20"/>
          <w:szCs w:val="20"/>
          <w:color w:val="auto"/>
        </w:rPr>
        <w:t>e maintain policies, procedures and controls designed to reduce the risks of cybersecurity compromises and IT failures or disruptions, but these controls vary in maturity across the business and may fail to operate as intended or be circumvented by bad actors. Additionally, the logging policies, procedures and controls that we have implemented to facilitate the investigation of potential cybersecurity compromises or disruptions may be insufficient to fully investigate and determine the root cause of each such event. These policies, procedures and controls also re uire costly and ongoing investment in technologies, hiring, training and compliance.</w:t>
      </w:r>
    </w:p>
    <w:p>
      <w:pPr>
        <w:sectPr>
          <w:pgSz w:w="12240" w:h="15841" w:orient="portrait"/>
          <w:cols w:equalWidth="0" w:num="1">
            <w:col w:w="10240"/>
          </w:cols>
          <w:pgMar w:left="1000" w:top="702" w:right="1001" w:bottom="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2240" w:h="15841" w:orient="portrait"/>
          <w:cols w:equalWidth="0" w:num="1">
            <w:col w:w="10240"/>
          </w:cols>
          <w:pgMar w:left="1000" w:top="702" w:right="1001" w:bottom="0" w:gutter="0" w:footer="0" w:header="0"/>
          <w:type w:val="continuous"/>
        </w:sectPr>
      </w:pPr>
    </w:p>
    <w:bookmarkStart w:id="22" w:name="page23"/>
    <w:bookmarkEnd w:id="22"/>
    <w:p>
      <w:pPr>
        <w:ind w:right="160"/>
        <w:spacing w:after="0" w:line="29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There is also a risk of material business disruption, liability and reputational damage associated with ongoing actions intended to update, enhance, modify or replace our systems and infrastructure, including from not accurately capturing and maintaining data, not efficiently testing and implementing changes, not reali ing the expected benefit of the change, not effectively managing the potential disruption of the actions and diversion of internal teams’ attention as the changes are implemented.</w:t>
      </w:r>
    </w:p>
    <w:p>
      <w:pPr>
        <w:spacing w:after="0" w:line="40"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i w:val="1"/>
          <w:iCs w:val="1"/>
          <w:color w:val="auto"/>
        </w:rPr>
        <w:t>Our results and rofitabilit could be ad ersel affected b increased labor costs including age ension ealt and ot er costs or ot er c allenges fro our large or force</w:t>
      </w:r>
    </w:p>
    <w:p>
      <w:pPr>
        <w:spacing w:after="0" w:line="56" w:lineRule="exact"/>
        <w:rPr>
          <w:sz w:val="20"/>
          <w:szCs w:val="20"/>
          <w:color w:val="auto"/>
        </w:rPr>
      </w:pPr>
    </w:p>
    <w:p>
      <w:pPr>
        <w:ind w:right="20" w:firstLine="145"/>
        <w:spacing w:after="0" w:line="283" w:lineRule="auto"/>
        <w:rPr>
          <w:sz w:val="20"/>
          <w:szCs w:val="20"/>
          <w:color w:val="auto"/>
        </w:rPr>
      </w:pPr>
      <w:r>
        <w:rPr>
          <w:rFonts w:ascii="Arial" w:cs="Arial" w:eastAsia="Arial" w:hAnsi="Arial"/>
          <w:sz w:val="18"/>
          <w:szCs w:val="18"/>
          <w:color w:val="auto"/>
        </w:rPr>
        <w:t>ur Associates are key to supporting our business and operations effectively, and we expect that our operating expenses will continue to reflect increasing labor costs. e have a large and disparate workforce, and our ability to meet our labor needs and manage labor costs is subject to various external factors such as minimum wage laws and other pay or benefit mandates market pressures, including prevailing wage rates and benefit levels, unemployment levels, competition for labor within and beyond the retail industry, and labor market dynamics related to automation and technology economic conditions, including inflation changing demographics and workforce trends, including with respect to unioni ation and collective bargaining workplace health and safety costs interest rate changes actuarial assumptions and methods the costs of providing and managing retirement, health and other employee benefits governmental programs and a dynamic regulatory and policy environment, including with respect to health care, immigration, labor, employment, pension and other employee benefits, and taxation. Any of these factors could increase, and in the past have increased, our labor costs. These factors could also increase the labor or other costs of our service providers, or result in labor disruptions affecting their operations, which could be passed on to us or increase our legal exposure or costs. Conversely, failing to offer competitive wages or benefits, or to manage our workforce effectively, could adversely affect our ability to attract or retain appropriate talent sufficient to meet the needs of our business, which could cause our customer service or business execution to suffer, and adversely affect our financial performance.</w:t>
      </w:r>
    </w:p>
    <w:p>
      <w:pPr>
        <w:spacing w:after="0" w:line="6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Additionally, many Associates in our distribution network in the nited States and Canada are members of unions, and other Associates are members of works councils in Europe. e are subject to the risk of labor actions or disruptions of various kinds, including work stoppages and decreased flexibility as a result of labor law limitations. e are subject to risks and potential material expenses associated with multiemployer plans, including from pension plan underfunding, benefit cuts, increased contribution or funding re uirements, changes in plan terms, withdrawal liability, increased premium costs, conditions imposed under any governmental assistance programs or the insolvency of other participating employers or governmental insurance programs. ther portions of our workforce that are not covered by collective bargaining agreements, including, for example,</w:t>
      </w:r>
    </w:p>
    <w:p>
      <w:pPr>
        <w:spacing w:after="0" w:line="2"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Associates who work in our .S. stores, who make up the largest portion of our workforce, may become unioni ed, which may subject us to additional re uirements, expectations, actions or expense.</w:t>
      </w:r>
    </w:p>
    <w:p>
      <w:pPr>
        <w:spacing w:after="0" w:line="49" w:lineRule="exact"/>
        <w:rPr>
          <w:sz w:val="20"/>
          <w:szCs w:val="20"/>
          <w:color w:val="auto"/>
        </w:rPr>
      </w:pPr>
    </w:p>
    <w:p>
      <w:pPr>
        <w:ind w:right="780" w:firstLine="133"/>
        <w:spacing w:after="0" w:line="288" w:lineRule="auto"/>
        <w:rPr>
          <w:sz w:val="20"/>
          <w:szCs w:val="20"/>
          <w:color w:val="auto"/>
        </w:rPr>
      </w:pPr>
      <w:r>
        <w:rPr>
          <w:rFonts w:ascii="Arial" w:cs="Arial" w:eastAsia="Arial" w:hAnsi="Arial"/>
          <w:sz w:val="20"/>
          <w:szCs w:val="20"/>
          <w:i w:val="1"/>
          <w:iCs w:val="1"/>
          <w:color w:val="auto"/>
        </w:rPr>
        <w:t>ailure to e lo ualified ssociates in a ro riate nu bers and to retain e ssociates and anage ent could ad ersel affect our erfor ance</w:t>
      </w:r>
    </w:p>
    <w:p>
      <w:pPr>
        <w:spacing w:after="0" w:line="56" w:lineRule="exact"/>
        <w:rPr>
          <w:sz w:val="20"/>
          <w:szCs w:val="20"/>
          <w:color w:val="auto"/>
        </w:rPr>
      </w:pPr>
    </w:p>
    <w:p>
      <w:pPr>
        <w:ind w:right="20" w:firstLine="189"/>
        <w:spacing w:after="0" w:line="268" w:lineRule="auto"/>
        <w:rPr>
          <w:sz w:val="20"/>
          <w:szCs w:val="20"/>
          <w:color w:val="auto"/>
        </w:rPr>
      </w:pPr>
      <w:r>
        <w:rPr>
          <w:rFonts w:ascii="Arial" w:cs="Arial" w:eastAsia="Arial" w:hAnsi="Arial"/>
          <w:sz w:val="19"/>
          <w:szCs w:val="19"/>
          <w:color w:val="auto"/>
        </w:rPr>
        <w:t>e need to employ a large number of capable, engaged Associates for our stores and distribution centers and for other areas of our business. e must constantly recruit new Associates to fill entry level and part-time positions, which have high rates of turnover, and at certain times must hire sufficient numbers of seasonal talent. The availability and skill of Associates may differ across markets in which we do business and in new markets we enter, and we may be unable to meet or manage our labor needs effectively. In addition, we have faced and may continue to face additional challenges in recruiting or retaining sufficient talent due to shifts in the labor market, wage pressures and competition, flexible scheduling needs and health and safety concerns, among other factors. e have faced and may continue to face challenges in engaging, overseeing and training Associates in on-site, remote or hybrid roles. e also have faced and may continue to face potential challenges relating to Associates’ willingness or ability to staff our stores and distribution centers or otherwise continue employment as a result of economic pressures, health and safety concerns or otherwise.</w:t>
      </w:r>
    </w:p>
    <w:p>
      <w:pPr>
        <w:spacing w:after="0" w:line="80" w:lineRule="exact"/>
        <w:rPr>
          <w:sz w:val="20"/>
          <w:szCs w:val="20"/>
          <w:color w:val="auto"/>
        </w:rPr>
      </w:pPr>
    </w:p>
    <w:p>
      <w:pPr>
        <w:ind w:firstLine="145"/>
        <w:spacing w:after="0" w:line="286" w:lineRule="auto"/>
        <w:rPr>
          <w:sz w:val="20"/>
          <w:szCs w:val="20"/>
          <w:color w:val="auto"/>
        </w:rPr>
      </w:pPr>
      <w:r>
        <w:rPr>
          <w:rFonts w:ascii="Arial" w:cs="Arial" w:eastAsia="Arial" w:hAnsi="Arial"/>
          <w:sz w:val="18"/>
          <w:szCs w:val="18"/>
          <w:color w:val="auto"/>
        </w:rPr>
        <w:t>ur performance also depends on recruiting, hiring, developing, training and retaining talented Associates in key areas such as buying, IT functions, and other corporate areas. Similar to other retailers, we face challenges in securing and retaining sufficient talent in management and other key areas for many reasons, including competition for talent in the retail industry, from other industries and in various geographic markets. In addition, because of the distinctive nature of our off-price model, we must provide significant internal training and development and successfully manage transitions for key Associate roles across the Company, including within our buying organi ation. Failure to effectively attract ualified individuals, train them on our business model, support their development, engage them in our business, and retain them in sufficient numbers and at appropriate levels of the organi ation, and implement appropriate succession plans could disrupt our operations, impair our ability to execute our business model, limit our growth, and negatively impact our business and financial results.</w:t>
      </w:r>
    </w:p>
    <w:p>
      <w:pPr>
        <w:sectPr>
          <w:pgSz w:w="12240" w:h="15841" w:orient="portrait"/>
          <w:cols w:equalWidth="0" w:num="1">
            <w:col w:w="10240"/>
          </w:cols>
          <w:pgMar w:left="1000" w:top="70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2240" w:h="15841" w:orient="portrait"/>
          <w:cols w:equalWidth="0" w:num="1">
            <w:col w:w="10240"/>
          </w:cols>
          <w:pgMar w:left="1000" w:top="702" w:right="1001" w:bottom="0" w:gutter="0" w:footer="0" w:header="0"/>
          <w:type w:val="continuous"/>
        </w:sectPr>
      </w:pPr>
    </w:p>
    <w:bookmarkStart w:id="23" w:name="page24"/>
    <w:bookmarkEnd w:id="23"/>
    <w:p>
      <w:pPr>
        <w:ind w:right="140" w:firstLine="135"/>
        <w:spacing w:after="0" w:line="288" w:lineRule="auto"/>
        <w:tabs>
          <w:tab w:leader="none" w:pos="40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age to our cor orate re utation or an of our retail banners re utation could ad ersel affect our sales and o erating results</w:t>
      </w:r>
    </w:p>
    <w:p>
      <w:pPr>
        <w:spacing w:after="0" w:line="56" w:lineRule="exact"/>
        <w:rPr>
          <w:sz w:val="20"/>
          <w:szCs w:val="20"/>
          <w:color w:val="auto"/>
        </w:rPr>
      </w:pPr>
    </w:p>
    <w:p>
      <w:pPr>
        <w:ind w:firstLine="145"/>
        <w:spacing w:after="0" w:line="278" w:lineRule="auto"/>
        <w:rPr>
          <w:sz w:val="20"/>
          <w:szCs w:val="20"/>
          <w:color w:val="auto"/>
        </w:rPr>
      </w:pPr>
      <w:r>
        <w:rPr>
          <w:rFonts w:ascii="Arial" w:cs="Arial" w:eastAsia="Arial" w:hAnsi="Arial"/>
          <w:sz w:val="18"/>
          <w:szCs w:val="18"/>
          <w:color w:val="auto"/>
        </w:rPr>
        <w:t>ur customer relationships and our reputation are based, in part, on perceptions of subjective ualities. Incidents that erode trust or confidence in our company could adversely affect our reputation and thereby impact our business, particularly if the incidents result in rapid or significant adverse publicity, protest, litigation, boycotts, governmental in uiry or other stakeholder responses. This could include incidents that involve the company our policies and practices our retail banners our executives and other Associates our board of directors senior leadership transitions, including those involving our Chief Executive</w:t>
      </w:r>
    </w:p>
    <w:p>
      <w:pPr>
        <w:spacing w:after="0" w:line="1" w:lineRule="exact"/>
        <w:rPr>
          <w:sz w:val="20"/>
          <w:szCs w:val="20"/>
          <w:color w:val="auto"/>
        </w:rPr>
      </w:pPr>
    </w:p>
    <w:p>
      <w:pPr>
        <w:ind w:firstLine="145"/>
        <w:spacing w:after="0" w:line="284" w:lineRule="auto"/>
        <w:rPr>
          <w:sz w:val="20"/>
          <w:szCs w:val="20"/>
          <w:color w:val="auto"/>
        </w:rPr>
      </w:pPr>
      <w:r>
        <w:rPr>
          <w:rFonts w:ascii="Arial" w:cs="Arial" w:eastAsia="Arial" w:hAnsi="Arial"/>
          <w:sz w:val="18"/>
          <w:szCs w:val="18"/>
          <w:color w:val="auto"/>
        </w:rPr>
        <w:t>fficer or other key executives how we source merchandise our third-party providers, including those providing retail operations on our behalf our vendors and others within our supply chain the merchandise and brands that we sell, including our licensed or owned brands our investments the regions where we have operations or investments our marketing partners celebrities, content creators, social media influencers, or other individuals viewed as representing us or our banners (whether or not we partner with them) that may draw attention to our retail banners product recalls incidents involving workplace safety, harassment or discrimination claims, or labor activity in uiries or other communications from governmental agencies about our business or practices and our industry more generally. Information about such incidents that is publici ed through traditional or digital social media platforms or other forums that facilitate rapid, broad communications to an audience of consumers and other interested persons, may adversely affect our reputation and brand, even if the information is inaccurate, incomplete, or unverified. Similarly, challenges or reactions to action (or inaction), or perceived action (or inaction), by our company to sensitive or polari ing topics, crises, or political matters, or on issues related to corporate responsibility or environmental, social and governance matters, or any perceived lack of transparency about such matters, could harm our reputation.</w:t>
      </w:r>
    </w:p>
    <w:p>
      <w:pPr>
        <w:spacing w:after="0" w:line="6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kind of reputational damage could occur locally or globally and could impact our company or our individual retail banners. Damage to the reputation of our company and our banners could, among other things, result in declines in stock price declines in customer loyalty and sales affect our vendor relationships and or business development opportunities limit our ability to attract and retain appropriate talent sufficient to meet the needs of our business result in demonstrations, protests, or altercations at or about our stores divert the attention and resources of management, including to respond to in uiries or additional regulatory scrutiny and otherwise adversely affect our financial results.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80" w:type="dxa"/>
            <w:vAlign w:val="bottom"/>
            <w:gridSpan w:val="4"/>
          </w:tcPr>
          <w:p>
            <w:pPr>
              <w:spacing w:after="0"/>
              <w:rPr>
                <w:sz w:val="20"/>
                <w:szCs w:val="20"/>
                <w:color w:val="auto"/>
              </w:rPr>
            </w:pPr>
            <w:r>
              <w:rPr>
                <w:rFonts w:ascii="Arial" w:cs="Arial" w:eastAsia="Arial" w:hAnsi="Arial"/>
                <w:sz w:val="20"/>
                <w:szCs w:val="20"/>
                <w:i w:val="1"/>
                <w:iCs w:val="1"/>
                <w:color w:val="auto"/>
                <w:w w:val="91"/>
              </w:rPr>
              <w:t>Our business is sub ect to c</w:t>
            </w:r>
          </w:p>
        </w:tc>
        <w:tc>
          <w:tcPr>
            <w:tcW w:w="1020" w:type="dxa"/>
            <w:vAlign w:val="bottom"/>
          </w:tcPr>
          <w:p>
            <w:pPr>
              <w:ind w:left="60"/>
              <w:spacing w:after="0"/>
              <w:rPr>
                <w:sz w:val="20"/>
                <w:szCs w:val="20"/>
                <w:color w:val="auto"/>
              </w:rPr>
            </w:pPr>
            <w:r>
              <w:rPr>
                <w:rFonts w:ascii="Arial" w:cs="Arial" w:eastAsia="Arial" w:hAnsi="Arial"/>
                <w:sz w:val="20"/>
                <w:szCs w:val="20"/>
                <w:i w:val="1"/>
                <w:iCs w:val="1"/>
                <w:color w:val="auto"/>
              </w:rPr>
              <w:t>anging cor</w:t>
            </w:r>
          </w:p>
        </w:tc>
        <w:tc>
          <w:tcPr>
            <w:tcW w:w="1500" w:type="dxa"/>
            <w:vAlign w:val="bottom"/>
          </w:tcPr>
          <w:p>
            <w:pPr>
              <w:jc w:val="center"/>
              <w:spacing w:after="0"/>
              <w:rPr>
                <w:sz w:val="20"/>
                <w:szCs w:val="20"/>
                <w:color w:val="auto"/>
              </w:rPr>
            </w:pPr>
            <w:r>
              <w:rPr>
                <w:rFonts w:ascii="Arial" w:cs="Arial" w:eastAsia="Arial" w:hAnsi="Arial"/>
                <w:sz w:val="20"/>
                <w:szCs w:val="20"/>
                <w:i w:val="1"/>
                <w:iCs w:val="1"/>
                <w:color w:val="auto"/>
                <w:w w:val="99"/>
              </w:rPr>
              <w:t>orate co   liance</w:t>
            </w:r>
          </w:p>
        </w:tc>
        <w:tc>
          <w:tcPr>
            <w:tcW w:w="1380" w:type="dxa"/>
            <w:vAlign w:val="bottom"/>
          </w:tcPr>
          <w:p>
            <w:pPr>
              <w:ind w:left="40"/>
              <w:spacing w:after="0"/>
              <w:rPr>
                <w:sz w:val="20"/>
                <w:szCs w:val="20"/>
                <w:color w:val="auto"/>
              </w:rPr>
            </w:pPr>
            <w:r>
              <w:rPr>
                <w:rFonts w:ascii="Arial" w:cs="Arial" w:eastAsia="Arial" w:hAnsi="Arial"/>
                <w:sz w:val="20"/>
                <w:szCs w:val="20"/>
                <w:i w:val="1"/>
                <w:iCs w:val="1"/>
                <w:color w:val="auto"/>
                <w:w w:val="94"/>
              </w:rPr>
              <w:t>go ernance and</w:t>
            </w:r>
          </w:p>
        </w:tc>
        <w:tc>
          <w:tcPr>
            <w:tcW w:w="3060" w:type="dxa"/>
            <w:vAlign w:val="bottom"/>
            <w:gridSpan w:val="3"/>
          </w:tcPr>
          <w:p>
            <w:pPr>
              <w:ind w:left="140"/>
              <w:spacing w:after="0"/>
              <w:rPr>
                <w:sz w:val="20"/>
                <w:szCs w:val="20"/>
                <w:color w:val="auto"/>
              </w:rPr>
            </w:pPr>
            <w:r>
              <w:rPr>
                <w:rFonts w:ascii="Arial" w:cs="Arial" w:eastAsia="Arial" w:hAnsi="Arial"/>
                <w:sz w:val="20"/>
                <w:szCs w:val="20"/>
                <w:i w:val="1"/>
                <w:iCs w:val="1"/>
                <w:color w:val="auto"/>
                <w:w w:val="98"/>
              </w:rPr>
              <w:t>ublic disclosure regulations and e</w:t>
            </w:r>
          </w:p>
        </w:tc>
        <w:tc>
          <w:tcPr>
            <w:tcW w:w="960" w:type="dxa"/>
            <w:vAlign w:val="bottom"/>
          </w:tcPr>
          <w:p>
            <w:pPr>
              <w:ind w:left="40"/>
              <w:spacing w:after="0"/>
              <w:rPr>
                <w:sz w:val="20"/>
                <w:szCs w:val="20"/>
                <w:color w:val="auto"/>
              </w:rPr>
            </w:pPr>
            <w:r>
              <w:rPr>
                <w:rFonts w:ascii="Arial" w:cs="Arial" w:eastAsia="Arial" w:hAnsi="Arial"/>
                <w:sz w:val="20"/>
                <w:szCs w:val="20"/>
                <w:i w:val="1"/>
                <w:iCs w:val="1"/>
                <w:color w:val="auto"/>
              </w:rPr>
              <w:t>ectations</w:t>
            </w:r>
          </w:p>
        </w:tc>
      </w:tr>
      <w:tr>
        <w:trPr>
          <w:trHeight w:val="240"/>
        </w:trPr>
        <w:tc>
          <w:tcPr>
            <w:tcW w:w="960" w:type="dxa"/>
            <w:vAlign w:val="bottom"/>
          </w:tcPr>
          <w:p>
            <w:pPr>
              <w:spacing w:after="0"/>
              <w:rPr>
                <w:sz w:val="20"/>
                <w:szCs w:val="20"/>
                <w:color w:val="auto"/>
              </w:rPr>
            </w:pPr>
            <w:r>
              <w:rPr>
                <w:rFonts w:ascii="Arial" w:cs="Arial" w:eastAsia="Arial" w:hAnsi="Arial"/>
                <w:sz w:val="20"/>
                <w:szCs w:val="20"/>
                <w:i w:val="1"/>
                <w:iCs w:val="1"/>
                <w:color w:val="auto"/>
              </w:rPr>
              <w:t>including</w:t>
            </w:r>
          </w:p>
        </w:tc>
        <w:tc>
          <w:tcPr>
            <w:tcW w:w="540" w:type="dxa"/>
            <w:vAlign w:val="bottom"/>
          </w:tcPr>
          <w:p>
            <w:pPr>
              <w:spacing w:after="0"/>
              <w:rPr>
                <w:sz w:val="20"/>
                <w:szCs w:val="20"/>
                <w:color w:val="auto"/>
              </w:rPr>
            </w:pPr>
            <w:r>
              <w:rPr>
                <w:rFonts w:ascii="Arial" w:cs="Arial" w:eastAsia="Arial" w:hAnsi="Arial"/>
                <w:sz w:val="20"/>
                <w:szCs w:val="20"/>
                <w:i w:val="1"/>
                <w:iCs w:val="1"/>
                <w:color w:val="auto"/>
              </w:rPr>
              <w:t>it  res</w:t>
            </w:r>
          </w:p>
        </w:tc>
        <w:tc>
          <w:tcPr>
            <w:tcW w:w="660" w:type="dxa"/>
            <w:vAlign w:val="bottom"/>
          </w:tcPr>
          <w:p>
            <w:pPr>
              <w:ind w:left="80"/>
              <w:spacing w:after="0"/>
              <w:rPr>
                <w:sz w:val="20"/>
                <w:szCs w:val="20"/>
                <w:color w:val="auto"/>
              </w:rPr>
            </w:pPr>
            <w:r>
              <w:rPr>
                <w:rFonts w:ascii="Arial" w:cs="Arial" w:eastAsia="Arial" w:hAnsi="Arial"/>
                <w:sz w:val="20"/>
                <w:szCs w:val="20"/>
                <w:i w:val="1"/>
                <w:iCs w:val="1"/>
                <w:color w:val="auto"/>
              </w:rPr>
              <w:t>ect to</w:t>
            </w:r>
          </w:p>
        </w:tc>
        <w:tc>
          <w:tcPr>
            <w:tcW w:w="4020" w:type="dxa"/>
            <w:vAlign w:val="bottom"/>
            <w:gridSpan w:val="4"/>
          </w:tcPr>
          <w:p>
            <w:pPr>
              <w:jc w:val="center"/>
              <w:ind w:right="140"/>
              <w:spacing w:after="0"/>
              <w:rPr>
                <w:sz w:val="20"/>
                <w:szCs w:val="20"/>
                <w:color w:val="auto"/>
              </w:rPr>
            </w:pPr>
            <w:r>
              <w:rPr>
                <w:rFonts w:ascii="Arial" w:cs="Arial" w:eastAsia="Arial" w:hAnsi="Arial"/>
                <w:sz w:val="20"/>
                <w:szCs w:val="20"/>
                <w:i w:val="1"/>
                <w:iCs w:val="1"/>
                <w:color w:val="auto"/>
                <w:w w:val="97"/>
              </w:rPr>
              <w:t>atters relating to en iron  ental sustainabilit</w:t>
            </w:r>
          </w:p>
        </w:tc>
        <w:tc>
          <w:tcPr>
            <w:tcW w:w="800" w:type="dxa"/>
            <w:vAlign w:val="bottom"/>
          </w:tcPr>
          <w:p>
            <w:pPr>
              <w:spacing w:after="0"/>
              <w:rPr>
                <w:sz w:val="20"/>
                <w:szCs w:val="20"/>
                <w:color w:val="auto"/>
              </w:rPr>
            </w:pPr>
            <w:r>
              <w:rPr>
                <w:rFonts w:ascii="Arial" w:cs="Arial" w:eastAsia="Arial" w:hAnsi="Arial"/>
                <w:sz w:val="20"/>
                <w:szCs w:val="20"/>
                <w:i w:val="1"/>
                <w:iCs w:val="1"/>
                <w:color w:val="auto"/>
              </w:rPr>
              <w:t>u  an ca</w:t>
            </w:r>
          </w:p>
        </w:tc>
        <w:tc>
          <w:tcPr>
            <w:tcW w:w="1080" w:type="dxa"/>
            <w:vAlign w:val="bottom"/>
          </w:tcPr>
          <w:p>
            <w:pPr>
              <w:ind w:left="20"/>
              <w:spacing w:after="0"/>
              <w:rPr>
                <w:sz w:val="20"/>
                <w:szCs w:val="20"/>
                <w:color w:val="auto"/>
              </w:rPr>
            </w:pPr>
            <w:r>
              <w:rPr>
                <w:rFonts w:ascii="Arial" w:cs="Arial" w:eastAsia="Arial" w:hAnsi="Arial"/>
                <w:sz w:val="20"/>
                <w:szCs w:val="20"/>
                <w:i w:val="1"/>
                <w:iCs w:val="1"/>
                <w:color w:val="auto"/>
              </w:rPr>
              <w:t>ital  anage</w:t>
            </w:r>
          </w:p>
        </w:tc>
        <w:tc>
          <w:tcPr>
            <w:tcW w:w="1180" w:type="dxa"/>
            <w:vAlign w:val="bottom"/>
          </w:tcPr>
          <w:p>
            <w:pPr>
              <w:ind w:left="60"/>
              <w:spacing w:after="0"/>
              <w:rPr>
                <w:sz w:val="20"/>
                <w:szCs w:val="20"/>
                <w:color w:val="auto"/>
              </w:rPr>
            </w:pPr>
            <w:r>
              <w:rPr>
                <w:rFonts w:ascii="Arial" w:cs="Arial" w:eastAsia="Arial" w:hAnsi="Arial"/>
                <w:sz w:val="20"/>
                <w:szCs w:val="20"/>
                <w:i w:val="1"/>
                <w:iCs w:val="1"/>
                <w:color w:val="auto"/>
                <w:w w:val="98"/>
              </w:rPr>
              <w:t>ent social co</w:t>
            </w:r>
          </w:p>
        </w:tc>
        <w:tc>
          <w:tcPr>
            <w:tcW w:w="960" w:type="dxa"/>
            <w:vAlign w:val="bottom"/>
          </w:tcPr>
          <w:p>
            <w:pPr>
              <w:ind w:left="220"/>
              <w:spacing w:after="0"/>
              <w:rPr>
                <w:sz w:val="20"/>
                <w:szCs w:val="20"/>
                <w:color w:val="auto"/>
              </w:rPr>
            </w:pPr>
            <w:r>
              <w:rPr>
                <w:rFonts w:ascii="Arial" w:cs="Arial" w:eastAsia="Arial" w:hAnsi="Arial"/>
                <w:sz w:val="20"/>
                <w:szCs w:val="20"/>
                <w:i w:val="1"/>
                <w:iCs w:val="1"/>
                <w:color w:val="auto"/>
              </w:rPr>
              <w:t>liance</w:t>
            </w:r>
          </w:p>
        </w:tc>
      </w:tr>
      <w:tr>
        <w:trPr>
          <w:trHeight w:val="240"/>
        </w:trPr>
        <w:tc>
          <w:tcPr>
            <w:tcW w:w="1500" w:type="dxa"/>
            <w:vAlign w:val="bottom"/>
            <w:gridSpan w:val="2"/>
          </w:tcPr>
          <w:p>
            <w:pPr>
              <w:spacing w:after="0"/>
              <w:rPr>
                <w:sz w:val="20"/>
                <w:szCs w:val="20"/>
                <w:color w:val="auto"/>
              </w:rPr>
            </w:pPr>
            <w:r>
              <w:rPr>
                <w:rFonts w:ascii="Arial" w:cs="Arial" w:eastAsia="Arial" w:hAnsi="Arial"/>
                <w:sz w:val="20"/>
                <w:szCs w:val="20"/>
                <w:i w:val="1"/>
                <w:iCs w:val="1"/>
                <w:color w:val="auto"/>
              </w:rPr>
              <w:t>and go ernance</w:t>
            </w:r>
          </w:p>
        </w:tc>
        <w:tc>
          <w:tcPr>
            <w:tcW w:w="780" w:type="dxa"/>
            <w:vAlign w:val="bottom"/>
            <w:gridSpan w:val="2"/>
          </w:tcPr>
          <w:p>
            <w:pPr>
              <w:ind w:left="40"/>
              <w:spacing w:after="0"/>
              <w:rPr>
                <w:sz w:val="20"/>
                <w:szCs w:val="20"/>
                <w:color w:val="auto"/>
              </w:rPr>
            </w:pPr>
            <w:r>
              <w:rPr>
                <w:rFonts w:ascii="Arial" w:cs="Arial" w:eastAsia="Arial" w:hAnsi="Arial"/>
                <w:sz w:val="20"/>
                <w:szCs w:val="20"/>
                <w:i w:val="1"/>
                <w:iCs w:val="1"/>
                <w:color w:val="auto"/>
              </w:rPr>
              <w:t>ailure to</w:t>
            </w:r>
          </w:p>
        </w:tc>
        <w:tc>
          <w:tcPr>
            <w:tcW w:w="1020" w:type="dxa"/>
            <w:vAlign w:val="bottom"/>
          </w:tcPr>
          <w:p>
            <w:pPr>
              <w:ind w:left="160"/>
              <w:spacing w:after="0"/>
              <w:rPr>
                <w:sz w:val="20"/>
                <w:szCs w:val="20"/>
                <w:color w:val="auto"/>
              </w:rPr>
            </w:pPr>
            <w:r>
              <w:rPr>
                <w:rFonts w:ascii="Arial" w:cs="Arial" w:eastAsia="Arial" w:hAnsi="Arial"/>
                <w:sz w:val="20"/>
                <w:szCs w:val="20"/>
                <w:i w:val="1"/>
                <w:iCs w:val="1"/>
                <w:color w:val="auto"/>
                <w:w w:val="96"/>
              </w:rPr>
              <w:t>eet suc  e</w:t>
            </w:r>
          </w:p>
        </w:tc>
        <w:tc>
          <w:tcPr>
            <w:tcW w:w="1500" w:type="dxa"/>
            <w:vAlign w:val="bottom"/>
          </w:tcPr>
          <w:p>
            <w:pPr>
              <w:jc w:val="center"/>
              <w:spacing w:after="0"/>
              <w:rPr>
                <w:sz w:val="20"/>
                <w:szCs w:val="20"/>
                <w:color w:val="auto"/>
              </w:rPr>
            </w:pPr>
            <w:r>
              <w:rPr>
                <w:rFonts w:ascii="Arial" w:cs="Arial" w:eastAsia="Arial" w:hAnsi="Arial"/>
                <w:sz w:val="20"/>
                <w:szCs w:val="20"/>
                <w:i w:val="1"/>
                <w:iCs w:val="1"/>
                <w:color w:val="auto"/>
                <w:w w:val="92"/>
              </w:rPr>
              <w:t>ectations or co</w:t>
            </w:r>
          </w:p>
        </w:tc>
        <w:tc>
          <w:tcPr>
            <w:tcW w:w="2180" w:type="dxa"/>
            <w:vAlign w:val="bottom"/>
            <w:gridSpan w:val="2"/>
          </w:tcPr>
          <w:p>
            <w:pPr>
              <w:ind w:left="100"/>
              <w:spacing w:after="0"/>
              <w:rPr>
                <w:sz w:val="20"/>
                <w:szCs w:val="20"/>
                <w:color w:val="auto"/>
              </w:rPr>
            </w:pPr>
            <w:r>
              <w:rPr>
                <w:rFonts w:ascii="Arial" w:cs="Arial" w:eastAsia="Arial" w:hAnsi="Arial"/>
                <w:sz w:val="20"/>
                <w:szCs w:val="20"/>
                <w:i w:val="1"/>
                <w:iCs w:val="1"/>
                <w:color w:val="auto"/>
              </w:rPr>
              <w:t>l   it  regulations could</w:t>
            </w:r>
          </w:p>
        </w:tc>
        <w:tc>
          <w:tcPr>
            <w:tcW w:w="1080" w:type="dxa"/>
            <w:vAlign w:val="bottom"/>
          </w:tcPr>
          <w:p>
            <w:pPr>
              <w:ind w:left="160"/>
              <w:spacing w:after="0"/>
              <w:rPr>
                <w:sz w:val="20"/>
                <w:szCs w:val="20"/>
                <w:color w:val="auto"/>
              </w:rPr>
            </w:pPr>
            <w:r>
              <w:rPr>
                <w:rFonts w:ascii="Arial" w:cs="Arial" w:eastAsia="Arial" w:hAnsi="Arial"/>
                <w:sz w:val="20"/>
                <w:szCs w:val="20"/>
                <w:i w:val="1"/>
                <w:iCs w:val="1"/>
                <w:color w:val="auto"/>
              </w:rPr>
              <w:t>ateriall  i</w:t>
            </w:r>
          </w:p>
        </w:tc>
        <w:tc>
          <w:tcPr>
            <w:tcW w:w="2140" w:type="dxa"/>
            <w:vAlign w:val="bottom"/>
            <w:gridSpan w:val="2"/>
          </w:tcPr>
          <w:p>
            <w:pPr>
              <w:ind w:left="120"/>
              <w:spacing w:after="0"/>
              <w:rPr>
                <w:sz w:val="20"/>
                <w:szCs w:val="20"/>
                <w:color w:val="auto"/>
              </w:rPr>
            </w:pPr>
            <w:r>
              <w:rPr>
                <w:rFonts w:ascii="Arial" w:cs="Arial" w:eastAsia="Arial" w:hAnsi="Arial"/>
                <w:sz w:val="20"/>
                <w:szCs w:val="20"/>
                <w:i w:val="1"/>
                <w:iCs w:val="1"/>
                <w:color w:val="auto"/>
                <w:w w:val="95"/>
              </w:rPr>
              <w:t>act our o erating results</w:t>
            </w:r>
          </w:p>
        </w:tc>
      </w:tr>
      <w:tr>
        <w:trPr>
          <w:trHeight w:val="266"/>
        </w:trPr>
        <w:tc>
          <w:tcPr>
            <w:tcW w:w="960" w:type="dxa"/>
            <w:vAlign w:val="bottom"/>
          </w:tcPr>
          <w:p>
            <w:pPr>
              <w:spacing w:after="0"/>
              <w:rPr>
                <w:sz w:val="20"/>
                <w:szCs w:val="20"/>
                <w:color w:val="auto"/>
              </w:rPr>
            </w:pPr>
            <w:r>
              <w:rPr>
                <w:rFonts w:ascii="Arial" w:cs="Arial" w:eastAsia="Arial" w:hAnsi="Arial"/>
                <w:sz w:val="20"/>
                <w:szCs w:val="20"/>
                <w:i w:val="1"/>
                <w:iCs w:val="1"/>
                <w:color w:val="auto"/>
              </w:rPr>
              <w:t>or  ateriall</w:t>
            </w:r>
          </w:p>
        </w:tc>
        <w:tc>
          <w:tcPr>
            <w:tcW w:w="540" w:type="dxa"/>
            <w:vAlign w:val="bottom"/>
          </w:tcPr>
          <w:p>
            <w:pPr>
              <w:ind w:left="260"/>
              <w:spacing w:after="0"/>
              <w:rPr>
                <w:sz w:val="20"/>
                <w:szCs w:val="20"/>
                <w:color w:val="auto"/>
              </w:rPr>
            </w:pPr>
            <w:r>
              <w:rPr>
                <w:rFonts w:ascii="Arial" w:cs="Arial" w:eastAsia="Arial" w:hAnsi="Arial"/>
                <w:sz w:val="20"/>
                <w:szCs w:val="20"/>
                <w:i w:val="1"/>
                <w:iCs w:val="1"/>
                <w:color w:val="auto"/>
              </w:rPr>
              <w:t>ar</w:t>
            </w:r>
          </w:p>
        </w:tc>
        <w:tc>
          <w:tcPr>
            <w:tcW w:w="660" w:type="dxa"/>
            <w:vAlign w:val="bottom"/>
          </w:tcPr>
          <w:p>
            <w:pPr>
              <w:ind w:left="100"/>
              <w:spacing w:after="0"/>
              <w:rPr>
                <w:sz w:val="20"/>
                <w:szCs w:val="20"/>
                <w:color w:val="auto"/>
              </w:rPr>
            </w:pPr>
            <w:r>
              <w:rPr>
                <w:rFonts w:ascii="Arial" w:cs="Arial" w:eastAsia="Arial" w:hAnsi="Arial"/>
                <w:sz w:val="20"/>
                <w:szCs w:val="20"/>
                <w:i w:val="1"/>
                <w:iCs w:val="1"/>
                <w:color w:val="auto"/>
              </w:rPr>
              <w:t>our re</w:t>
            </w:r>
          </w:p>
        </w:tc>
        <w:tc>
          <w:tcPr>
            <w:tcW w:w="1140" w:type="dxa"/>
            <w:vAlign w:val="bottom"/>
            <w:gridSpan w:val="2"/>
          </w:tcPr>
          <w:p>
            <w:pPr>
              <w:ind w:left="40"/>
              <w:spacing w:after="0"/>
              <w:rPr>
                <w:sz w:val="20"/>
                <w:szCs w:val="20"/>
                <w:color w:val="auto"/>
              </w:rPr>
            </w:pPr>
            <w:r>
              <w:rPr>
                <w:rFonts w:ascii="Arial" w:cs="Arial" w:eastAsia="Arial" w:hAnsi="Arial"/>
                <w:sz w:val="20"/>
                <w:szCs w:val="20"/>
                <w:i w:val="1"/>
                <w:iCs w:val="1"/>
                <w:color w:val="auto"/>
              </w:rPr>
              <w:t>utation</w:t>
            </w: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102" w:lineRule="exact"/>
        <w:rPr>
          <w:sz w:val="20"/>
          <w:szCs w:val="20"/>
          <w:color w:val="auto"/>
        </w:rPr>
      </w:pPr>
    </w:p>
    <w:p>
      <w:pPr>
        <w:ind w:right="20" w:firstLine="145"/>
        <w:spacing w:after="0" w:line="281" w:lineRule="auto"/>
        <w:rPr>
          <w:sz w:val="20"/>
          <w:szCs w:val="20"/>
          <w:color w:val="auto"/>
        </w:rPr>
      </w:pPr>
      <w:r>
        <w:rPr>
          <w:rFonts w:ascii="Arial" w:cs="Arial" w:eastAsia="Arial" w:hAnsi="Arial"/>
          <w:sz w:val="18"/>
          <w:szCs w:val="18"/>
          <w:color w:val="auto"/>
        </w:rPr>
        <w:t>arious stakeholders, including certain advocacy groups, investors, customers, governmental officials and Associates, have increasingly focused on, and, from time to time, communicated with the Company about, topics such as social impact, environmental sustainability, human capital management, human rights and other related matters in a variety of ways that are not necessarily consistent. From time to time, we have announced certain initiatives related to our corporate responsibility efforts, which we have focused under four pillars: workplace, environmental sustainability, communities and responsible sourcing (which includes social compliance in our supply chain). These initiatives may be considered to be overreaching by some stakeholders and inade uate by other stakeholders. e could fail or be perceived to fail or fall short in our pursuit of such initiatives, in going too far in pursuing priorities perceived as outside of our business mission, or in accurately and comprehensively reporting our progress on such initiatives and any related goals and commitments. If our practices or disclosures in these areas do not meet investor or other stakeholder expectations and standards, including related to climate change, environmental sustainability, human capital management, inclusion and diversity, supply chain management and human rights, or do not meet related regulations and expectations, our reputation may be impacted negatively, and we may be subject to litigation risk, regulatory enforcement and or other governmental scrutiny or action, which could materially impact our operating results. In addition, we could be critici ed for the scope, pace or prioriti ation of our programs, initiatives or goals, or perceived as not acting responsibly in connection with these matters or otherwise, and that evaluation may be based on factors unrelated to the impact of these matters on our business, financial or otherwise. ur failure, or perceived failure, with these programs or initiatives or more generally to manage reputational threats and meet shifting and, in certain cases, inconsistent, stakeholder expectations or consumer preferences could negatively impact our brand, image, reputation, credibility, Associate recruitment and retention and the willingness of our customers and suppliers to do business with us.</w:t>
      </w:r>
    </w:p>
    <w:p>
      <w:pPr>
        <w:spacing w:after="0" w:line="67" w:lineRule="exact"/>
        <w:rPr>
          <w:sz w:val="20"/>
          <w:szCs w:val="20"/>
          <w:color w:val="auto"/>
        </w:rPr>
      </w:pPr>
    </w:p>
    <w:p>
      <w:pPr>
        <w:ind w:left="120"/>
        <w:spacing w:after="0"/>
        <w:tabs>
          <w:tab w:leader="none" w:pos="960" w:val="left"/>
          <w:tab w:leader="none" w:pos="4960" w:val="left"/>
          <w:tab w:leader="none" w:pos="8560" w:val="left"/>
        </w:tabs>
        <w:rPr>
          <w:sz w:val="20"/>
          <w:szCs w:val="20"/>
          <w:color w:val="auto"/>
        </w:rPr>
      </w:pPr>
      <w:r>
        <w:rPr>
          <w:rFonts w:ascii="Arial" w:cs="Arial" w:eastAsia="Arial" w:hAnsi="Arial"/>
          <w:sz w:val="20"/>
          <w:szCs w:val="20"/>
          <w:i w:val="1"/>
          <w:iCs w:val="1"/>
          <w:color w:val="auto"/>
        </w:rPr>
        <w:t>urt er e</w:t>
        <w:tab/>
        <w:t>ansion of our international o erations could e</w:t>
        <w:tab/>
        <w:t>ose us to ris s in erent in o erating in ne</w:t>
      </w:r>
      <w:r>
        <w:rPr>
          <w:sz w:val="20"/>
          <w:szCs w:val="20"/>
          <w:color w:val="auto"/>
        </w:rPr>
        <w:tab/>
      </w:r>
      <w:r>
        <w:rPr>
          <w:rFonts w:ascii="Arial" w:cs="Arial" w:eastAsia="Arial" w:hAnsi="Arial"/>
          <w:sz w:val="19"/>
          <w:szCs w:val="19"/>
          <w:i w:val="1"/>
          <w:iCs w:val="1"/>
          <w:color w:val="auto"/>
        </w:rPr>
        <w:t>countries</w:t>
      </w:r>
    </w:p>
    <w:p>
      <w:pPr>
        <w:spacing w:after="0" w:line="138" w:lineRule="exact"/>
        <w:rPr>
          <w:sz w:val="20"/>
          <w:szCs w:val="20"/>
          <w:color w:val="auto"/>
        </w:rPr>
      </w:pPr>
    </w:p>
    <w:p>
      <w:pPr>
        <w:ind w:right="220" w:firstLine="189"/>
        <w:spacing w:after="0" w:line="278" w:lineRule="auto"/>
        <w:rPr>
          <w:sz w:val="20"/>
          <w:szCs w:val="20"/>
          <w:color w:val="auto"/>
        </w:rPr>
      </w:pPr>
      <w:r>
        <w:rPr>
          <w:rFonts w:ascii="Arial" w:cs="Arial" w:eastAsia="Arial" w:hAnsi="Arial"/>
          <w:sz w:val="18"/>
          <w:szCs w:val="18"/>
          <w:color w:val="auto"/>
        </w:rPr>
        <w:t>e have a significant retail presence in several countries in Europe and in Canada and Australia. e also operate buying and other offices around the world and have made investments in certain geographies, including our entry into a joint venture in</w:t>
      </w:r>
    </w:p>
    <w:p>
      <w:pPr>
        <w:ind w:right="120" w:firstLine="178"/>
        <w:spacing w:after="0" w:line="299" w:lineRule="auto"/>
        <w:rPr>
          <w:sz w:val="20"/>
          <w:szCs w:val="20"/>
          <w:color w:val="auto"/>
        </w:rPr>
      </w:pPr>
      <w:r>
        <w:rPr>
          <w:rFonts w:ascii="Arial" w:cs="Arial" w:eastAsia="Arial" w:hAnsi="Arial"/>
          <w:sz w:val="18"/>
          <w:szCs w:val="18"/>
          <w:color w:val="auto"/>
        </w:rPr>
        <w:t>exico and our minority e uity investment in the iddle East. e generally look for opportunities to continue to expand our operations globally, such as our announced expansion into Spain. It can be costly and complex to establish, develop and maintain international operations, to identify appropriate store locations, to hire, train and integrate Associates, and to promote business in new international jurisdictions, which may differ significantly from other countries in which we currently operate.</w:t>
      </w:r>
    </w:p>
    <w:p>
      <w:pPr>
        <w:sectPr>
          <w:pgSz w:w="12240" w:h="15841" w:orient="portrait"/>
          <w:cols w:equalWidth="0" w:num="1">
            <w:col w:w="10240"/>
          </w:cols>
          <w:pgMar w:left="1000" w:top="694"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2240" w:h="15841" w:orient="portrait"/>
          <w:cols w:equalWidth="0" w:num="1">
            <w:col w:w="10240"/>
          </w:cols>
          <w:pgMar w:left="1000" w:top="694" w:right="1001" w:bottom="0" w:gutter="0" w:footer="0" w:header="0"/>
          <w:type w:val="continuous"/>
        </w:sectPr>
      </w:pPr>
    </w:p>
    <w:bookmarkStart w:id="24" w:name="page25"/>
    <w:bookmarkEnd w:id="24"/>
    <w:p>
      <w:pPr>
        <w:ind w:right="20"/>
        <w:spacing w:after="0" w:line="28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As with our current operations, risks are inherent in opening and developing operations in, or making investments in, new countries, including risks related to compliance with the .S. Foreign Corrupt Practices Act and the . . Bribery Act. Additional risks include, among others, understanding the local retail climate and trends, local customs and cultures, local labor markets, seasonal differences, business practices and competitive conditions complying with relevant laws, rules and regulations developing an appropriate infrastructure identifying suitable partners for local operations and for integration with our global operations and effectively communicating and implementing company policies and practices in new, possibly remote, jurisdictions. Financial, regulatory and other risks are also associated with international operations, including currency exchange fluctuations potentially adverse tax conse uences limitations on the repatriation and investment of funds outside of the country where earned trade regulations other compliance re uirements the risk of policy or regulatory changes, including those that could affect sourcing and allocation and or add significant compliance and disclosure costs the risk of political, economic and civil instability and labor unrest and uncertainties regarding interpretation, application and enforceability of laws and agreements. Any of these risks could adversely impact our operations, profitability or li uidity.</w:t>
      </w:r>
    </w:p>
    <w:p>
      <w:pPr>
        <w:spacing w:after="0" w:line="53" w:lineRule="exact"/>
        <w:rPr>
          <w:sz w:val="20"/>
          <w:szCs w:val="20"/>
          <w:color w:val="auto"/>
        </w:rPr>
      </w:pPr>
    </w:p>
    <w:p>
      <w:pPr>
        <w:ind w:right="180" w:firstLine="133"/>
        <w:spacing w:after="0" w:line="265" w:lineRule="auto"/>
        <w:rPr>
          <w:sz w:val="20"/>
          <w:szCs w:val="20"/>
          <w:color w:val="auto"/>
        </w:rPr>
      </w:pPr>
      <w:r>
        <w:rPr>
          <w:rFonts w:ascii="Arial" w:cs="Arial" w:eastAsia="Arial" w:hAnsi="Arial"/>
          <w:sz w:val="20"/>
          <w:szCs w:val="20"/>
          <w:i w:val="1"/>
          <w:iCs w:val="1"/>
          <w:color w:val="auto"/>
        </w:rPr>
        <w:t xml:space="preserve">ailure to eet ar et e ectations for our financial erfor ance could ad ersel affect t e ar et rice and olatilit of our stoc </w:t>
      </w:r>
      <w:r>
        <w:rPr>
          <w:rFonts w:ascii="Arial" w:cs="Arial" w:eastAsia="Arial" w:hAnsi="Arial"/>
          <w:sz w:val="20"/>
          <w:szCs w:val="20"/>
          <w:color w:val="auto"/>
        </w:rPr>
        <w:t>.</w:t>
      </w:r>
    </w:p>
    <w:p>
      <w:pPr>
        <w:spacing w:after="0" w:line="354" w:lineRule="exact"/>
        <w:rPr>
          <w:sz w:val="20"/>
          <w:szCs w:val="20"/>
          <w:color w:val="auto"/>
        </w:rPr>
      </w:pPr>
    </w:p>
    <w:p>
      <w:pPr>
        <w:ind w:right="60" w:firstLine="145"/>
        <w:spacing w:after="0" w:line="278" w:lineRule="auto"/>
        <w:rPr>
          <w:sz w:val="20"/>
          <w:szCs w:val="20"/>
          <w:color w:val="auto"/>
        </w:rPr>
      </w:pPr>
      <w:r>
        <w:rPr>
          <w:rFonts w:ascii="Arial" w:cs="Arial" w:eastAsia="Arial" w:hAnsi="Arial"/>
          <w:sz w:val="18"/>
          <w:szCs w:val="18"/>
          <w:color w:val="auto"/>
        </w:rPr>
        <w:t>ur operating results have fluctuated from uarter to uarter, sometimes significantly, at points in the past and may do so again in the future. If we fail to increase our results over prior periods, to achieve our projected results or to meet the expectations of securities analysts or investors, our stock price may decline (as it has at times in the past), and the decrease in the stock price may be disproportionate to the shortfall in our financial performance. esults may be affected by various factors, including those described in these risk factors. In addition, we maintain a forecasting process that seeks to plan sales and align expenses.</w:t>
      </w:r>
    </w:p>
    <w:p>
      <w:pPr>
        <w:spacing w:after="0" w:line="1" w:lineRule="exact"/>
        <w:rPr>
          <w:sz w:val="20"/>
          <w:szCs w:val="20"/>
          <w:color w:val="auto"/>
        </w:rPr>
      </w:pPr>
    </w:p>
    <w:p>
      <w:pPr>
        <w:ind w:right="40" w:firstLine="145"/>
        <w:spacing w:after="0" w:line="257" w:lineRule="auto"/>
        <w:rPr>
          <w:sz w:val="20"/>
          <w:szCs w:val="20"/>
          <w:color w:val="auto"/>
        </w:rPr>
      </w:pPr>
      <w:r>
        <w:rPr>
          <w:rFonts w:ascii="Arial" w:cs="Arial" w:eastAsia="Arial" w:hAnsi="Arial"/>
          <w:sz w:val="20"/>
          <w:szCs w:val="20"/>
          <w:color w:val="auto"/>
        </w:rPr>
        <w:t>owever, if we do not control costs or appropriately adjust costs to actual results, or if actual results differ from our forecast, our financial performance could be adversely affected. In addition, if we suspend our buyback program, which we have done in the past, or if we have an active buyback program and are repurchasing shares but do not repurchase the number of shares we contemplated pursuant to our financial plans at the rate or in the timing we planned, our earnings per share may be adversely affected. Similarly, if we reduce or suspend our dividend distributions, as we did for part of fiscal 2021, our stock price may be adversely affected.</w:t>
      </w:r>
    </w:p>
    <w:p>
      <w:pPr>
        <w:spacing w:after="0" w:line="74" w:lineRule="exact"/>
        <w:rPr>
          <w:sz w:val="20"/>
          <w:szCs w:val="20"/>
          <w:color w:val="auto"/>
        </w:rPr>
      </w:pPr>
    </w:p>
    <w:p>
      <w:pPr>
        <w:ind w:right="580" w:firstLine="133"/>
        <w:spacing w:after="0" w:line="288" w:lineRule="auto"/>
        <w:rPr>
          <w:sz w:val="20"/>
          <w:szCs w:val="20"/>
          <w:color w:val="auto"/>
        </w:rPr>
      </w:pPr>
      <w:r>
        <w:rPr>
          <w:rFonts w:ascii="Arial" w:cs="Arial" w:eastAsia="Arial" w:hAnsi="Arial"/>
          <w:sz w:val="20"/>
          <w:szCs w:val="20"/>
          <w:i w:val="1"/>
          <w:iCs w:val="1"/>
          <w:color w:val="auto"/>
        </w:rPr>
        <w:t>ailure to rotect our in entor or ot er assets fro loss and t eft and situations resulting in loss or t eft a i act custo er and ssociate safet as ell as our financial results</w:t>
      </w:r>
    </w:p>
    <w:p>
      <w:pPr>
        <w:spacing w:after="0" w:line="56" w:lineRule="exact"/>
        <w:rPr>
          <w:sz w:val="20"/>
          <w:szCs w:val="20"/>
          <w:color w:val="auto"/>
        </w:rPr>
      </w:pPr>
    </w:p>
    <w:p>
      <w:pPr>
        <w:ind w:firstLine="133"/>
        <w:spacing w:after="0" w:line="288" w:lineRule="auto"/>
        <w:rPr>
          <w:sz w:val="20"/>
          <w:szCs w:val="20"/>
          <w:color w:val="auto"/>
        </w:rPr>
      </w:pPr>
      <w:r>
        <w:rPr>
          <w:rFonts w:ascii="Arial" w:cs="Arial" w:eastAsia="Arial" w:hAnsi="Arial"/>
          <w:sz w:val="18"/>
          <w:szCs w:val="18"/>
          <w:color w:val="auto"/>
        </w:rPr>
        <w:t>isk of loss or theft of assets, including inventory shrinkage, is inherent in the retail business. Loss may be caused by error or misconduct of Associates, customers, vendors or other third parties, including through organi ed retail crime and professional theft, and may be further impacted by macroeconomic factors, including the enforcement environment, as well as increased inventory levels in our stores. e may not be able to effectively determine the cause or extent of the loss. ur inability to prevent and or minimi e or reduce the loss or theft of assets effectively, or to predict and accrue for the impact of those losses accurately, has adversely affected our financial performance in the past and could do so again. In addition, our ability to provide a safe environment in our stores may be impacted in the course of a theft or other behavioral situations that periodically arise.</w:t>
      </w:r>
    </w:p>
    <w:p>
      <w:pPr>
        <w:spacing w:after="0" w:line="53" w:lineRule="exact"/>
        <w:rPr>
          <w:sz w:val="20"/>
          <w:szCs w:val="20"/>
          <w:color w:val="auto"/>
        </w:rPr>
      </w:pPr>
    </w:p>
    <w:p>
      <w:pPr>
        <w:ind w:right="440" w:firstLine="178"/>
        <w:spacing w:after="0" w:line="288" w:lineRule="auto"/>
        <w:rPr>
          <w:sz w:val="20"/>
          <w:szCs w:val="20"/>
          <w:color w:val="auto"/>
        </w:rPr>
      </w:pPr>
      <w:r>
        <w:rPr>
          <w:rFonts w:ascii="Arial" w:cs="Arial" w:eastAsia="Arial" w:hAnsi="Arial"/>
          <w:sz w:val="20"/>
          <w:szCs w:val="20"/>
          <w:i w:val="1"/>
          <w:iCs w:val="1"/>
          <w:color w:val="auto"/>
        </w:rPr>
        <w:t>e de end u on strong cas flo s fro our o erations to su l ca ital to fund our o erations antici ated gro t an stoc re urc ases and di idends and interest and debt re a ent</w:t>
      </w:r>
    </w:p>
    <w:p>
      <w:pPr>
        <w:spacing w:after="0" w:line="56" w:lineRule="exact"/>
        <w:rPr>
          <w:sz w:val="20"/>
          <w:szCs w:val="20"/>
          <w:color w:val="auto"/>
        </w:rPr>
      </w:pPr>
    </w:p>
    <w:p>
      <w:pPr>
        <w:ind w:right="60" w:firstLine="145"/>
        <w:spacing w:after="0" w:line="294" w:lineRule="auto"/>
        <w:rPr>
          <w:sz w:val="20"/>
          <w:szCs w:val="20"/>
          <w:color w:val="auto"/>
        </w:rPr>
      </w:pPr>
      <w:r>
        <w:rPr>
          <w:rFonts w:ascii="Arial" w:cs="Arial" w:eastAsia="Arial" w:hAnsi="Arial"/>
          <w:sz w:val="18"/>
          <w:szCs w:val="18"/>
          <w:color w:val="auto"/>
        </w:rPr>
        <w:t>ur business depends upon our operations continuing to generate strong cash flow to supply capital to support our general operating activities, to fund our anticipated growth and any return of cash to stockholders through our stock repurchase programs and dividends and to pay our interest and make debt repayments. If we are unable to generate sufficient cash flows or to repatriate cash from our international operations in a manner that is cost effective, our growth plans, capital expenditures, operating expenses and financial performance, including our earnings per share, could be adversely affected.</w:t>
      </w:r>
    </w:p>
    <w:p>
      <w:pPr>
        <w:sectPr>
          <w:pgSz w:w="12240" w:h="15841" w:orient="portrait"/>
          <w:cols w:equalWidth="0" w:num="1">
            <w:col w:w="10240"/>
          </w:cols>
          <w:pgMar w:left="1000" w:top="70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2240" w:h="15841" w:orient="portrait"/>
          <w:cols w:equalWidth="0" w:num="1">
            <w:col w:w="10240"/>
          </w:cols>
          <w:pgMar w:left="1000" w:top="702" w:right="1001" w:bottom="0" w:gutter="0" w:footer="0" w:header="0"/>
          <w:type w:val="continuous"/>
        </w:sectPr>
      </w:pPr>
    </w:p>
    <w:bookmarkStart w:id="25" w:name="page26"/>
    <w:bookmarkEnd w:id="25"/>
    <w:p>
      <w:pPr>
        <w:ind w:right="80" w:firstLine="178"/>
        <w:spacing w:after="0" w:line="288" w:lineRule="auto"/>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ergers ac uisitions or in est ents in ne businesses or di esting closing or consolidating an of our current businesses sub ects our business to additional ris s and could ad ersel affect our results</w:t>
      </w:r>
    </w:p>
    <w:p>
      <w:pPr>
        <w:spacing w:after="0" w:line="56" w:lineRule="exact"/>
        <w:rPr>
          <w:sz w:val="20"/>
          <w:szCs w:val="20"/>
          <w:color w:val="auto"/>
        </w:rPr>
      </w:pPr>
    </w:p>
    <w:p>
      <w:pPr>
        <w:ind w:right="40" w:firstLine="189"/>
        <w:spacing w:after="0" w:line="278" w:lineRule="auto"/>
        <w:rPr>
          <w:sz w:val="20"/>
          <w:szCs w:val="20"/>
          <w:color w:val="auto"/>
        </w:rPr>
      </w:pPr>
      <w:r>
        <w:rPr>
          <w:rFonts w:ascii="Arial" w:cs="Arial" w:eastAsia="Arial" w:hAnsi="Arial"/>
          <w:sz w:val="18"/>
          <w:szCs w:val="18"/>
          <w:color w:val="auto"/>
        </w:rPr>
        <w:t>e have in the past and may again ac uire new businesses invest in or enter into joint ventures with other businesses (as we did during fiscal 2025 with our minority e uity investment in the iddle East and in our joint venture in exico) develop new businesses internally (as with omesense, our second .S. home store concept) launch or expand e-commerce platforms (as we have done with tkmaxx.de and tkmaxx.at in Europe) and divest (as we did in fiscal 2023 with our minority interest in an off-price retailer of apparel and home fashions operating stores throughout ussia), close, or consolidate businesses. Failure to</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execute on mergers, ac uisitions, investments, divestitures, closings and consolidations in an effective or satisfactory manner, including due to circumstances outside our control, could adversely affect our future results of operations and financial condition. Ac uisition, investment or divestiture activities may divert attention of management away from operating our existing businesses. e may not effectively evaluate target companies, investments or investment partners or assess the risks, benefits and costs of buying, investing in or closing businesses, or the integration or attendant risks of ac uired businesses or investments, all of which can be difficult, time-consuming and dilutive. These activities may not meet our performance and other expectations and may expose us to unexpected or greater-than-expected costs, liabilities and risks, including from, for example, changes in law, market conditions, economic conditions, the retail industry, political conditions, human capital matters, inaccurate assumptions, or the negligence or malfeasance of our partners or other third parties. In addition, in connection with most of our prior ac uisitions, we recorded intangible assets and goodwill and the value of the tradenames, and may similarly do so in the future in connection with other ac uisitions. If we are unable to reali e the anticipated benefits from ac uisitions or investments, we may be re uired to impair some or all of the goodwill associated with an ac uisition or some or all of the investment, which would adversely impact our results of operations and balance sheet, such as with an impairment charge. For example, in connection with the conflict between ussia and kraine, we divested our minority ownership interest in an off-price retailer that operates stores in ussia and did not recover the full value of our investment. Divestitures, closings and consolidations could involve risks such as significant costs and obligations of closure, including exposure on leases, owned real estate and other contractual, employment, pension and severance obligations and potential liabilities that may arise under law as a result of the disposition or as a result of the credit risk of an ac uirer.</w:t>
      </w:r>
    </w:p>
    <w:p>
      <w:pPr>
        <w:spacing w:after="0" w:line="70" w:lineRule="exact"/>
        <w:rPr>
          <w:sz w:val="20"/>
          <w:szCs w:val="20"/>
          <w:color w:val="auto"/>
        </w:rPr>
      </w:pPr>
    </w:p>
    <w:p>
      <w:pPr>
        <w:spacing w:after="0"/>
        <w:tabs>
          <w:tab w:leader="none" w:pos="3460" w:val="left"/>
          <w:tab w:leader="none" w:pos="3760" w:val="left"/>
        </w:tabs>
        <w:rPr>
          <w:sz w:val="20"/>
          <w:szCs w:val="20"/>
          <w:color w:val="auto"/>
        </w:rPr>
      </w:pPr>
      <w:r>
        <w:rPr>
          <w:rFonts w:ascii="Arial" w:cs="Arial" w:eastAsia="Arial" w:hAnsi="Arial"/>
          <w:sz w:val="20"/>
          <w:szCs w:val="20"/>
          <w:i w:val="1"/>
          <w:iCs w:val="1"/>
          <w:color w:val="auto"/>
        </w:rPr>
        <w:t>Our large nu  ber of real estate leases</w:t>
      </w:r>
      <w:r>
        <w:rPr>
          <w:sz w:val="20"/>
          <w:szCs w:val="20"/>
          <w:color w:val="auto"/>
        </w:rPr>
        <w:tab/>
      </w:r>
      <w:r>
        <w:rPr>
          <w:rFonts w:ascii="Arial" w:cs="Arial" w:eastAsia="Arial" w:hAnsi="Arial"/>
          <w:sz w:val="20"/>
          <w:szCs w:val="20"/>
          <w:i w:val="1"/>
          <w:iCs w:val="1"/>
          <w:color w:val="auto"/>
        </w:rPr>
        <w:t>ic</w:t>
      </w:r>
      <w:r>
        <w:rPr>
          <w:sz w:val="20"/>
          <w:szCs w:val="20"/>
          <w:color w:val="auto"/>
        </w:rPr>
        <w:tab/>
      </w:r>
      <w:r>
        <w:rPr>
          <w:rFonts w:ascii="Arial" w:cs="Arial" w:eastAsia="Arial" w:hAnsi="Arial"/>
          <w:sz w:val="19"/>
          <w:szCs w:val="19"/>
          <w:i w:val="1"/>
          <w:iCs w:val="1"/>
          <w:color w:val="auto"/>
        </w:rPr>
        <w:t>generall  obligate us for long  eriods sub ect us to  otential financial ris</w:t>
      </w:r>
    </w:p>
    <w:p>
      <w:pPr>
        <w:spacing w:after="0" w:line="138" w:lineRule="exact"/>
        <w:rPr>
          <w:sz w:val="20"/>
          <w:szCs w:val="20"/>
          <w:color w:val="auto"/>
        </w:rPr>
      </w:pPr>
    </w:p>
    <w:p>
      <w:pPr>
        <w:ind w:firstLine="189"/>
        <w:spacing w:after="0" w:line="282" w:lineRule="auto"/>
        <w:rPr>
          <w:sz w:val="20"/>
          <w:szCs w:val="20"/>
          <w:color w:val="auto"/>
        </w:rPr>
      </w:pPr>
      <w:r>
        <w:rPr>
          <w:rFonts w:ascii="Arial" w:cs="Arial" w:eastAsia="Arial" w:hAnsi="Arial"/>
          <w:sz w:val="18"/>
          <w:szCs w:val="18"/>
          <w:color w:val="auto"/>
        </w:rPr>
        <w:t>e lease almost all of our store locations and either own or lease for long periods our primary distribution centers and administrative offices. Accordingly, we are subject to the risks associated with leasing and owning real estate. hile we have the right to terminate some of our leases under specified conditions, including by making specified payments, we may not be able to terminate most of our leases if or when we would like to do so. If we decide or are re uired to permanently close stores, we typically are re uired to continue to perform obligations under the applicable leases, which generally include, among other things, paying rent, insurance premiums, real estate taxes, and maintenance expenses for the balance of the lease term, and the cost of any of these obligations may be significant. hen we assign leases to third parties, or if we sell or close a business, we can remain liable for the lease obligations for the balance of the term and be contingently liable if the assignee does not perform (as was the case with some of our former operations). e also remain primarily liable if we sublease space to a third party. In addition, when the lease terms for the stores in our ongoing operations expire, we may be unable to negotiate renewals, either on commercially reasonable terms or at all, which could cause us to permanently close stores or to relocate stores within a market on less favorable terms or in a less favorable location. If we decide to cease operations at any locations that we own, we may be unable to dispose of such real estate (including by selling or leasing such real estate to a third party) on favorable market terms. In such case, we would continue to incur ownership obligations on unused property, and the cost of these obligations may be significant. Any or all of these factors could adversely affect our financial results.</w:t>
      </w:r>
    </w:p>
    <w:p>
      <w:pPr>
        <w:spacing w:after="0" w:line="58" w:lineRule="exact"/>
        <w:rPr>
          <w:sz w:val="20"/>
          <w:szCs w:val="20"/>
          <w:color w:val="auto"/>
        </w:rPr>
      </w:pPr>
    </w:p>
    <w:p>
      <w:pPr>
        <w:ind w:left="740"/>
        <w:spacing w:after="0"/>
        <w:tabs>
          <w:tab w:leader="none" w:pos="1400" w:val="left"/>
          <w:tab w:leader="none" w:pos="1920" w:val="left"/>
          <w:tab w:leader="none" w:pos="2800" w:val="left"/>
          <w:tab w:leader="none" w:pos="3260"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22"/>
          <w:szCs w:val="22"/>
          <w:color w:val="auto"/>
        </w:rPr>
        <w:t>N</w:t>
        <w:tab/>
        <w:t>CONO</w:t>
        <w:tab/>
        <w:t>IC</w:t>
        <w:tab/>
        <w:t>IS  S</w:t>
      </w:r>
    </w:p>
    <w:p>
      <w:pPr>
        <w:sectPr>
          <w:pgSz w:w="12240" w:h="15841" w:orient="portrait"/>
          <w:cols w:equalWidth="0" w:num="1">
            <w:col w:w="10220"/>
          </w:cols>
          <w:pgMar w:left="1000" w:top="694" w:right="1021" w:bottom="0" w:gutter="0" w:footer="0" w:header="0"/>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cono  ic conditions on a global le el or in  articular</w:t>
      </w:r>
    </w:p>
    <w:p>
      <w:pPr>
        <w:spacing w:after="0" w:line="22" w:lineRule="exact"/>
        <w:rPr>
          <w:sz w:val="20"/>
          <w:szCs w:val="20"/>
          <w:color w:val="auto"/>
        </w:rPr>
      </w:pPr>
    </w:p>
    <w:p>
      <w:pPr>
        <w:spacing w:after="0"/>
        <w:tabs>
          <w:tab w:leader="none" w:pos="2340" w:val="left"/>
        </w:tabs>
        <w:rPr>
          <w:sz w:val="20"/>
          <w:szCs w:val="20"/>
          <w:color w:val="auto"/>
        </w:rPr>
      </w:pPr>
      <w:r>
        <w:rPr>
          <w:rFonts w:ascii="Arial" w:cs="Arial" w:eastAsia="Arial" w:hAnsi="Arial"/>
          <w:sz w:val="20"/>
          <w:szCs w:val="20"/>
          <w:i w:val="1"/>
          <w:iCs w:val="1"/>
          <w:color w:val="auto"/>
        </w:rPr>
        <w:t>uncertaint  and instabilit</w:t>
      </w:r>
      <w:r>
        <w:rPr>
          <w:sz w:val="20"/>
          <w:szCs w:val="20"/>
          <w:color w:val="auto"/>
        </w:rPr>
        <w:tab/>
      </w:r>
      <w:r>
        <w:rPr>
          <w:rFonts w:ascii="Arial" w:cs="Arial" w:eastAsia="Arial" w:hAnsi="Arial"/>
          <w:sz w:val="19"/>
          <w:szCs w:val="19"/>
          <w:i w:val="1"/>
          <w:iCs w:val="1"/>
          <w:color w:val="auto"/>
        </w:rPr>
        <w:t>a  ad ersel  affect consu</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erfor  ance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60"/>
        <w:spacing w:after="0"/>
        <w:tabs>
          <w:tab w:leader="none" w:pos="2700" w:val="left"/>
        </w:tabs>
        <w:rPr>
          <w:sz w:val="20"/>
          <w:szCs w:val="20"/>
          <w:color w:val="auto"/>
        </w:rPr>
      </w:pPr>
      <w:r>
        <w:rPr>
          <w:rFonts w:ascii="Arial" w:cs="Arial" w:eastAsia="Arial" w:hAnsi="Arial"/>
          <w:sz w:val="20"/>
          <w:szCs w:val="20"/>
          <w:i w:val="1"/>
          <w:iCs w:val="1"/>
          <w:color w:val="auto"/>
        </w:rPr>
        <w:t>ar ets geo olitical uncertaint</w:t>
      </w:r>
      <w:r>
        <w:rPr>
          <w:sz w:val="20"/>
          <w:szCs w:val="20"/>
          <w:color w:val="auto"/>
        </w:rPr>
        <w:tab/>
      </w:r>
      <w:r>
        <w:rPr>
          <w:rFonts w:ascii="Arial" w:cs="Arial" w:eastAsia="Arial" w:hAnsi="Arial"/>
          <w:sz w:val="19"/>
          <w:szCs w:val="19"/>
          <w:i w:val="1"/>
          <w:iCs w:val="1"/>
          <w:color w:val="auto"/>
        </w:rPr>
        <w:t>and ot er factors creating</w:t>
      </w:r>
    </w:p>
    <w:p>
      <w:pPr>
        <w:spacing w:after="0" w:line="10" w:lineRule="exact"/>
        <w:rPr>
          <w:sz w:val="20"/>
          <w:szCs w:val="20"/>
          <w:color w:val="auto"/>
        </w:rPr>
      </w:pPr>
    </w:p>
    <w:p>
      <w:pPr>
        <w:spacing w:after="0"/>
        <w:tabs>
          <w:tab w:leader="none" w:pos="3720" w:val="left"/>
          <w:tab w:leader="none" w:pos="4020" w:val="left"/>
        </w:tabs>
        <w:rPr>
          <w:sz w:val="20"/>
          <w:szCs w:val="20"/>
          <w:color w:val="auto"/>
        </w:rPr>
      </w:pPr>
      <w:r>
        <w:rPr>
          <w:rFonts w:ascii="Arial" w:cs="Arial" w:eastAsia="Arial" w:hAnsi="Arial"/>
          <w:sz w:val="20"/>
          <w:szCs w:val="20"/>
          <w:i w:val="1"/>
          <w:iCs w:val="1"/>
          <w:color w:val="auto"/>
        </w:rPr>
        <w:t>er confidence and discretionar  s ending</w:t>
      </w:r>
      <w:r>
        <w:rPr>
          <w:sz w:val="20"/>
          <w:szCs w:val="20"/>
          <w:color w:val="auto"/>
        </w:rPr>
        <w:tab/>
      </w:r>
      <w:r>
        <w:rPr>
          <w:rFonts w:ascii="Arial" w:cs="Arial" w:eastAsia="Arial" w:hAnsi="Arial"/>
          <w:sz w:val="20"/>
          <w:szCs w:val="20"/>
          <w:i w:val="1"/>
          <w:iCs w:val="1"/>
          <w:color w:val="auto"/>
        </w:rPr>
        <w:t>ic</w:t>
      </w:r>
      <w:r>
        <w:rPr>
          <w:sz w:val="20"/>
          <w:szCs w:val="20"/>
          <w:color w:val="auto"/>
        </w:rPr>
        <w:tab/>
      </w:r>
      <w:r>
        <w:rPr>
          <w:rFonts w:ascii="Arial" w:cs="Arial" w:eastAsia="Arial" w:hAnsi="Arial"/>
          <w:sz w:val="19"/>
          <w:szCs w:val="19"/>
          <w:i w:val="1"/>
          <w:iCs w:val="1"/>
          <w:color w:val="auto"/>
        </w:rPr>
        <w:t>could affect our</w:t>
      </w:r>
    </w:p>
    <w:p>
      <w:pPr>
        <w:spacing w:after="0" w:line="377" w:lineRule="exact"/>
        <w:rPr>
          <w:sz w:val="20"/>
          <w:szCs w:val="20"/>
          <w:color w:val="auto"/>
        </w:rPr>
      </w:pPr>
    </w:p>
    <w:p>
      <w:pPr>
        <w:sectPr>
          <w:pgSz w:w="12240" w:h="15841" w:orient="portrait"/>
          <w:cols w:equalWidth="0" w:num="2">
            <w:col w:w="4440" w:space="140"/>
            <w:col w:w="5640"/>
          </w:cols>
          <w:pgMar w:left="1000" w:top="694" w:right="1021" w:bottom="0" w:gutter="0" w:footer="0" w:header="0"/>
          <w:type w:val="continuous"/>
        </w:sectPr>
      </w:pPr>
    </w:p>
    <w:p>
      <w:pPr>
        <w:ind w:right="40"/>
        <w:spacing w:after="0" w:line="288" w:lineRule="auto"/>
        <w:rPr>
          <w:sz w:val="20"/>
          <w:szCs w:val="20"/>
          <w:color w:val="auto"/>
        </w:rPr>
      </w:pPr>
      <w:r>
        <w:rPr>
          <w:rFonts w:ascii="Arial" w:cs="Arial" w:eastAsia="Arial" w:hAnsi="Arial"/>
          <w:sz w:val="18"/>
          <w:szCs w:val="18"/>
          <w:color w:val="auto"/>
        </w:rPr>
        <w:t>Consumer confidence and discretionary spending can be affected by various economic conditions, both on a global level and in particular markets, that can, in turn, affect our business or the retail industry generally. These factors include, among others, inflation and deflation actual or perceived declines in consumer purchasing power economic recession unemployment levels availability of disposable income and actual and perceived wealth health care costs costs of oil, gas and other commodities interest rates and tax rates and related policies weakness in the housing market and rising housing costs volatility in capital markets and credit availability. any of these factors have been present in the market in recent years, including inflation and economic downturn, which has impacted consumer confidence and discretionary spending.</w:t>
      </w:r>
    </w:p>
    <w:p>
      <w:pPr>
        <w:sectPr>
          <w:pgSz w:w="12240" w:h="15841" w:orient="portrait"/>
          <w:cols w:equalWidth="0" w:num="1">
            <w:col w:w="10220"/>
          </w:cols>
          <w:pgMar w:left="1000" w:top="694" w:right="102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2240" w:h="15841" w:orient="portrait"/>
          <w:cols w:equalWidth="0" w:num="1">
            <w:col w:w="10220"/>
          </w:cols>
          <w:pgMar w:left="1000" w:top="694" w:right="1021" w:bottom="0" w:gutter="0" w:footer="0" w:header="0"/>
          <w:type w:val="continuous"/>
        </w:sectPr>
      </w:pPr>
    </w:p>
    <w:bookmarkStart w:id="26" w:name="page27"/>
    <w:bookmarkEnd w:id="26"/>
    <w:p>
      <w:pPr>
        <w:ind w:right="360" w:firstLine="145"/>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olatility or uncertainty in regulation or policy, including in areas such as international diplomacy, trade and tariff policies threats or occurrences of war or armed conflict, geopolitical instability or uncertainty, (including in kraine and the iddle East, and shipping disruptions in the ed Sea and surrounding waterways) terrorism pandemics or epidemics (such as the C ID-1 pandemic) supply chain disruptions uncertainty regarding the financial stability of banking institutions and political or social unrest and or conflict (locally or across regions) have had and may continue to have significant effects on consumer confidence and spending. Factors that affect consumer confidence and spending can in turn impact trends in spending, the retail industry generally, and our business and financial results. Shifts in the market may adversely affect our sales, cash flows, merchandise orders and results of operations and performance.</w:t>
      </w:r>
    </w:p>
    <w:p>
      <w:pPr>
        <w:spacing w:after="0" w:line="65" w:lineRule="exact"/>
        <w:rPr>
          <w:sz w:val="20"/>
          <w:szCs w:val="20"/>
          <w:color w:val="auto"/>
        </w:rPr>
      </w:pPr>
    </w:p>
    <w:p>
      <w:pPr>
        <w:spacing w:after="0"/>
        <w:tabs>
          <w:tab w:leader="none" w:pos="1360" w:val="left"/>
          <w:tab w:leader="none" w:pos="5580" w:val="left"/>
          <w:tab w:leader="none" w:pos="6160" w:val="left"/>
          <w:tab w:leader="none" w:pos="9240" w:val="left"/>
          <w:tab w:leader="none" w:pos="9580" w:val="left"/>
        </w:tabs>
        <w:rPr>
          <w:sz w:val="20"/>
          <w:szCs w:val="20"/>
          <w:color w:val="auto"/>
        </w:rPr>
      </w:pPr>
      <w:r>
        <w:rPr>
          <w:rFonts w:ascii="Arial" w:cs="Arial" w:eastAsia="Arial" w:hAnsi="Arial"/>
          <w:sz w:val="20"/>
          <w:szCs w:val="20"/>
          <w:i w:val="1"/>
          <w:iCs w:val="1"/>
          <w:color w:val="auto"/>
        </w:rPr>
        <w:t>C anges to</w:t>
      </w:r>
      <w:r>
        <w:rPr>
          <w:sz w:val="20"/>
          <w:szCs w:val="20"/>
          <w:color w:val="auto"/>
        </w:rPr>
        <w:tab/>
      </w:r>
      <w:r>
        <w:rPr>
          <w:rFonts w:ascii="Arial" w:cs="Arial" w:eastAsia="Arial" w:hAnsi="Arial"/>
          <w:sz w:val="20"/>
          <w:szCs w:val="20"/>
          <w:i w:val="1"/>
          <w:iCs w:val="1"/>
          <w:color w:val="auto"/>
        </w:rPr>
        <w:t>or ot er countries trade  olicies and tariff and i</w:t>
        <w:tab/>
        <w:t>ort e</w:t>
        <w:tab/>
        <w:t>ort regulations or our failure to co</w:t>
        <w:tab/>
        <w:t>l</w:t>
        <w:tab/>
        <w:t>it</w:t>
      </w:r>
    </w:p>
    <w:p>
      <w:pPr>
        <w:spacing w:after="0" w:line="10" w:lineRule="exact"/>
        <w:rPr>
          <w:sz w:val="20"/>
          <w:szCs w:val="20"/>
          <w:color w:val="auto"/>
        </w:rPr>
      </w:pPr>
    </w:p>
    <w:p>
      <w:pPr>
        <w:spacing w:after="0"/>
        <w:tabs>
          <w:tab w:leader="none" w:pos="400" w:val="left"/>
          <w:tab w:leader="none" w:pos="1540" w:val="left"/>
          <w:tab w:leader="none" w:pos="1900" w:val="left"/>
        </w:tabs>
        <w:rPr>
          <w:sz w:val="20"/>
          <w:szCs w:val="20"/>
          <w:color w:val="auto"/>
        </w:rPr>
      </w:pPr>
      <w:r>
        <w:rPr>
          <w:rFonts w:ascii="Arial" w:cs="Arial" w:eastAsia="Arial" w:hAnsi="Arial"/>
          <w:sz w:val="20"/>
          <w:szCs w:val="20"/>
          <w:i w:val="1"/>
          <w:iCs w:val="1"/>
          <w:color w:val="auto"/>
        </w:rPr>
        <w:t>suc</w:t>
        <w:tab/>
        <w:t>regulations</w:t>
        <w:tab/>
        <w:t>a</w:t>
      </w:r>
      <w:r>
        <w:rPr>
          <w:sz w:val="20"/>
          <w:szCs w:val="20"/>
          <w:color w:val="auto"/>
        </w:rPr>
        <w:tab/>
      </w:r>
      <w:r>
        <w:rPr>
          <w:rFonts w:ascii="Arial" w:cs="Arial" w:eastAsia="Arial" w:hAnsi="Arial"/>
          <w:sz w:val="19"/>
          <w:szCs w:val="19"/>
          <w:i w:val="1"/>
          <w:iCs w:val="1"/>
          <w:color w:val="auto"/>
        </w:rPr>
        <w:t>a e an ad erse effect on our business financial condition and results of o erations</w:t>
      </w:r>
    </w:p>
    <w:p>
      <w:pPr>
        <w:spacing w:after="0" w:line="13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Changes in the import and export policies, including trade restrictions, new or increased tariffs or uotas, embargoes, sanctions and countersanctions, safeguards or customs restrictions by the .S. and or other foreign governments, could re uire us to change the way we conduct business, affect our merchandise margins and adversely affect our financial condition, results of operations, reputation and our relationships with customers, vendors and Associates in the short- or long-term. Similarly, changes in laws and policies governing foreign trade, manufacturing, development and investment in the countries where we currently operate could adversely affect our business.</w:t>
      </w:r>
    </w:p>
    <w:p>
      <w:pPr>
        <w:spacing w:after="0" w:line="6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.S. government has imposed, and may in the future impose further, tariffs on certain foreign goods and product imports. These actions have resulted, and are expected to further result, in retaliatory measures on .S. goods. In February 2026, the</w:t>
      </w:r>
    </w:p>
    <w:p>
      <w:pPr>
        <w:ind w:left="140"/>
        <w:spacing w:after="0"/>
        <w:rPr>
          <w:sz w:val="20"/>
          <w:szCs w:val="20"/>
          <w:color w:val="auto"/>
        </w:rPr>
      </w:pPr>
      <w:r>
        <w:rPr>
          <w:rFonts w:ascii="Arial" w:cs="Arial" w:eastAsia="Arial" w:hAnsi="Arial"/>
          <w:sz w:val="18"/>
          <w:szCs w:val="18"/>
          <w:color w:val="auto"/>
        </w:rPr>
        <w:t>.S. Supreme Court issued a decision invalidating tariffs imposed under the International Emergency Economic Powers Act</w:t>
      </w:r>
    </w:p>
    <w:p>
      <w:pPr>
        <w:spacing w:after="0" w:line="3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 IEEPA ). The ruling may allow for recovery of IEEPA tariff amounts previously paid, although the timing and administration of any potential IEEPA tariff refunds is unknown and may be subject to further legal and regulatory developments. Subse uent to the .S. Supreme Court’s ruling, an executive order was issued imposing a new global tariff, in addition to any existing non-IEEPA tariffs. The outlook on further trade policy actions, including trade agreements and potential retaliatory tariffs is unclear. These tariffs and other potential trade disputes could pose a risk to our business that could affect our revenue and cost of sourcing our merchandise. The extent and duration of the tariffs and the resulting impact on general economic conditions and on our business are uncertain and depend on various factors, such as further changes to the .S. government tariff policies, negotiations between the .S. and affected countries, the responses of other countries or regions, exemptions or exclusions that may be granted, availability and cost of alternative sources of merchandise, and our buying organi ation’s ability to execute our merchandise sourcing model to offset the effects of the tariffs. Further, actions we take to adapt to new tariffs or trade restrictions may increase risk or may cause us to modify our operations, which could be time-consuming and expensive impact pricing of our merchandise, which could impact our sales, profitability, and our reputation as a value retailer or cause us to forgo business opportunities.</w:t>
      </w:r>
    </w:p>
    <w:p>
      <w:pPr>
        <w:sectPr>
          <w:pgSz w:w="12240" w:h="15841" w:orient="portrait"/>
          <w:cols w:equalWidth="0" w:num="1">
            <w:col w:w="10240"/>
          </w:cols>
          <w:pgMar w:left="1000" w:top="702" w:right="1001" w:bottom="0" w:gutter="0" w:footer="0" w:header="0"/>
        </w:sectPr>
      </w:pP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i w:val="1"/>
          <w:iCs w:val="1"/>
          <w:color w:val="auto"/>
        </w:rPr>
        <w:t>C anges in econo ic conditions on a global le el or in articular ar ets costs of ca ital and increase our financial e osure and our strategies for effecti e or sufficient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firstLine="83"/>
        <w:spacing w:after="0" w:line="288" w:lineRule="auto"/>
        <w:rPr>
          <w:sz w:val="20"/>
          <w:szCs w:val="20"/>
          <w:color w:val="auto"/>
        </w:rPr>
      </w:pPr>
      <w:r>
        <w:rPr>
          <w:rFonts w:ascii="Arial" w:cs="Arial" w:eastAsia="Arial" w:hAnsi="Arial"/>
          <w:sz w:val="20"/>
          <w:szCs w:val="20"/>
          <w:i w:val="1"/>
          <w:iCs w:val="1"/>
          <w:color w:val="auto"/>
        </w:rPr>
        <w:t>a ad ersel affect our sources of li uidit and anaging t ese financial ris s a not be</w:t>
      </w:r>
    </w:p>
    <w:p>
      <w:pPr>
        <w:spacing w:after="0" w:line="296" w:lineRule="exact"/>
        <w:rPr>
          <w:sz w:val="20"/>
          <w:szCs w:val="20"/>
          <w:color w:val="auto"/>
        </w:rPr>
      </w:pPr>
    </w:p>
    <w:p>
      <w:pPr>
        <w:sectPr>
          <w:pgSz w:w="12240" w:h="15841" w:orient="portrait"/>
          <w:cols w:equalWidth="0" w:num="2">
            <w:col w:w="6140" w:space="180"/>
            <w:col w:w="3920"/>
          </w:cols>
          <w:pgMar w:left="1000" w:top="702" w:right="1001" w:bottom="0" w:gutter="0" w:footer="0" w:header="0"/>
          <w:type w:val="continuous"/>
        </w:sectPr>
      </w:pPr>
    </w:p>
    <w:p>
      <w:pPr>
        <w:ind w:left="140"/>
        <w:spacing w:after="0"/>
        <w:rPr>
          <w:sz w:val="20"/>
          <w:szCs w:val="20"/>
          <w:color w:val="auto"/>
        </w:rPr>
      </w:pPr>
      <w:r>
        <w:rPr>
          <w:rFonts w:ascii="Arial" w:cs="Arial" w:eastAsia="Arial" w:hAnsi="Arial"/>
          <w:sz w:val="19"/>
          <w:szCs w:val="19"/>
          <w:color w:val="auto"/>
        </w:rPr>
        <w:t>lobal financial markets can experience volatility, disruption and credit contraction, which could adversely affect global</w:t>
      </w:r>
    </w:p>
    <w:p>
      <w:pPr>
        <w:spacing w:after="0" w:line="22"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economic conditions.</w:t>
      </w:r>
      <w:r>
        <w:rPr>
          <w:sz w:val="20"/>
          <w:szCs w:val="20"/>
          <w:color w:val="auto"/>
        </w:rPr>
        <w:tab/>
      </w:r>
      <w:r>
        <w:rPr>
          <w:rFonts w:ascii="Arial" w:cs="Arial" w:eastAsia="Arial" w:hAnsi="Arial"/>
          <w:sz w:val="18"/>
          <w:szCs w:val="18"/>
          <w:color w:val="auto"/>
        </w:rPr>
        <w:t>n occasion, we borrow money to finance our activities, and if financing were not available to us in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ade uate amounts and on appropriate terms when needed, that could adversely affect our financial performance. Changes in the</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capital and credit markets and general market disruptions, such as prolonged volatility or significant disruption of global</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financial markets relating to the financial and regulatory environment interest rate fluctuations geopolitical conflict 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disruptions impacting traditional banking, have in the past increased and may continue to increase the cost of financing or may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restrict our access to potential sources of li uidity on acceptable terms or at all, and impede our ability to comply with debt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covenants. In addition, changes in economic conditions could adversely affect plan asset values and investment performance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and increase our pension liabilities, expenses and funding re uirements and other related financial exposure with respect to</w:t>
      </w:r>
    </w:p>
    <w:p>
      <w:pPr>
        <w:spacing w:after="0" w:line="33" w:lineRule="exact"/>
        <w:rPr>
          <w:sz w:val="20"/>
          <w:szCs w:val="20"/>
          <w:color w:val="auto"/>
        </w:rPr>
      </w:pPr>
    </w:p>
    <w:p>
      <w:pPr>
        <w:spacing w:after="0"/>
        <w:tabs>
          <w:tab w:leader="none" w:pos="4580" w:val="left"/>
        </w:tabs>
        <w:rPr>
          <w:sz w:val="20"/>
          <w:szCs w:val="20"/>
          <w:color w:val="auto"/>
        </w:rPr>
      </w:pPr>
      <w:r>
        <w:rPr>
          <w:rFonts w:ascii="Arial" w:cs="Arial" w:eastAsia="Arial" w:hAnsi="Arial"/>
          <w:sz w:val="20"/>
          <w:szCs w:val="20"/>
          <w:color w:val="auto"/>
        </w:rPr>
        <w:t>company-sponsored and multiemployer pension plans.</w:t>
      </w:r>
      <w:r>
        <w:rPr>
          <w:sz w:val="20"/>
          <w:szCs w:val="20"/>
          <w:color w:val="auto"/>
        </w:rPr>
        <w:tab/>
      </w:r>
      <w:r>
        <w:rPr>
          <w:rFonts w:ascii="Arial" w:cs="Arial" w:eastAsia="Arial" w:hAnsi="Arial"/>
          <w:sz w:val="18"/>
          <w:szCs w:val="18"/>
          <w:color w:val="auto"/>
        </w:rPr>
        <w:t>e rely on banks and other financial institutions to safeguard and allow</w:t>
      </w:r>
    </w:p>
    <w:p>
      <w:pPr>
        <w:spacing w:after="0" w:line="10"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ready access to assets such as cash and cash e uivalents.</w:t>
      </w:r>
      <w:r>
        <w:rPr>
          <w:sz w:val="20"/>
          <w:szCs w:val="20"/>
          <w:color w:val="auto"/>
        </w:rPr>
        <w:tab/>
      </w:r>
      <w:r>
        <w:rPr>
          <w:rFonts w:ascii="Arial" w:cs="Arial" w:eastAsia="Arial" w:hAnsi="Arial"/>
          <w:sz w:val="18"/>
          <w:szCs w:val="18"/>
          <w:color w:val="auto"/>
        </w:rPr>
        <w:t>ur continued access to li uidity sources on favorable terms also</w:t>
      </w:r>
    </w:p>
    <w:p>
      <w:pPr>
        <w:spacing w:after="0" w:line="10" w:lineRule="exact"/>
        <w:rPr>
          <w:sz w:val="20"/>
          <w:szCs w:val="20"/>
          <w:color w:val="auto"/>
        </w:rPr>
      </w:pPr>
    </w:p>
    <w:p>
      <w:pPr>
        <w:spacing w:after="0"/>
        <w:tabs>
          <w:tab w:leader="none" w:pos="7520" w:val="left"/>
        </w:tabs>
        <w:rPr>
          <w:sz w:val="20"/>
          <w:szCs w:val="20"/>
          <w:color w:val="auto"/>
        </w:rPr>
      </w:pPr>
      <w:r>
        <w:rPr>
          <w:rFonts w:ascii="Arial" w:cs="Arial" w:eastAsia="Arial" w:hAnsi="Arial"/>
          <w:sz w:val="20"/>
          <w:szCs w:val="20"/>
          <w:color w:val="auto"/>
        </w:rPr>
        <w:t>depends on factors such as our operating performance and maintaining strong credit ratings.</w:t>
      </w:r>
      <w:r>
        <w:rPr>
          <w:sz w:val="20"/>
          <w:szCs w:val="20"/>
          <w:color w:val="auto"/>
        </w:rPr>
        <w:tab/>
      </w:r>
      <w:r>
        <w:rPr>
          <w:rFonts w:ascii="Arial" w:cs="Arial" w:eastAsia="Arial" w:hAnsi="Arial"/>
          <w:sz w:val="17"/>
          <w:szCs w:val="17"/>
          <w:color w:val="auto"/>
        </w:rPr>
        <w:t>ur strategies for managing these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financial risks and exposures may not be effective or sufficient or may expose us to risk.</w:t>
      </w:r>
    </w:p>
    <w:p>
      <w:pPr>
        <w:sectPr>
          <w:pgSz w:w="12240" w:h="15841" w:orient="portrait"/>
          <w:cols w:equalWidth="0" w:num="1">
            <w:col w:w="10240"/>
          </w:cols>
          <w:pgMar w:left="1000" w:top="702" w:right="100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ectPr>
          <w:pgSz w:w="12240" w:h="15841" w:orient="portrait"/>
          <w:cols w:equalWidth="0" w:num="1">
            <w:col w:w="10240"/>
          </w:cols>
          <w:pgMar w:left="1000" w:top="702" w:right="1001" w:bottom="0" w:gutter="0" w:footer="0" w:header="0"/>
          <w:type w:val="continuous"/>
        </w:sectPr>
      </w:pPr>
    </w:p>
    <w:bookmarkStart w:id="27" w:name="page28"/>
    <w:bookmarkEnd w:id="27"/>
    <w:p>
      <w:pPr>
        <w:ind w:left="10"/>
        <w:spacing w:after="0"/>
        <w:tabs>
          <w:tab w:leader="none" w:pos="1109" w:val="left"/>
          <w:tab w:leader="none" w:pos="6109" w:val="left"/>
          <w:tab w:leader="none" w:pos="9269"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Our results</w:t>
        <w:tab/>
        <w:t>a  be ad ersel  affected b  se ere or unseasonable ad erse</w:t>
        <w:tab/>
        <w:t>eat er serious disru tions catastro</w:t>
      </w:r>
      <w:r>
        <w:rPr>
          <w:sz w:val="20"/>
          <w:szCs w:val="20"/>
          <w:color w:val="auto"/>
        </w:rPr>
        <w:tab/>
      </w:r>
      <w:r>
        <w:rPr>
          <w:rFonts w:ascii="Arial" w:cs="Arial" w:eastAsia="Arial" w:hAnsi="Arial"/>
          <w:sz w:val="18"/>
          <w:szCs w:val="18"/>
          <w:i w:val="1"/>
          <w:iCs w:val="1"/>
          <w:color w:val="auto"/>
        </w:rPr>
        <w:t>ic e ents or</w:t>
      </w:r>
    </w:p>
    <w:p>
      <w:pPr>
        <w:spacing w:after="0" w:line="10" w:lineRule="exact"/>
        <w:rPr>
          <w:sz w:val="20"/>
          <w:szCs w:val="20"/>
          <w:color w:val="auto"/>
        </w:rPr>
      </w:pPr>
    </w:p>
    <w:p>
      <w:pPr>
        <w:ind w:left="110"/>
        <w:spacing w:after="0"/>
        <w:tabs>
          <w:tab w:leader="none" w:pos="649" w:val="left"/>
          <w:tab w:leader="none" w:pos="1109" w:val="left"/>
        </w:tabs>
        <w:rPr>
          <w:sz w:val="20"/>
          <w:szCs w:val="20"/>
          <w:color w:val="auto"/>
        </w:rPr>
      </w:pPr>
      <w:r>
        <w:rPr>
          <w:rFonts w:ascii="Arial" w:cs="Arial" w:eastAsia="Arial" w:hAnsi="Arial"/>
          <w:sz w:val="20"/>
          <w:szCs w:val="20"/>
          <w:i w:val="1"/>
          <w:iCs w:val="1"/>
          <w:color w:val="auto"/>
        </w:rPr>
        <w:t>ublic</w:t>
        <w:tab/>
        <w:t>ealt</w:t>
      </w:r>
      <w:r>
        <w:rPr>
          <w:sz w:val="20"/>
          <w:szCs w:val="20"/>
          <w:color w:val="auto"/>
        </w:rPr>
        <w:tab/>
      </w:r>
      <w:r>
        <w:rPr>
          <w:rFonts w:ascii="Arial" w:cs="Arial" w:eastAsia="Arial" w:hAnsi="Arial"/>
          <w:sz w:val="17"/>
          <w:szCs w:val="17"/>
          <w:i w:val="1"/>
          <w:iCs w:val="1"/>
          <w:color w:val="auto"/>
        </w:rPr>
        <w:t>crises</w:t>
      </w:r>
    </w:p>
    <w:p>
      <w:pPr>
        <w:spacing w:after="0" w:line="138" w:lineRule="exact"/>
        <w:rPr>
          <w:sz w:val="20"/>
          <w:szCs w:val="20"/>
          <w:color w:val="auto"/>
        </w:rPr>
      </w:pPr>
    </w:p>
    <w:p>
      <w:pPr>
        <w:ind w:left="10" w:right="20"/>
        <w:spacing w:after="0" w:line="278" w:lineRule="auto"/>
        <w:rPr>
          <w:sz w:val="20"/>
          <w:szCs w:val="20"/>
          <w:color w:val="auto"/>
        </w:rPr>
      </w:pPr>
      <w:r>
        <w:rPr>
          <w:rFonts w:ascii="Arial" w:cs="Arial" w:eastAsia="Arial" w:hAnsi="Arial"/>
          <w:sz w:val="18"/>
          <w:szCs w:val="18"/>
          <w:color w:val="auto"/>
        </w:rPr>
        <w:t>Natural or other disasters, such as hurricanes, tornadoes, floods, wildfires, earth uakes and other extreme weather climate conditions, which have continued to increase in severity and fre uency public health issues, such as pandemics and epidemics (such as the C ID-1 pandemic) fires or explosions acts of war or conflict (such as the ongoing ussia- kraine conflict, the ongoing conflict in the iddle East and shipping disruptions in the ed Sea and surrounding waterways) domestic or foreign</w:t>
      </w:r>
    </w:p>
    <w:p>
      <w:pPr>
        <w:spacing w:after="0" w:line="1" w:lineRule="exact"/>
        <w:rPr>
          <w:sz w:val="20"/>
          <w:szCs w:val="20"/>
          <w:color w:val="auto"/>
        </w:rPr>
      </w:pPr>
    </w:p>
    <w:p>
      <w:pPr>
        <w:ind w:left="10" w:right="80"/>
        <w:spacing w:after="0" w:line="257" w:lineRule="auto"/>
        <w:rPr>
          <w:sz w:val="20"/>
          <w:szCs w:val="20"/>
          <w:color w:val="auto"/>
        </w:rPr>
      </w:pPr>
      <w:r>
        <w:rPr>
          <w:rFonts w:ascii="Arial" w:cs="Arial" w:eastAsia="Arial" w:hAnsi="Arial"/>
          <w:sz w:val="20"/>
          <w:szCs w:val="20"/>
          <w:color w:val="auto"/>
        </w:rPr>
        <w:t>terrorism or other acts of violence (including riots or active shooter situations) or cyberterrorism, nation-state cyber-attacks, or other cyber events could disrupt our operations and or have an adverse effect on our results of operations and financial condition in a number of ways. These effects could include causing injury or serious harm to our Associates or customers severely damaging or destroying one or more of our stores, distribution facilities, or office facilities or disrupting the operations of, or re uiring the closure of, third-party service providers, one or more of our vendors or parts of our supply chain located in the affected areas.</w:t>
      </w:r>
    </w:p>
    <w:p>
      <w:pPr>
        <w:spacing w:after="0" w:line="82" w:lineRule="exact"/>
        <w:rPr>
          <w:sz w:val="20"/>
          <w:szCs w:val="20"/>
          <w:color w:val="auto"/>
        </w:rPr>
      </w:pPr>
    </w:p>
    <w:p>
      <w:pPr>
        <w:ind w:left="10"/>
        <w:spacing w:after="0" w:line="279" w:lineRule="auto"/>
        <w:rPr>
          <w:sz w:val="20"/>
          <w:szCs w:val="20"/>
          <w:color w:val="auto"/>
        </w:rPr>
      </w:pPr>
      <w:r>
        <w:rPr>
          <w:rFonts w:ascii="Arial" w:cs="Arial" w:eastAsia="Arial" w:hAnsi="Arial"/>
          <w:sz w:val="19"/>
          <w:szCs w:val="19"/>
          <w:color w:val="auto"/>
        </w:rPr>
        <w:t>Day-to-day operations, including our ability to receive products from our vendors or third-party service providers or to transport products to our stores or to our e-commerce customers could be adversely affected, transportation to and from our stores (by customers or Associates) could be limited, or we could temporarily close stores or facilities within our distribution network in the affected areas or in areas served by affected facilities for a short or extended period of time.</w:t>
      </w:r>
    </w:p>
    <w:p>
      <w:pPr>
        <w:spacing w:after="0" w:line="64" w:lineRule="exact"/>
        <w:rPr>
          <w:sz w:val="20"/>
          <w:szCs w:val="20"/>
          <w:color w:val="auto"/>
        </w:rPr>
      </w:pPr>
    </w:p>
    <w:p>
      <w:pPr>
        <w:ind w:left="10" w:right="40" w:firstLine="145"/>
        <w:spacing w:after="0" w:line="268" w:lineRule="auto"/>
        <w:rPr>
          <w:sz w:val="20"/>
          <w:szCs w:val="20"/>
          <w:color w:val="auto"/>
        </w:rPr>
      </w:pPr>
      <w:r>
        <w:rPr>
          <w:rFonts w:ascii="Arial" w:cs="Arial" w:eastAsia="Arial" w:hAnsi="Arial"/>
          <w:sz w:val="19"/>
          <w:szCs w:val="19"/>
          <w:color w:val="auto"/>
        </w:rPr>
        <w:t>overnment regulations and responses to such events or conditions could affect our operations or result in material expenses relating to compliance. ur business continuity and disaster recovery plans may not be ade uate to address all potential scenarios, particularly those involving disruptions of unprecedented scope, severity, or duration. ur ability to recover from a significant disruption may depend on factors beyond our control, including the availability of transportation, utilities, labor, and third-party services in the affected areas. Adverse or unseasonable weather, such as storms, severe cold or heat or unseasonable temperatures (even if not extreme), which could increase in both fre uency and severity over time, may also affect customers’ buying patterns and willingness to shop at all or in certain categories we offer, particularly in apparel, products viewed as contributing to deforestation or biodiversity loss, or seasonal merchandise, and may affect our ability to source products containing raw materials whose yield is affected by adverse weather, which could impact our sales, customer satisfaction with our stores, and our markdowns, adversely affecting our business.</w:t>
      </w:r>
    </w:p>
    <w:p>
      <w:pPr>
        <w:sectPr>
          <w:pgSz w:w="12240" w:h="15841" w:orient="portrait"/>
          <w:cols w:equalWidth="0" w:num="1">
            <w:col w:w="10250"/>
          </w:cols>
          <w:pgMar w:left="990" w:top="694" w:right="1001" w:bottom="0" w:gutter="0" w:footer="0" w:header="0"/>
        </w:sectPr>
      </w:pPr>
    </w:p>
    <w:p>
      <w:pPr>
        <w:spacing w:after="0" w:line="72" w:lineRule="exact"/>
        <w:rPr>
          <w:sz w:val="20"/>
          <w:szCs w:val="20"/>
          <w:color w:val="auto"/>
        </w:rPr>
      </w:pPr>
    </w:p>
    <w:p>
      <w:pPr>
        <w:jc w:val="both"/>
        <w:ind w:left="10" w:firstLine="133"/>
        <w:spacing w:after="0" w:line="269" w:lineRule="auto"/>
        <w:rPr>
          <w:sz w:val="20"/>
          <w:szCs w:val="20"/>
          <w:color w:val="auto"/>
        </w:rPr>
      </w:pPr>
      <w:r>
        <w:rPr>
          <w:rFonts w:ascii="Arial" w:cs="Arial" w:eastAsia="Arial" w:hAnsi="Arial"/>
          <w:sz w:val="20"/>
          <w:szCs w:val="20"/>
          <w:i w:val="1"/>
          <w:iCs w:val="1"/>
          <w:color w:val="auto"/>
        </w:rPr>
        <w:t>s our business is sub ect to seasonal influences a significant un lanned decrease in sales or or ot er significant e ent t at i acts our business during t e second alf of t e ear could a ad erse effect on our o erating results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20" w:firstLine="50"/>
        <w:spacing w:after="0" w:line="288" w:lineRule="auto"/>
        <w:rPr>
          <w:sz w:val="20"/>
          <w:szCs w:val="20"/>
          <w:color w:val="auto"/>
        </w:rPr>
      </w:pPr>
      <w:r>
        <w:rPr>
          <w:rFonts w:ascii="Arial" w:cs="Arial" w:eastAsia="Arial" w:hAnsi="Arial"/>
          <w:sz w:val="20"/>
          <w:szCs w:val="20"/>
          <w:i w:val="1"/>
          <w:iCs w:val="1"/>
          <w:color w:val="auto"/>
        </w:rPr>
        <w:t>argins a se ere disru tion e a dis ro ortionatel</w:t>
      </w:r>
    </w:p>
    <w:p>
      <w:pPr>
        <w:spacing w:after="0" w:line="296" w:lineRule="exact"/>
        <w:rPr>
          <w:sz w:val="20"/>
          <w:szCs w:val="20"/>
          <w:color w:val="auto"/>
        </w:rPr>
      </w:pPr>
    </w:p>
    <w:p>
      <w:pPr>
        <w:sectPr>
          <w:pgSz w:w="12240" w:h="15841" w:orient="portrait"/>
          <w:cols w:equalWidth="0" w:num="2">
            <w:col w:w="7810" w:space="100"/>
            <w:col w:w="2340"/>
          </w:cols>
          <w:pgMar w:left="990" w:top="694" w:right="1001" w:bottom="0" w:gutter="0" w:footer="0" w:header="0"/>
          <w:type w:val="continuous"/>
        </w:sectPr>
      </w:pPr>
    </w:p>
    <w:p>
      <w:pPr>
        <w:ind w:left="10" w:right="120" w:firstLine="145"/>
        <w:spacing w:after="0" w:line="279" w:lineRule="auto"/>
        <w:rPr>
          <w:sz w:val="20"/>
          <w:szCs w:val="20"/>
          <w:color w:val="auto"/>
        </w:rPr>
      </w:pPr>
      <w:r>
        <w:rPr>
          <w:rFonts w:ascii="Arial" w:cs="Arial" w:eastAsia="Arial" w:hAnsi="Arial"/>
          <w:sz w:val="19"/>
          <w:szCs w:val="19"/>
          <w:color w:val="auto"/>
        </w:rPr>
        <w:t>ur business is subject to seasonal influences we generally reali e higher levels of sales and earnings in the second half of the year, which includes the back-to-school and year-end holiday seasons. Any significant, unplanned decrease in sales or margins or any significant adverse event or disruption that impacts our business during this period, including those described in these risk factors, could have a disproportionately adverse effect on our results of operations.</w:t>
      </w:r>
    </w:p>
    <w:p>
      <w:pPr>
        <w:sectPr>
          <w:pgSz w:w="12240" w:h="15841" w:orient="portrait"/>
          <w:cols w:equalWidth="0" w:num="1">
            <w:col w:w="10250"/>
          </w:cols>
          <w:pgMar w:left="990" w:top="694" w:right="1001" w:bottom="0" w:gutter="0" w:footer="0" w:header="0"/>
          <w:type w:val="continuous"/>
        </w:sectPr>
      </w:pPr>
    </w:p>
    <w:p>
      <w:pPr>
        <w:spacing w:after="0" w:line="56" w:lineRule="exact"/>
        <w:rPr>
          <w:sz w:val="20"/>
          <w:szCs w:val="20"/>
          <w:color w:val="auto"/>
        </w:rPr>
      </w:pPr>
    </w:p>
    <w:p>
      <w:pPr>
        <w:ind w:left="10"/>
        <w:spacing w:after="0" w:line="316" w:lineRule="auto"/>
        <w:rPr>
          <w:sz w:val="20"/>
          <w:szCs w:val="20"/>
          <w:color w:val="auto"/>
        </w:rPr>
      </w:pPr>
      <w:r>
        <w:rPr>
          <w:rFonts w:ascii="Arial" w:cs="Arial" w:eastAsia="Arial" w:hAnsi="Arial"/>
          <w:sz w:val="19"/>
          <w:szCs w:val="19"/>
          <w:i w:val="1"/>
          <w:iCs w:val="1"/>
          <w:color w:val="auto"/>
        </w:rPr>
        <w:t>Our results a be ad ersel affected b increased utilit cost of oil or ot er fuels or increased costs of ot er co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00" w:hanging="6"/>
        <w:spacing w:after="0" w:line="288" w:lineRule="auto"/>
        <w:rPr>
          <w:sz w:val="20"/>
          <w:szCs w:val="20"/>
          <w:color w:val="auto"/>
        </w:rPr>
      </w:pPr>
      <w:r>
        <w:rPr>
          <w:rFonts w:ascii="Arial" w:cs="Arial" w:eastAsia="Arial" w:hAnsi="Arial"/>
          <w:sz w:val="20"/>
          <w:szCs w:val="20"/>
          <w:i w:val="1"/>
          <w:iCs w:val="1"/>
          <w:color w:val="auto"/>
        </w:rPr>
        <w:t>trans ortation or logistics costs reduced a ailabilit or increased odities</w:t>
      </w:r>
    </w:p>
    <w:p>
      <w:pPr>
        <w:spacing w:after="0" w:line="56" w:lineRule="exact"/>
        <w:rPr>
          <w:sz w:val="20"/>
          <w:szCs w:val="20"/>
          <w:color w:val="auto"/>
        </w:rPr>
      </w:pPr>
    </w:p>
    <w:p>
      <w:pPr>
        <w:sectPr>
          <w:pgSz w:w="12240" w:h="15841" w:orient="portrait"/>
          <w:cols w:equalWidth="0" w:num="2">
            <w:col w:w="4590" w:space="200"/>
            <w:col w:w="5460"/>
          </w:cols>
          <w:pgMar w:left="990" w:top="694" w:right="1001" w:bottom="0" w:gutter="0" w:footer="0" w:header="0"/>
          <w:type w:val="continuous"/>
        </w:sectPr>
      </w:pPr>
    </w:p>
    <w:p>
      <w:pPr>
        <w:ind w:left="10" w:right="60"/>
        <w:spacing w:after="0" w:line="278" w:lineRule="auto"/>
        <w:rPr>
          <w:sz w:val="20"/>
          <w:szCs w:val="20"/>
          <w:color w:val="auto"/>
        </w:rPr>
      </w:pPr>
      <w:r>
        <w:rPr>
          <w:rFonts w:ascii="Arial" w:cs="Arial" w:eastAsia="Arial" w:hAnsi="Arial"/>
          <w:sz w:val="18"/>
          <w:szCs w:val="18"/>
          <w:color w:val="auto"/>
        </w:rPr>
        <w:t>Energy and fuel costs can fluctuate dramatically and, at times, have resulted in significant cost increases, particularly for the price of oil and gasoline. An increase in the price of oil increases our transportation costs for distribution, utility costs for our retail stores and costs to purchase our products from vendors. Although we typically enter into derivative instruments designed to manage a portion of our transportation costs (a hedging strategy), any such strategy may not be effective or sufficient and could result in increased operating costs. Increased global and .S. regulation related to environmental costs, including cap and trade, carbon taxes or other emissions management systems could also adversely affect our costs of doing business, including utility, transportation and logistics costs. Shortages or disruptions, including from increased demand, geopolitical conflicts and other factors, impacting transportation within our supply chain, also negatively impact our cost of business and cause costs to fluctuate in ways we may not be able to anticipate. For example, in recent years, increased freight costs related to labor,</w:t>
      </w:r>
    </w:p>
    <w:p>
      <w:pPr>
        <w:spacing w:after="0" w:line="2" w:lineRule="exact"/>
        <w:rPr>
          <w:sz w:val="20"/>
          <w:szCs w:val="20"/>
          <w:color w:val="auto"/>
        </w:rPr>
      </w:pPr>
    </w:p>
    <w:p>
      <w:pPr>
        <w:ind w:left="10" w:right="60" w:hanging="10"/>
        <w:spacing w:after="0" w:line="275" w:lineRule="auto"/>
        <w:tabs>
          <w:tab w:leader="none" w:pos="198" w:val="left"/>
        </w:tabs>
        <w:numPr>
          <w:ilvl w:val="0"/>
          <w:numId w:val="4"/>
        </w:numPr>
        <w:rPr>
          <w:rFonts w:ascii="Arial" w:cs="Arial" w:eastAsia="Arial" w:hAnsi="Arial"/>
          <w:sz w:val="19"/>
          <w:szCs w:val="19"/>
          <w:color w:val="auto"/>
        </w:rPr>
      </w:pPr>
      <w:r>
        <w:rPr>
          <w:rFonts w:ascii="Arial" w:cs="Arial" w:eastAsia="Arial" w:hAnsi="Arial"/>
          <w:sz w:val="19"/>
          <w:szCs w:val="19"/>
          <w:color w:val="auto"/>
        </w:rPr>
        <w:t>uipment and capacity shortages involving freight hauling, increased interest rates and other factors, had an adverse impact on our margins. eopolitical events have in the past and may again impact fuel resources and operations of third parties along our supply chain such that our inventory flow and financial performance is negatively impacted. Similarly, other commodity prices can fluctuate dramatically. Commodity price increases can impact the cost of merchandise, which could adversely affect our performance through potentially reduced consumer demand or reduced margins.</w:t>
      </w:r>
    </w:p>
    <w:p>
      <w:pPr>
        <w:sectPr>
          <w:pgSz w:w="12240" w:h="15841" w:orient="portrait"/>
          <w:cols w:equalWidth="0" w:num="1">
            <w:col w:w="10250"/>
          </w:cols>
          <w:pgMar w:left="990" w:top="694" w:right="100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20</w:t>
      </w:r>
    </w:p>
    <w:p>
      <w:pPr>
        <w:sectPr>
          <w:pgSz w:w="12240" w:h="15841" w:orient="portrait"/>
          <w:cols w:equalWidth="0" w:num="1">
            <w:col w:w="10250"/>
          </w:cols>
          <w:pgMar w:left="990" w:top="694" w:right="1001" w:bottom="0" w:gutter="0" w:footer="0" w:header="0"/>
          <w:type w:val="continuous"/>
        </w:sectPr>
      </w:pPr>
    </w:p>
    <w:bookmarkStart w:id="28" w:name="page29"/>
    <w:bookmarkEnd w:id="28"/>
    <w:p>
      <w:pPr>
        <w:ind w:left="120"/>
        <w:spacing w:after="0"/>
        <w:tabs>
          <w:tab w:leader="none" w:pos="3520"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luctuations in currenc  e c ange rates</w:t>
      </w:r>
      <w:r>
        <w:rPr>
          <w:sz w:val="20"/>
          <w:szCs w:val="20"/>
          <w:color w:val="auto"/>
        </w:rPr>
        <w:tab/>
      </w:r>
      <w:r>
        <w:rPr>
          <w:rFonts w:ascii="Arial" w:cs="Arial" w:eastAsia="Arial" w:hAnsi="Arial"/>
          <w:sz w:val="18"/>
          <w:szCs w:val="18"/>
          <w:i w:val="1"/>
          <w:iCs w:val="1"/>
          <w:color w:val="auto"/>
        </w:rPr>
        <w:t>a  lead to lo  er re enues and earnings</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Sales made by our stores outside the .S. are denominated in the currency of the country in which the store is located, and changes in currency exchange rates affect the translation of the sales and earnings of these businesses into .S. dollars for financial reporting purposes. As a result, movements in currency exchange rates have had, and are expected to continue to have, a significant impact on our consolidated and segment results from time to time. Changes in currency exchange rates can also increase the cost of inventory purchases that are denominated in a currency other than the local currency of the business buying the merchandise. hen exchange rates change significantly in a short period or move unfavorably over an extended period, it can be difficult for us to adjust accordingly, and gross margin can be adversely affected. For example, a significant amount of merchandise we offer for sale is made in China and accordingly, a revaluation of Chinese currency, or increased market flexibility in the exchange rate for that currency, increasing its value relative to the .S. dollar or currencies in which our stores are located, could be significant.</w:t>
      </w:r>
    </w:p>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Additionally, we routinely enter into inventory-related derivative instruments (a hedging strategy) to mitigate the impact of currency exchange rates on merchandise margins resulting from merchandise purchases by our segments denominated in currencies other than their local currencies. These mitigation strategies may not be effective or sufficient. In addition, in accordance with AAP, we evaluate the fair value of these derivative instruments and make mark-to-market adjustments at the end of each accounting period. These adjustments are of a much greater magnitude when there is significant volatility in currency exchange rates and may have a significant impact on our earnings.</w:t>
      </w:r>
    </w:p>
    <w:p>
      <w:pPr>
        <w:spacing w:after="0" w:line="69" w:lineRule="exact"/>
        <w:rPr>
          <w:sz w:val="20"/>
          <w:szCs w:val="20"/>
          <w:color w:val="auto"/>
        </w:rPr>
      </w:pPr>
    </w:p>
    <w:p>
      <w:pPr>
        <w:ind w:right="60" w:firstLine="189"/>
        <w:spacing w:after="0" w:line="266" w:lineRule="auto"/>
        <w:rPr>
          <w:sz w:val="20"/>
          <w:szCs w:val="20"/>
          <w:color w:val="auto"/>
        </w:rPr>
      </w:pPr>
      <w:r>
        <w:rPr>
          <w:rFonts w:ascii="Arial" w:cs="Arial" w:eastAsia="Arial" w:hAnsi="Arial"/>
          <w:sz w:val="20"/>
          <w:szCs w:val="20"/>
          <w:color w:val="auto"/>
        </w:rPr>
        <w:t>e expect that currency exchange rate fluctuations could have a material adverse effect on our sales and results of operations from time to time. In addition, fluctuations in currency exchange rates may have a greater impact on our earnings and operating results if a counterparty to one of our hedging arrangements fails to perform.</w:t>
      </w:r>
    </w:p>
    <w:p>
      <w:pPr>
        <w:spacing w:after="0" w:line="61" w:lineRule="exact"/>
        <w:rPr>
          <w:sz w:val="20"/>
          <w:szCs w:val="20"/>
          <w:color w:val="auto"/>
        </w:rPr>
      </w:pPr>
    </w:p>
    <w:p>
      <w:pPr>
        <w:ind w:left="1080"/>
        <w:spacing w:after="0"/>
        <w:tabs>
          <w:tab w:leader="none" w:pos="1540" w:val="left"/>
          <w:tab w:leader="none" w:pos="2640" w:val="left"/>
          <w:tab w:leader="none" w:pos="3020" w:val="left"/>
          <w:tab w:leader="none" w:pos="3840" w:val="left"/>
          <w:tab w:leader="none" w:pos="4760" w:val="left"/>
        </w:tabs>
        <w:rPr>
          <w:sz w:val="20"/>
          <w:szCs w:val="20"/>
          <w:color w:val="auto"/>
        </w:rPr>
      </w:pPr>
      <w:r>
        <w:rPr>
          <w:rFonts w:ascii="Arial" w:cs="Arial" w:eastAsia="Arial" w:hAnsi="Arial"/>
          <w:sz w:val="22"/>
          <w:szCs w:val="22"/>
          <w:color w:val="auto"/>
        </w:rPr>
        <w:t>O</w:t>
        <w:tab/>
        <w:t>,</w:t>
      </w:r>
      <w:r>
        <w:rPr>
          <w:sz w:val="20"/>
          <w:szCs w:val="20"/>
          <w:color w:val="auto"/>
        </w:rPr>
        <w:tab/>
      </w:r>
      <w:r>
        <w:rPr>
          <w:rFonts w:ascii="Arial" w:cs="Arial" w:eastAsia="Arial" w:hAnsi="Arial"/>
          <w:sz w:val="22"/>
          <w:szCs w:val="22"/>
          <w:color w:val="auto"/>
        </w:rPr>
        <w:t>N</w:t>
        <w:tab/>
        <w:t>CO</w:t>
      </w:r>
      <w:r>
        <w:rPr>
          <w:sz w:val="20"/>
          <w:szCs w:val="20"/>
          <w:color w:val="auto"/>
        </w:rPr>
        <w:tab/>
      </w:r>
      <w:r>
        <w:rPr>
          <w:rFonts w:ascii="Arial" w:cs="Arial" w:eastAsia="Arial" w:hAnsi="Arial"/>
          <w:sz w:val="22"/>
          <w:szCs w:val="22"/>
          <w:color w:val="auto"/>
        </w:rPr>
        <w:t>I  NC</w:t>
        <w:tab/>
        <w:t>IS  S</w:t>
      </w:r>
    </w:p>
    <w:p>
      <w:pPr>
        <w:spacing w:after="0" w:line="137" w:lineRule="exact"/>
        <w:rPr>
          <w:sz w:val="20"/>
          <w:szCs w:val="20"/>
          <w:color w:val="auto"/>
        </w:rPr>
      </w:pPr>
    </w:p>
    <w:p>
      <w:pPr>
        <w:ind w:right="280" w:firstLine="133"/>
        <w:spacing w:after="0" w:line="288" w:lineRule="auto"/>
        <w:rPr>
          <w:sz w:val="20"/>
          <w:szCs w:val="20"/>
          <w:color w:val="auto"/>
        </w:rPr>
      </w:pPr>
      <w:r>
        <w:rPr>
          <w:rFonts w:ascii="Arial" w:cs="Arial" w:eastAsia="Arial" w:hAnsi="Arial"/>
          <w:sz w:val="20"/>
          <w:szCs w:val="20"/>
          <w:i w:val="1"/>
          <w:iCs w:val="1"/>
          <w:color w:val="auto"/>
        </w:rPr>
        <w:t>ailure to co l it la s rules regulations and orders and a licable accounting rinci les and inter retations could negati el affect our business o erations and financial erfor ance</w:t>
      </w:r>
    </w:p>
    <w:p>
      <w:pPr>
        <w:spacing w:after="0" w:line="56" w:lineRule="exact"/>
        <w:rPr>
          <w:sz w:val="20"/>
          <w:szCs w:val="20"/>
          <w:color w:val="auto"/>
        </w:rPr>
      </w:pPr>
    </w:p>
    <w:p>
      <w:pPr>
        <w:ind w:right="340" w:firstLine="189"/>
        <w:spacing w:after="0" w:line="290" w:lineRule="auto"/>
        <w:rPr>
          <w:sz w:val="20"/>
          <w:szCs w:val="20"/>
          <w:color w:val="auto"/>
        </w:rPr>
      </w:pPr>
      <w:r>
        <w:rPr>
          <w:rFonts w:ascii="Arial" w:cs="Arial" w:eastAsia="Arial" w:hAnsi="Arial"/>
          <w:sz w:val="18"/>
          <w:szCs w:val="18"/>
          <w:color w:val="auto"/>
        </w:rPr>
        <w:t>e are subject to national, state, provincial, regional and local laws, rules, regulations, mandates, accounting standards, principles and interpretations, as well as government orders in various countries in which we operate that collectively affect multiple aspects of our business. e are also subject to new and changing laws, rules and regulations, mandates, evolving interpretations of existing laws by judicial and regulatory authorities, changes in accounting standards, principles or interpretations and reforms in jurisdictions where we do business. These re uirements, current or changing, could adversely affect our operating results and may affect our operations, and include those involving:</w:t>
      </w:r>
    </w:p>
    <w:p>
      <w:pPr>
        <w:spacing w:after="0" w:line="59" w:lineRule="exact"/>
        <w:rPr>
          <w:sz w:val="20"/>
          <w:szCs w:val="20"/>
          <w:color w:val="auto"/>
        </w:rPr>
      </w:pPr>
    </w:p>
    <w:p>
      <w:pPr>
        <w:ind w:left="720" w:right="520"/>
        <w:spacing w:after="0" w:line="283" w:lineRule="auto"/>
        <w:rPr>
          <w:sz w:val="20"/>
          <w:szCs w:val="20"/>
          <w:color w:val="auto"/>
        </w:rPr>
      </w:pPr>
      <w:r>
        <w:rPr>
          <w:rFonts w:ascii="Arial" w:cs="Arial" w:eastAsia="Arial" w:hAnsi="Arial"/>
          <w:sz w:val="20"/>
          <w:szCs w:val="20"/>
          <w:color w:val="auto"/>
        </w:rPr>
        <w:t>labor and employment practices, including pay and benefits, worker classification, work authori ation, and labor unions and works councils</w:t>
      </w:r>
    </w:p>
    <w:p>
      <w:pPr>
        <w:spacing w:after="0" w:line="58" w:lineRule="exact"/>
        <w:rPr>
          <w:sz w:val="20"/>
          <w:szCs w:val="20"/>
          <w:color w:val="auto"/>
        </w:rPr>
      </w:pPr>
    </w:p>
    <w:p>
      <w:pPr>
        <w:ind w:left="720"/>
        <w:spacing w:after="0" w:line="261" w:lineRule="auto"/>
        <w:rPr>
          <w:sz w:val="20"/>
          <w:szCs w:val="20"/>
          <w:color w:val="auto"/>
        </w:rPr>
      </w:pPr>
      <w:r>
        <w:rPr>
          <w:rFonts w:ascii="Arial" w:cs="Arial" w:eastAsia="Arial" w:hAnsi="Arial"/>
          <w:sz w:val="20"/>
          <w:szCs w:val="20"/>
          <w:color w:val="auto"/>
        </w:rPr>
        <w:t>import export, supply chain, social compliance, and trade restrictions and logistics, including resulting from changes to re uirements or policies from the yghur Forced Labor Prevention Act, the Countering America’s Adversaries Through Sanctions Act and the continuation of widespread sanctions as a result of the ongoing ussia- kraine conflict</w:t>
      </w:r>
    </w:p>
    <w:p>
      <w:pPr>
        <w:spacing w:after="0" w:line="80" w:lineRule="exact"/>
        <w:rPr>
          <w:sz w:val="20"/>
          <w:szCs w:val="20"/>
          <w:color w:val="auto"/>
        </w:rPr>
      </w:pPr>
    </w:p>
    <w:p>
      <w:pPr>
        <w:ind w:left="720" w:right="2120"/>
        <w:spacing w:after="0" w:line="442" w:lineRule="auto"/>
        <w:rPr>
          <w:sz w:val="20"/>
          <w:szCs w:val="20"/>
          <w:color w:val="auto"/>
        </w:rPr>
      </w:pPr>
      <w:r>
        <w:rPr>
          <w:rFonts w:ascii="Arial" w:cs="Arial" w:eastAsia="Arial" w:hAnsi="Arial"/>
          <w:sz w:val="20"/>
          <w:szCs w:val="20"/>
          <w:color w:val="auto"/>
        </w:rPr>
        <w:t>climate change, energy, waste, deforestation, biodiversity, chemicals management and water consumer protection, product safety and product compliance marketing</w:t>
      </w:r>
    </w:p>
    <w:p>
      <w:pPr>
        <w:spacing w:after="0" w:line="233" w:lineRule="exact"/>
        <w:rPr>
          <w:sz w:val="20"/>
          <w:szCs w:val="20"/>
          <w:color w:val="auto"/>
        </w:rPr>
      </w:pPr>
    </w:p>
    <w:p>
      <w:pPr>
        <w:ind w:left="720" w:right="1480"/>
        <w:spacing w:after="0" w:line="375" w:lineRule="auto"/>
        <w:rPr>
          <w:sz w:val="20"/>
          <w:szCs w:val="20"/>
          <w:color w:val="auto"/>
        </w:rPr>
      </w:pPr>
      <w:r>
        <w:rPr>
          <w:rFonts w:ascii="Arial" w:cs="Arial" w:eastAsia="Arial" w:hAnsi="Arial"/>
          <w:sz w:val="20"/>
          <w:szCs w:val="20"/>
          <w:color w:val="auto"/>
        </w:rPr>
        <w:t>financial regulations and reporting, including various climate-related financial disclosure regulations tax</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cybersecurity, data protection and privacy</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artificial intelligence</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internet regulations, including e-commerce, electronic communications and privacy</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protection of intellectual property rights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health, welfare and safety re uirements and</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compliance with governmental assistance programs.</w:t>
      </w:r>
    </w:p>
    <w:p>
      <w:pPr>
        <w:sectPr>
          <w:pgSz w:w="12240" w:h="15841" w:orient="portrait"/>
          <w:cols w:equalWidth="0" w:num="1">
            <w:col w:w="10240"/>
          </w:cols>
          <w:pgMar w:left="1000" w:top="694"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2240" w:h="15841" w:orient="portrait"/>
          <w:cols w:equalWidth="0" w:num="1">
            <w:col w:w="10240"/>
          </w:cols>
          <w:pgMar w:left="1000" w:top="694" w:right="1001" w:bottom="0" w:gutter="0" w:footer="0" w:header="0"/>
          <w:type w:val="continuous"/>
        </w:sectPr>
      </w:pPr>
    </w:p>
    <w:bookmarkStart w:id="29" w:name="page30"/>
    <w:bookmarkEnd w:id="29"/>
    <w:p>
      <w:pPr>
        <w:ind w:right="80"/>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Complying with applicable laws, rules, regulations, standards, interpretations, orders and our own internal policies may re uire us to spend additional time and resources to develop and implement new policies, procedures and other controls, consolidate and report additional data, conduct audits, train Associates and third parties on our compliance methods, or take other actions, particularly as we continue to grow globally and enter new markets, countries, or product categories and affect our operations including where, what, and how we source and how we allocate what we buy, any of which could adversely impact our results. Particularly in a dynamic regulatory environment, anticipated changes to laws and regulations have re uired, and are expected to continue to re uire, us to invest in compliance efforts or otherwise expend resources before changes are certain. There have been and continue to be changes to federal policy and the federal government in the .S., which have impacted, and may</w:t>
      </w:r>
    </w:p>
    <w:p>
      <w:pPr>
        <w:spacing w:after="0" w:line="2" w:lineRule="exact"/>
        <w:rPr>
          <w:sz w:val="20"/>
          <w:szCs w:val="20"/>
          <w:color w:val="auto"/>
        </w:rPr>
      </w:pPr>
    </w:p>
    <w:p>
      <w:pPr>
        <w:ind w:right="1060"/>
        <w:spacing w:after="0" w:line="283" w:lineRule="auto"/>
        <w:rPr>
          <w:sz w:val="20"/>
          <w:szCs w:val="20"/>
          <w:color w:val="auto"/>
        </w:rPr>
      </w:pPr>
      <w:r>
        <w:rPr>
          <w:rFonts w:ascii="Arial" w:cs="Arial" w:eastAsia="Arial" w:hAnsi="Arial"/>
          <w:sz w:val="20"/>
          <w:szCs w:val="20"/>
          <w:color w:val="auto"/>
        </w:rPr>
        <w:t>continue to impact, among other things, the .S. and global economy, international trade relations, unemployment, immigration, healthcare, taxation, and the .S. regulatory environment.</w:t>
      </w:r>
    </w:p>
    <w:p>
      <w:pPr>
        <w:spacing w:after="0" w:line="58"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In addition, if we, or third parties that perform services on our behalf, including those operating retail businesses, fail to comply with applicable laws, rules, regulations, standards, interpretations and orders, or are unable to provide us with data or other information needed to meet our regulatory reporting obligations, we may be subject to judgments, fines or other costs or penalties, which may cause reputational harm and could adversely affect our operations and our financial results and condition.</w:t>
      </w:r>
    </w:p>
    <w:p>
      <w:pPr>
        <w:spacing w:after="0" w:line="40" w:lineRule="exact"/>
        <w:rPr>
          <w:sz w:val="20"/>
          <w:szCs w:val="20"/>
          <w:color w:val="auto"/>
        </w:rPr>
      </w:pPr>
    </w:p>
    <w:p>
      <w:pPr>
        <w:ind w:right="840"/>
        <w:spacing w:after="0" w:line="288" w:lineRule="auto"/>
        <w:rPr>
          <w:sz w:val="20"/>
          <w:szCs w:val="20"/>
          <w:color w:val="auto"/>
        </w:rPr>
      </w:pPr>
      <w:r>
        <w:rPr>
          <w:rFonts w:ascii="Arial" w:cs="Arial" w:eastAsia="Arial" w:hAnsi="Arial"/>
          <w:sz w:val="20"/>
          <w:szCs w:val="20"/>
          <w:i w:val="1"/>
          <w:iCs w:val="1"/>
          <w:color w:val="auto"/>
        </w:rPr>
        <w:t>Our results a be ateriall ad ersel affected b t e outco es of litigation legal roceedings and ot er legal or regulator atters</w:t>
      </w:r>
    </w:p>
    <w:p>
      <w:pPr>
        <w:spacing w:after="0" w:line="56" w:lineRule="exact"/>
        <w:rPr>
          <w:sz w:val="20"/>
          <w:szCs w:val="20"/>
          <w:color w:val="auto"/>
        </w:rPr>
      </w:pPr>
    </w:p>
    <w:p>
      <w:pPr>
        <w:ind w:right="20" w:firstLine="189"/>
        <w:spacing w:after="0" w:line="266" w:lineRule="auto"/>
        <w:rPr>
          <w:sz w:val="20"/>
          <w:szCs w:val="20"/>
          <w:color w:val="auto"/>
        </w:rPr>
      </w:pPr>
      <w:r>
        <w:rPr>
          <w:rFonts w:ascii="Arial" w:cs="Arial" w:eastAsia="Arial" w:hAnsi="Arial"/>
          <w:sz w:val="19"/>
          <w:szCs w:val="19"/>
          <w:color w:val="auto"/>
        </w:rPr>
        <w:t>e are involved in, and may in the future become involved in additional, legal proceedings, regulatory reviews, audits and other legal matters. These may involve in uiries, investigations, lawsuits and other proceedings by local, provincial, state and national governmental entities (in the .S. and other countries) and private plaintiffs, including with respect to employment and employee benefits (such as classification, employment rights, discrimination, wage and hour, retirement, health and other benefits, retaliation, work authori ation and pay transparency) whistleblower claims harassment claims tax securities disclosure real estate environmental matters ha ardous materials and ha ardous waste torts business practices consumer protection potential tariff refunds privacy cybersecurity product safety and compliance advertising and intellectual property. There continue to be employment-related and consumer protection lawsuits, including putative class actions, in the nited States, and we are subject to these types of suits. e cannot predict the results of legal and regulatory proceedings with certainty, and actual results may differ from any reserves we establish estimating the probable outcome. egardless of merit or outcome, these proceedings can be both time-consuming and disruptive to our operations and may cause reputational harm as well as significant expense and diversion of management attention. Legal, regulatory and other proceedings could expose us to significant defense costs, fines, penalties and liability to private parties and governmental entities for monetary recoveries and other amounts and attorneys’ fees and or re uire us to change aspects of our operations, any of which could have a material adverse effect on our business and results of operations.</w:t>
      </w:r>
    </w:p>
    <w:p>
      <w:pPr>
        <w:spacing w:after="0" w:line="79" w:lineRule="exact"/>
        <w:rPr>
          <w:sz w:val="20"/>
          <w:szCs w:val="20"/>
          <w:color w:val="auto"/>
        </w:rPr>
      </w:pPr>
    </w:p>
    <w:p>
      <w:pPr>
        <w:ind w:left="140" w:right="220"/>
        <w:spacing w:after="0" w:line="334" w:lineRule="auto"/>
        <w:rPr>
          <w:sz w:val="20"/>
          <w:szCs w:val="20"/>
          <w:color w:val="auto"/>
        </w:rPr>
      </w:pPr>
      <w:r>
        <w:rPr>
          <w:rFonts w:ascii="Arial" w:cs="Arial" w:eastAsia="Arial" w:hAnsi="Arial"/>
          <w:sz w:val="19"/>
          <w:szCs w:val="19"/>
          <w:i w:val="1"/>
          <w:iCs w:val="1"/>
          <w:color w:val="auto"/>
        </w:rPr>
        <w:t xml:space="preserve">ualit safet or ot er issues it erc andise e bu and sell could i act our re utation sales and financial results </w:t>
      </w:r>
      <w:r>
        <w:rPr>
          <w:rFonts w:ascii="Arial" w:cs="Arial" w:eastAsia="Arial" w:hAnsi="Arial"/>
          <w:sz w:val="19"/>
          <w:szCs w:val="19"/>
          <w:color w:val="auto"/>
        </w:rPr>
        <w:t>arious governmental authorities in the jurisdictions where we do business regulate the uality and safety of the merchandise</w:t>
      </w:r>
    </w:p>
    <w:p>
      <w:pPr>
        <w:ind w:right="40"/>
        <w:spacing w:after="0" w:line="281" w:lineRule="auto"/>
        <w:rPr>
          <w:sz w:val="20"/>
          <w:szCs w:val="20"/>
          <w:color w:val="auto"/>
        </w:rPr>
      </w:pPr>
      <w:r>
        <w:rPr>
          <w:rFonts w:ascii="Arial" w:cs="Arial" w:eastAsia="Arial" w:hAnsi="Arial"/>
          <w:sz w:val="18"/>
          <w:szCs w:val="18"/>
          <w:color w:val="auto"/>
        </w:rPr>
        <w:t>we import, transport and sell to consumers. egulations and standards in this area, including federal laws and regulations enforced by the .S. Consumer Product Safety Commission (such as the Consumer Product Safety Improvement Act of 2008) and the .S. Food and Drug Administration (such as the .S. Food Safety oderni ation Act), state laws and regulations like California’s Proposition 65 and similar obligations in other countries in which we operate, impose restrictions and re uirements on the merchandise we buy and sell. These re uirements change from time to time, and new national, state, provincial or local regulations in the .S. and other countries that may affect our business are contemplated and enacted with some regularity. e rely on our vendors to provide uality merchandise that complies with applicable laws and regulations and our vendor code of conduct. owever, our vendors have not always complied with such obligations. If we, our vendors, or other third parties performing services on our behalf are unable or fail to comply with regulatory re uirements on a timely basis or at all, or to ade uately monitor new regulations that may apply to existing or new merchandise categories or in new geographies, or if we sell non-compliant, unsafe, or previously recalled products, we could have to conduct product recalls, incur significant fines or penalties for non-compliance with applicable laws and regulations and have to curtail some aspects of our sales or operations, any of which could have an adverse effect on our financial results. Allegations of non-compliance with applicable laws and regulations could, and in certain instances in the past have, exposed us to litigation or governmental enforcement action. Although our arrangements with our vendors fre uently provide for indemnification for product liabilities, the vendors may fail to honor these obligations to an extent we consider sufficient or at all. In certain circumstances, we may bear some responsibility for compliance with applicable product safety laws, labeling re uirements and other applicable laws and regulations. In addition, failure to comply with, or the perception that we have failed to comply with, other social compliance, product, labor and or environmental standards or monitoring practices, all of which continue to evolve, related to the products we sell could subject us to reputational harm and impact our financial results.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Concerns or issues with the uality, safety and sourcing of merchandise, particularly with products subject to increased levels of regulation or in uiry, or the authenticity of merchandise, could result in regulatory, civil or criminal fines or penalties litigation or reputational harm, any of which could have an adverse effect on our financial results.</w:t>
      </w:r>
    </w:p>
    <w:p>
      <w:pPr>
        <w:sectPr>
          <w:pgSz w:w="12240" w:h="15841" w:orient="portrait"/>
          <w:cols w:equalWidth="0" w:num="1">
            <w:col w:w="10240"/>
          </w:cols>
          <w:pgMar w:left="1000" w:top="702" w:right="1001"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2240" w:h="15841" w:orient="portrait"/>
          <w:cols w:equalWidth="0" w:num="1">
            <w:col w:w="10240"/>
          </w:cols>
          <w:pgMar w:left="1000" w:top="702" w:right="1001" w:bottom="0" w:gutter="0" w:footer="0" w:header="0"/>
          <w:type w:val="continuous"/>
        </w:sectPr>
      </w:pPr>
    </w:p>
    <w:bookmarkStart w:id="30" w:name="page31"/>
    <w:bookmarkEnd w:id="30"/>
    <w:p>
      <w:pPr>
        <w:ind w:left="120"/>
        <w:spacing w:after="0"/>
        <w:tabs>
          <w:tab w:leader="none" w:pos="500"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w:t>
        <w:tab/>
        <w:t>atters could ad ersel  affect our results of o erations and financial condition</w:t>
      </w:r>
    </w:p>
    <w:p>
      <w:pPr>
        <w:spacing w:after="0" w:line="138" w:lineRule="exact"/>
        <w:rPr>
          <w:sz w:val="20"/>
          <w:szCs w:val="20"/>
          <w:color w:val="auto"/>
        </w:rPr>
      </w:pPr>
    </w:p>
    <w:p>
      <w:pPr>
        <w:ind w:firstLine="189"/>
        <w:spacing w:after="0" w:line="270" w:lineRule="auto"/>
        <w:rPr>
          <w:sz w:val="20"/>
          <w:szCs w:val="20"/>
          <w:color w:val="auto"/>
        </w:rPr>
      </w:pPr>
      <w:r>
        <w:rPr>
          <w:rFonts w:ascii="Arial" w:cs="Arial" w:eastAsia="Arial" w:hAnsi="Arial"/>
          <w:sz w:val="19"/>
          <w:szCs w:val="19"/>
          <w:color w:val="auto"/>
        </w:rPr>
        <w:t>e are subject to income and other taxes in the .S. and numerous foreign jurisdictions. ur effective income tax rate and future tax liability could be adversely affected by numerous factors including the results of tax audits income before taxes being lower than anticipated in countries with lower statutory income tax rates and higher than anticipated in countries with higher statutory income tax rates changes in income tax rates changes in transfer pricing changes in the valuation of deferred tax assets and liabilities changes in applicable tax legislation, regulations, treaties and other guidance and changes in accounting principles and interpretations relating to tax matters, any of which could adversely impact our results of operations and financial condition in future periods. Significant judgment is re uired in evaluating and estimating our worldwide provision and accruals for taxes, and actual results may differ from our estimations.</w:t>
      </w:r>
    </w:p>
    <w:p>
      <w:pPr>
        <w:spacing w:after="0" w:line="7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addition, we are subject to the continuous examination of our tax returns and reports by national, state, provincial and local tax authorities in the .S. and foreign countries, and the examining authorities may challenge positions we take. e are engaged in various proceedings, which are at various stages, with such authorities with respect to assessments, claims, deficiencies and refunds. e regularly assess the likely outcomes of these proceedings to determine the ade uacy and appropriateness of our provision for income taxes, and we increase and decrease our provision as a result of these assessments.</w:t>
      </w:r>
    </w:p>
    <w:p>
      <w:pPr>
        <w:spacing w:after="0" w:line="1" w:lineRule="exact"/>
        <w:rPr>
          <w:sz w:val="20"/>
          <w:szCs w:val="20"/>
          <w:color w:val="auto"/>
        </w:rPr>
      </w:pPr>
    </w:p>
    <w:p>
      <w:pPr>
        <w:ind w:right="100" w:firstLine="145"/>
        <w:spacing w:after="0" w:line="255" w:lineRule="auto"/>
        <w:rPr>
          <w:sz w:val="20"/>
          <w:szCs w:val="20"/>
          <w:color w:val="auto"/>
        </w:rPr>
      </w:pPr>
      <w:r>
        <w:rPr>
          <w:rFonts w:ascii="Arial" w:cs="Arial" w:eastAsia="Arial" w:hAnsi="Arial"/>
          <w:sz w:val="20"/>
          <w:szCs w:val="20"/>
          <w:color w:val="auto"/>
        </w:rPr>
        <w:t>owever, developments in and actual results of proceedings, rulings or settlements by or with tax authorities or courts (including due to changes in facts, law or legal interpretations, expiration of applicable statutes of limitations or other resolutions of tax positions) could result in amounts that differ from those we have accrued for such proceedings in either a positive or a negative manner, which could materially affect our effective income tax rate in a given financial period, the amount of taxes we are re uired to pay and our results of operations. In addition, we are subject to tax audits and examinations for payroll, value added, sales-based and other taxes relating to our businesses, which could adversely impact our financial results.</w:t>
      </w:r>
    </w:p>
    <w:p>
      <w:pPr>
        <w:spacing w:after="0" w:line="68" w:lineRule="exact"/>
        <w:rPr>
          <w:sz w:val="20"/>
          <w:szCs w:val="20"/>
          <w:color w:val="auto"/>
        </w:rPr>
      </w:pPr>
    </w:p>
    <w:p>
      <w:pPr>
        <w:spacing w:after="0"/>
        <w:tabs>
          <w:tab w:leader="none" w:pos="680" w:val="left"/>
          <w:tab w:leader="none" w:pos="130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1 .</w:t>
      </w:r>
      <w:r>
        <w:rPr>
          <w:sz w:val="20"/>
          <w:szCs w:val="20"/>
          <w:color w:val="auto"/>
        </w:rPr>
        <w:tab/>
      </w:r>
      <w:r>
        <w:rPr>
          <w:rFonts w:ascii="Arial" w:cs="Arial" w:eastAsia="Arial" w:hAnsi="Arial"/>
          <w:sz w:val="23"/>
          <w:szCs w:val="23"/>
          <w:color w:val="auto"/>
        </w:rPr>
        <w:t>nresol 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1C. Cybersecurity</w:t>
      </w:r>
    </w:p>
    <w:p>
      <w:pPr>
        <w:spacing w:after="0" w:line="138" w:lineRule="exact"/>
        <w:rPr>
          <w:sz w:val="20"/>
          <w:szCs w:val="20"/>
          <w:color w:val="auto"/>
        </w:rPr>
      </w:pPr>
    </w:p>
    <w:p>
      <w:pPr>
        <w:ind w:left="140"/>
        <w:spacing w:after="0"/>
        <w:tabs>
          <w:tab w:leader="none" w:pos="620" w:val="left"/>
          <w:tab w:leader="none" w:pos="1340" w:val="left"/>
          <w:tab w:leader="none" w:pos="2200" w:val="left"/>
        </w:tabs>
        <w:rPr>
          <w:sz w:val="20"/>
          <w:szCs w:val="20"/>
          <w:color w:val="auto"/>
        </w:rPr>
      </w:pPr>
      <w:r>
        <w:rPr>
          <w:rFonts w:ascii="Arial" w:cs="Arial" w:eastAsia="Arial" w:hAnsi="Arial"/>
          <w:sz w:val="22"/>
          <w:szCs w:val="22"/>
          <w:i w:val="1"/>
          <w:iCs w:val="1"/>
          <w:color w:val="auto"/>
        </w:rPr>
        <w:t>is</w:t>
      </w:r>
      <w:r>
        <w:rPr>
          <w:sz w:val="20"/>
          <w:szCs w:val="20"/>
          <w:color w:val="auto"/>
        </w:rPr>
        <w:tab/>
      </w:r>
      <w:r>
        <w:rPr>
          <w:rFonts w:ascii="Arial" w:cs="Arial" w:eastAsia="Arial" w:hAnsi="Arial"/>
          <w:sz w:val="22"/>
          <w:szCs w:val="22"/>
          <w:i w:val="1"/>
          <w:iCs w:val="1"/>
          <w:color w:val="auto"/>
        </w:rPr>
        <w:t>anage</w:t>
        <w:tab/>
        <w:t>ent and</w:t>
      </w:r>
      <w:r>
        <w:rPr>
          <w:sz w:val="20"/>
          <w:szCs w:val="20"/>
          <w:color w:val="auto"/>
        </w:rPr>
        <w:tab/>
      </w:r>
      <w:r>
        <w:rPr>
          <w:rFonts w:ascii="Arial" w:cs="Arial" w:eastAsia="Arial" w:hAnsi="Arial"/>
          <w:sz w:val="20"/>
          <w:szCs w:val="20"/>
          <w:i w:val="1"/>
          <w:iCs w:val="1"/>
          <w:color w:val="auto"/>
        </w:rPr>
        <w:t>trateg</w:t>
      </w:r>
    </w:p>
    <w:p>
      <w:pPr>
        <w:spacing w:after="0" w:line="146"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As a global retailer, we are mindful of the ongoing risks to our IT systems and operations from various sources and have implemented processes to monitor and mitigate these risks. e have adopted a cybersecurity program designed to identify, assess, and manage material risks from cybersecurity threats and have integrated cybersecurity risk into our broader enterprise risk management framework. e incorporate periodic third-party assessments into our risk management program, leveraging appropriate benchmarks and recogni ed standards and frameworks that are relevant to our business (such as the NIST Cybersecurity Framework), and we periodically self-assess various functional areas of our organi ation.</w:t>
      </w:r>
    </w:p>
    <w:p>
      <w:pPr>
        <w:spacing w:after="0" w:line="59" w:lineRule="exact"/>
        <w:rPr>
          <w:sz w:val="20"/>
          <w:szCs w:val="20"/>
          <w:color w:val="auto"/>
        </w:rPr>
      </w:pPr>
    </w:p>
    <w:p>
      <w:pPr>
        <w:ind w:firstLine="189"/>
        <w:spacing w:after="0" w:line="270" w:lineRule="auto"/>
        <w:rPr>
          <w:sz w:val="20"/>
          <w:szCs w:val="20"/>
          <w:color w:val="auto"/>
        </w:rPr>
      </w:pPr>
      <w:r>
        <w:rPr>
          <w:rFonts w:ascii="Arial" w:cs="Arial" w:eastAsia="Arial" w:hAnsi="Arial"/>
          <w:sz w:val="19"/>
          <w:szCs w:val="19"/>
          <w:color w:val="auto"/>
        </w:rPr>
        <w:t>e use a variety of strategies and techni ues designed to identify cybersecurity risks and reduce the risk of unauthori ed access to our organi ation’s confidential information (including customer, vendor, and Associate data) and critical business systems. This approach includes various assessment activities (e.g. threat actor emulation and penetration testing), tabletop exercises, a vulnerability management program, tools designed to monitor our networks, systems, and data for suspicious activity, security awareness and training activities (e.g. simulated phishing campaigns and speciali ed training for cybersecurity personnel), encryption of certain types of information, and certain controls governing access to TJX facilities and systems, among other threat- and risk-based safeguards. The scope and level of our risk-based initiatives in these areas varies across functions and across the business.</w:t>
      </w:r>
    </w:p>
    <w:p>
      <w:pPr>
        <w:spacing w:after="0" w:line="74" w:lineRule="exact"/>
        <w:rPr>
          <w:sz w:val="20"/>
          <w:szCs w:val="20"/>
          <w:color w:val="auto"/>
        </w:rPr>
      </w:pPr>
    </w:p>
    <w:p>
      <w:pPr>
        <w:ind w:right="160" w:firstLine="189"/>
        <w:spacing w:after="0" w:line="263" w:lineRule="auto"/>
        <w:rPr>
          <w:sz w:val="20"/>
          <w:szCs w:val="20"/>
          <w:color w:val="auto"/>
        </w:rPr>
      </w:pPr>
      <w:r>
        <w:rPr>
          <w:rFonts w:ascii="Arial" w:cs="Arial" w:eastAsia="Arial" w:hAnsi="Arial"/>
          <w:sz w:val="19"/>
          <w:szCs w:val="19"/>
          <w:color w:val="auto"/>
        </w:rPr>
        <w:t>e maintain an Information anagement Program that is overseen by our Information anagement Steering Committee (the I SC ), which is a cross-functional group consisting of senior leaders from areas such as IT, Cybersecurity, isk and Compliance, Privacy, Legal, and Audit. The I SC is responsible for developing and updating policies to support TJX’s</w:t>
      </w:r>
    </w:p>
    <w:p>
      <w:pPr>
        <w:spacing w:after="0" w:line="2"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Information anagement Program and enhance the overall privacy, information security, and records management posture of our business.</w:t>
      </w:r>
    </w:p>
    <w:p>
      <w:pPr>
        <w:spacing w:after="0" w:line="58" w:lineRule="exact"/>
        <w:rPr>
          <w:sz w:val="20"/>
          <w:szCs w:val="20"/>
          <w:color w:val="auto"/>
        </w:rPr>
      </w:pPr>
    </w:p>
    <w:p>
      <w:pPr>
        <w:ind w:left="180"/>
        <w:spacing w:after="0"/>
        <w:tabs>
          <w:tab w:leader="none" w:pos="4240" w:val="left"/>
        </w:tabs>
        <w:rPr>
          <w:sz w:val="20"/>
          <w:szCs w:val="20"/>
          <w:color w:val="auto"/>
        </w:rPr>
      </w:pPr>
      <w:r>
        <w:rPr>
          <w:rFonts w:ascii="Arial" w:cs="Arial" w:eastAsia="Arial" w:hAnsi="Arial"/>
          <w:sz w:val="20"/>
          <w:szCs w:val="20"/>
          <w:color w:val="auto"/>
        </w:rPr>
        <w:t>ithin our Cybersecurity department, our Security</w:t>
      </w:r>
      <w:r>
        <w:rPr>
          <w:sz w:val="20"/>
          <w:szCs w:val="20"/>
          <w:color w:val="auto"/>
        </w:rPr>
        <w:tab/>
      </w:r>
      <w:r>
        <w:rPr>
          <w:rFonts w:ascii="Arial" w:cs="Arial" w:eastAsia="Arial" w:hAnsi="Arial"/>
          <w:sz w:val="17"/>
          <w:szCs w:val="17"/>
          <w:color w:val="auto"/>
        </w:rPr>
        <w:t>perations Center provides threat detection and incident response</w:t>
      </w:r>
    </w:p>
    <w:p>
      <w:pPr>
        <w:spacing w:after="0" w:line="10"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capabilities. e also have an incident response plan which includes processes to investigate, contain, escalate, and remediate potential cybersecurity incidents as well as to comply with potentially applicable legal obligations and mitigate reputational harm. e periodically test this plan through tabletop exercises with relevant stakeholders across various functions of our business, including members of senior management. In the event that a cybersecurity incident is determined to be potentially material, we will assess materiality and, as appropriate, disclose such incident in accordance with applicable regulatory re uirements.</w:t>
      </w:r>
    </w:p>
    <w:p>
      <w:pPr>
        <w:sectPr>
          <w:pgSz w:w="12240" w:h="15841" w:orient="portrait"/>
          <w:cols w:equalWidth="0" w:num="1">
            <w:col w:w="10220"/>
          </w:cols>
          <w:pgMar w:left="1000" w:top="694"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2240" w:h="15841" w:orient="portrait"/>
          <w:cols w:equalWidth="0" w:num="1">
            <w:col w:w="10220"/>
          </w:cols>
          <w:pgMar w:left="1000" w:top="694" w:right="1021" w:bottom="0" w:gutter="0" w:footer="0" w:header="0"/>
          <w:type w:val="continuous"/>
        </w:sectPr>
      </w:pPr>
    </w:p>
    <w:bookmarkStart w:id="31" w:name="page32"/>
    <w:bookmarkEnd w:id="31"/>
    <w:p>
      <w:pPr>
        <w:ind w:right="500" w:firstLine="189"/>
        <w:spacing w:after="0" w:line="26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 also have processes in place designed to identify and mitigate risks from third party technology and service providers, including, as appropriate, pre-contractual due diligence, review of contractual terms addressing cybersecurity and data protection, and periodic re-assessment based on assessed vendor risk.</w:t>
      </w:r>
    </w:p>
    <w:p>
      <w:pPr>
        <w:spacing w:after="0" w:line="60"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22"/>
          <w:szCs w:val="22"/>
          <w:i w:val="1"/>
          <w:iCs w:val="1"/>
          <w:color w:val="auto"/>
        </w:rPr>
        <w:t>oard of</w:t>
        <w:tab/>
        <w:t>irectors O ersig t</w:t>
      </w:r>
    </w:p>
    <w:p>
      <w:pPr>
        <w:spacing w:after="0" w:line="146" w:lineRule="exact"/>
        <w:rPr>
          <w:sz w:val="20"/>
          <w:szCs w:val="20"/>
          <w:color w:val="auto"/>
        </w:rPr>
      </w:pPr>
    </w:p>
    <w:p>
      <w:pPr>
        <w:ind w:right="160" w:firstLine="145"/>
        <w:spacing w:after="0" w:line="284" w:lineRule="auto"/>
        <w:rPr>
          <w:sz w:val="20"/>
          <w:szCs w:val="20"/>
          <w:color w:val="auto"/>
        </w:rPr>
      </w:pPr>
      <w:r>
        <w:rPr>
          <w:rFonts w:ascii="Arial" w:cs="Arial" w:eastAsia="Arial" w:hAnsi="Arial"/>
          <w:sz w:val="18"/>
          <w:szCs w:val="18"/>
          <w:color w:val="auto"/>
        </w:rPr>
        <w:t>ur Board of Directors has oversight of the systems and processes established to report and monitor the most significant risks to our business (including those related to cybersecurity) and administers this oversight with respect to cybersecurity directly and through our Audit and Finance Committee. ur Board of Directors has oversight of our enterprise risk management program and, in addition, our Audit and Finance Committee reviews IT and cybersecurity risks and related topics with senior management on at least a uarterly basis. Significant cybersecurity risks identified by our Audit and Finance Committee are reported to the Board for review and consideration. ur Board has also had dedicated sessions during Board meetings on specific cybersecurity topics both led by our IT senior leaders and by outside advisors as part of its cybersecurity oversight practices. Additionally, outside of regular Board and committee meetings, the Chair of the IT Subcommittee of the Audit and Finance Committee meets with senior management (including the Chief Information Security fficer ( CIS ) and the Executive ice President, Chief Information fficer ( CI )) on at least a uarterly basis to remain informed of and support our cybersecurity programs, including our assessment of current threats, defensive efforts, and other organi ational initiatives.</w:t>
      </w:r>
    </w:p>
    <w:p>
      <w:pPr>
        <w:spacing w:after="0" w:line="50" w:lineRule="exact"/>
        <w:rPr>
          <w:sz w:val="20"/>
          <w:szCs w:val="20"/>
          <w:color w:val="auto"/>
        </w:rPr>
      </w:pPr>
    </w:p>
    <w:p>
      <w:pPr>
        <w:ind w:left="180"/>
        <w:spacing w:after="0"/>
        <w:tabs>
          <w:tab w:leader="none" w:pos="880" w:val="left"/>
          <w:tab w:leader="none" w:pos="1520" w:val="left"/>
          <w:tab w:leader="none" w:pos="2280" w:val="left"/>
          <w:tab w:leader="none" w:pos="3240" w:val="left"/>
        </w:tabs>
        <w:rPr>
          <w:sz w:val="20"/>
          <w:szCs w:val="20"/>
          <w:color w:val="auto"/>
        </w:rPr>
      </w:pPr>
      <w:r>
        <w:rPr>
          <w:rFonts w:ascii="Arial" w:cs="Arial" w:eastAsia="Arial" w:hAnsi="Arial"/>
          <w:sz w:val="22"/>
          <w:szCs w:val="22"/>
          <w:i w:val="1"/>
          <w:iCs w:val="1"/>
          <w:color w:val="auto"/>
        </w:rPr>
        <w:t>anage</w:t>
        <w:tab/>
        <w:t>ent s</w:t>
        <w:tab/>
        <w:t>ole in</w:t>
        <w:tab/>
        <w:t>anaging</w:t>
      </w:r>
      <w:r>
        <w:rPr>
          <w:sz w:val="20"/>
          <w:szCs w:val="20"/>
          <w:color w:val="auto"/>
        </w:rPr>
        <w:tab/>
      </w:r>
      <w:r>
        <w:rPr>
          <w:rFonts w:ascii="Arial" w:cs="Arial" w:eastAsia="Arial" w:hAnsi="Arial"/>
          <w:sz w:val="19"/>
          <w:szCs w:val="19"/>
          <w:i w:val="1"/>
          <w:iCs w:val="1"/>
          <w:color w:val="auto"/>
        </w:rPr>
        <w:t>is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ur information security program is overseen by our CIS  , who has over thirty-five years of cybersecurity, information</w:t>
      </w:r>
    </w:p>
    <w:p>
      <w:pPr>
        <w:spacing w:after="0" w:line="22" w:lineRule="exact"/>
        <w:rPr>
          <w:sz w:val="20"/>
          <w:szCs w:val="20"/>
          <w:color w:val="auto"/>
        </w:rPr>
      </w:pPr>
    </w:p>
    <w:p>
      <w:pPr>
        <w:spacing w:after="0"/>
        <w:tabs>
          <w:tab w:leader="none" w:pos="7360" w:val="left"/>
          <w:tab w:leader="none" w:pos="8080" w:val="left"/>
        </w:tabs>
        <w:rPr>
          <w:sz w:val="20"/>
          <w:szCs w:val="20"/>
          <w:color w:val="auto"/>
        </w:rPr>
      </w:pPr>
      <w:r>
        <w:rPr>
          <w:rFonts w:ascii="Arial" w:cs="Arial" w:eastAsia="Arial" w:hAnsi="Arial"/>
          <w:sz w:val="20"/>
          <w:szCs w:val="20"/>
          <w:color w:val="auto"/>
        </w:rPr>
        <w:t>governance, and IT experience in critical infrastructure, private industry, and government.</w:t>
        <w:tab/>
        <w:t>ur CIS</w:t>
      </w:r>
      <w:r>
        <w:rPr>
          <w:sz w:val="20"/>
          <w:szCs w:val="20"/>
          <w:color w:val="auto"/>
        </w:rPr>
        <w:tab/>
      </w:r>
      <w:r>
        <w:rPr>
          <w:rFonts w:ascii="Arial" w:cs="Arial" w:eastAsia="Arial" w:hAnsi="Arial"/>
          <w:sz w:val="18"/>
          <w:szCs w:val="18"/>
          <w:color w:val="auto"/>
        </w:rPr>
        <w:t>reports to our CI  , who</w:t>
      </w:r>
    </w:p>
    <w:p>
      <w:pPr>
        <w:spacing w:after="0" w:line="10" w:lineRule="exact"/>
        <w:rPr>
          <w:sz w:val="20"/>
          <w:szCs w:val="20"/>
          <w:color w:val="auto"/>
        </w:rPr>
      </w:pPr>
    </w:p>
    <w:p>
      <w:pPr>
        <w:ind w:right="200"/>
        <w:spacing w:after="0" w:line="335" w:lineRule="auto"/>
        <w:rPr>
          <w:sz w:val="20"/>
          <w:szCs w:val="20"/>
          <w:color w:val="auto"/>
        </w:rPr>
      </w:pPr>
      <w:r>
        <w:rPr>
          <w:rFonts w:ascii="Arial" w:cs="Arial" w:eastAsia="Arial" w:hAnsi="Arial"/>
          <w:sz w:val="17"/>
          <w:szCs w:val="17"/>
          <w:color w:val="auto"/>
        </w:rPr>
        <w:t>has more than thirty years of global information technology leadership experience. ur CIS is informed about and monitors the prevention, detection and mitigation of cybersecurity threats through his management of, and participation in, the cybersecurity risk management and strategy processes described above, including the operation of our incident response plan.</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As discussed in Item 1A in this Form 10- , despite our continuing efforts, our IT systems, as well as those of our suppliers, service providers and other third parties whose IT systems we utili e directly or indirectly, are targeted by attempts to access or obtain personal or other sensitive information, attempts at monetary theft and attempts to disrupt business. These attempts continue to evolve and are becoming increasingly sophisticated (including through the use of artificial intelligence). hile some of these attempts have resulted in cybersecurity incidents, the unauthori ed intrusion into our network discovered late in 2006 is the only such cybersecurity incident to date that has been material to the results of our operations. For more information, see Compromises of our cybersecurity, disruptions in our information technology systems, or failure to satisfy the information technology needs of our business could result in material loss or liability, materially impact our operating results or materially harm our reputation. in Item 1A in this Form 10- .</w:t>
      </w:r>
    </w:p>
    <w:p>
      <w:pPr>
        <w:spacing w:after="0" w:line="55" w:lineRule="exact"/>
        <w:rPr>
          <w:sz w:val="20"/>
          <w:szCs w:val="20"/>
          <w:color w:val="auto"/>
        </w:rPr>
      </w:pPr>
    </w:p>
    <w:p>
      <w:pPr>
        <w:spacing w:after="0"/>
        <w:tabs>
          <w:tab w:leader="none" w:pos="680" w:val="left"/>
          <w:tab w:leader="none" w:pos="112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2.</w:t>
      </w:r>
      <w:r>
        <w:rPr>
          <w:sz w:val="20"/>
          <w:szCs w:val="20"/>
          <w:color w:val="auto"/>
        </w:rPr>
        <w:tab/>
      </w:r>
      <w:r>
        <w:rPr>
          <w:rFonts w:ascii="Arial" w:cs="Arial" w:eastAsia="Arial" w:hAnsi="Arial"/>
          <w:sz w:val="23"/>
          <w:szCs w:val="23"/>
          <w:color w:val="auto"/>
        </w:rPr>
        <w:t>roperties</w:t>
      </w:r>
    </w:p>
    <w:p>
      <w:pPr>
        <w:spacing w:after="0" w:line="93" w:lineRule="exact"/>
        <w:rPr>
          <w:sz w:val="20"/>
          <w:szCs w:val="20"/>
          <w:color w:val="auto"/>
        </w:rPr>
      </w:pPr>
    </w:p>
    <w:p>
      <w:pPr>
        <w:ind w:right="20" w:firstLine="189"/>
        <w:spacing w:after="0" w:line="275" w:lineRule="auto"/>
        <w:rPr>
          <w:sz w:val="20"/>
          <w:szCs w:val="20"/>
          <w:color w:val="auto"/>
        </w:rPr>
      </w:pPr>
      <w:r>
        <w:rPr>
          <w:rFonts w:ascii="Arial" w:cs="Arial" w:eastAsia="Arial" w:hAnsi="Arial"/>
          <w:sz w:val="19"/>
          <w:szCs w:val="19"/>
          <w:color w:val="auto"/>
        </w:rPr>
        <w:t>e lease virtually all of our store locations, as well as some of our distribution and fulfillment centers and office space. ost of TJX s leases in the .S. and Canada are store operating leases, generally for an initial term of ten years with options to extend the lease term for one or more five-year periods. Store operating leases in Europe generally have an initial term of ten to fifteen years and leases in Australia generally have an initial term of ten years, some of which have options to extend. Some of the Company s leases have options to terminate prior to the lease expiration date.</w:t>
      </w:r>
    </w:p>
    <w:p>
      <w:pPr>
        <w:sectPr>
          <w:pgSz w:w="12240" w:h="15841" w:orient="portrait"/>
          <w:cols w:equalWidth="0" w:num="1">
            <w:col w:w="10240"/>
          </w:cols>
          <w:pgMar w:left="1000" w:top="70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2240" w:h="15841" w:orient="portrait"/>
          <w:cols w:equalWidth="0" w:num="1">
            <w:col w:w="10240"/>
          </w:cols>
          <w:pgMar w:left="1000" w:top="702" w:right="1001" w:bottom="0" w:gutter="0" w:footer="0" w:header="0"/>
          <w:type w:val="continuous"/>
        </w:sectPr>
      </w:pPr>
    </w:p>
    <w:bookmarkStart w:id="32" w:name="page33"/>
    <w:bookmarkEnd w:id="32"/>
    <w:p>
      <w:pPr>
        <w:spacing w:after="0"/>
        <w:tabs>
          <w:tab w:leader="none" w:pos="920" w:val="left"/>
          <w:tab w:leader="none" w:pos="156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S O</w:t>
      </w:r>
      <w:r>
        <w:rPr>
          <w:sz w:val="20"/>
          <w:szCs w:val="20"/>
          <w:color w:val="auto"/>
        </w:rPr>
        <w:tab/>
      </w:r>
      <w:r>
        <w:rPr>
          <w:rFonts w:ascii="Arial" w:cs="Arial" w:eastAsia="Arial" w:hAnsi="Arial"/>
          <w:sz w:val="22"/>
          <w:szCs w:val="22"/>
          <w:color w:val="auto"/>
        </w:rPr>
        <w:t>OC</w:t>
        <w:tab/>
        <w:t>IONS</w:t>
      </w:r>
    </w:p>
    <w:p>
      <w:pPr>
        <w:spacing w:after="0" w:line="85" w:lineRule="exact"/>
        <w:rPr>
          <w:sz w:val="20"/>
          <w:szCs w:val="20"/>
          <w:color w:val="auto"/>
        </w:rPr>
      </w:pPr>
    </w:p>
    <w:p>
      <w:pPr>
        <w:ind w:right="500"/>
        <w:spacing w:after="0" w:line="270" w:lineRule="auto"/>
        <w:rPr>
          <w:sz w:val="20"/>
          <w:szCs w:val="20"/>
          <w:color w:val="auto"/>
        </w:rPr>
      </w:pPr>
      <w:r>
        <w:rPr>
          <w:rFonts w:ascii="Arial" w:cs="Arial" w:eastAsia="Arial" w:hAnsi="Arial"/>
          <w:sz w:val="20"/>
          <w:szCs w:val="20"/>
          <w:color w:val="auto"/>
        </w:rPr>
        <w:t>Stores were operated in the following locations at the end of fiscal 2026. Counts include both banners within a combo or a superstore:</w:t>
      </w:r>
    </w:p>
    <w:tbl>
      <w:tblPr>
        <w:tblLayout w:type="fixed"/>
        <w:tblInd w:w="0" w:type="dxa"/>
        <w:tblCellMar>
          <w:top w:w="0" w:type="dxa"/>
          <w:left w:w="0" w:type="dxa"/>
          <w:bottom w:w="0" w:type="dxa"/>
          <w:right w:w="0" w:type="dxa"/>
        </w:tblCellMar>
      </w:tblPr>
      <w:tr>
        <w:trPr>
          <w:trHeight w:val="270"/>
        </w:trPr>
        <w:tc>
          <w:tcPr>
            <w:tcW w:w="1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nited States</w:t>
            </w:r>
          </w:p>
        </w:tc>
        <w:tc>
          <w:tcPr>
            <w:tcW w:w="408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color w:val="auto"/>
              </w:rPr>
              <w:t>armaxx</w:t>
            </w:r>
            <w:r>
              <w:rPr>
                <w:rFonts w:ascii="Arial" w:cs="Arial" w:eastAsia="Arial" w:hAnsi="Arial"/>
                <w:sz w:val="13"/>
                <w:szCs w:val="13"/>
                <w:color w:val="auto"/>
              </w:rPr>
              <w:t>(a)</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color w:val="auto"/>
              </w:rPr>
              <w:t>Sierra</w:t>
            </w: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ome  oods</w:t>
            </w:r>
            <w:r>
              <w:rPr>
                <w:rFonts w:ascii="Arial" w:cs="Arial" w:eastAsia="Arial" w:hAnsi="Arial"/>
                <w:sz w:val="13"/>
                <w:szCs w:val="13"/>
                <w:color w:val="auto"/>
              </w:rPr>
              <w:t>(a)</w:t>
            </w: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Total</w:t>
            </w:r>
          </w:p>
        </w:tc>
      </w:tr>
      <w:tr>
        <w:trPr>
          <w:trHeight w:val="23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Alabama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41</w:t>
            </w:r>
          </w:p>
        </w:tc>
        <w:tc>
          <w:tcPr>
            <w:tcW w:w="1080" w:type="dxa"/>
            <w:vAlign w:val="bottom"/>
            <w:shd w:val="clear" w:color="auto" w:fill="E4E4E4"/>
          </w:tcPr>
          <w:p>
            <w:pPr>
              <w:spacing w:after="0"/>
              <w:rPr>
                <w:sz w:val="20"/>
                <w:szCs w:val="20"/>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12</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53</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Ari ona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44</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280"/>
              <w:spacing w:after="0"/>
              <w:rPr>
                <w:sz w:val="20"/>
                <w:szCs w:val="20"/>
                <w:color w:val="auto"/>
              </w:rPr>
            </w:pPr>
            <w:r>
              <w:rPr>
                <w:rFonts w:ascii="Arial" w:cs="Arial" w:eastAsia="Arial" w:hAnsi="Arial"/>
                <w:sz w:val="20"/>
                <w:szCs w:val="20"/>
                <w:color w:val="auto"/>
              </w:rPr>
              <w:t>1</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64</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Arkansas</w:t>
            </w:r>
          </w:p>
        </w:tc>
        <w:tc>
          <w:tcPr>
            <w:tcW w:w="4080" w:type="dxa"/>
            <w:vAlign w:val="bottom"/>
            <w:shd w:val="clear" w:color="auto" w:fill="E4E4E4"/>
          </w:tcPr>
          <w:p>
            <w:pPr>
              <w:jc w:val="right"/>
              <w:ind w:right="400"/>
              <w:spacing w:after="0"/>
              <w:rPr>
                <w:sz w:val="20"/>
                <w:szCs w:val="20"/>
                <w:color w:val="auto"/>
              </w:rPr>
            </w:pPr>
            <w:r>
              <w:rPr>
                <w:rFonts w:ascii="Arial" w:cs="Arial" w:eastAsia="Arial" w:hAnsi="Arial"/>
                <w:sz w:val="20"/>
                <w:szCs w:val="20"/>
                <w:color w:val="auto"/>
              </w:rPr>
              <w:t>1</w:t>
            </w:r>
          </w:p>
        </w:tc>
        <w:tc>
          <w:tcPr>
            <w:tcW w:w="1080" w:type="dxa"/>
            <w:vAlign w:val="bottom"/>
            <w:shd w:val="clear" w:color="auto" w:fill="E4E4E4"/>
          </w:tcPr>
          <w:p>
            <w:pPr>
              <w:spacing w:after="0"/>
              <w:rPr>
                <w:sz w:val="20"/>
                <w:szCs w:val="20"/>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6</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25</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California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273</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110</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386</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Colorado</w:t>
            </w:r>
          </w:p>
        </w:tc>
        <w:tc>
          <w:tcPr>
            <w:tcW w:w="4080" w:type="dxa"/>
            <w:vAlign w:val="bottom"/>
            <w:shd w:val="clear" w:color="auto" w:fill="E4E4E4"/>
          </w:tcPr>
          <w:p>
            <w:pPr>
              <w:jc w:val="right"/>
              <w:ind w:right="400"/>
              <w:spacing w:after="0"/>
              <w:rPr>
                <w:sz w:val="20"/>
                <w:szCs w:val="20"/>
                <w:color w:val="auto"/>
              </w:rPr>
            </w:pPr>
            <w:r>
              <w:rPr>
                <w:rFonts w:ascii="Arial" w:cs="Arial" w:eastAsia="Arial" w:hAnsi="Arial"/>
                <w:sz w:val="20"/>
                <w:szCs w:val="20"/>
                <w:color w:val="auto"/>
              </w:rPr>
              <w:t>2</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10</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12</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51</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Connecticut</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53</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21</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75</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Delaware</w:t>
            </w:r>
          </w:p>
        </w:tc>
        <w:tc>
          <w:tcPr>
            <w:tcW w:w="408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7</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District of Columbia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5</w:t>
            </w:r>
          </w:p>
        </w:tc>
        <w:tc>
          <w:tcPr>
            <w:tcW w:w="1080" w:type="dxa"/>
            <w:vAlign w:val="bottom"/>
            <w:shd w:val="clear" w:color="auto" w:fill="FEFEFE"/>
          </w:tcPr>
          <w:p>
            <w:pPr>
              <w:spacing w:after="0"/>
              <w:rPr>
                <w:sz w:val="20"/>
                <w:szCs w:val="20"/>
                <w:color w:val="auto"/>
              </w:rPr>
            </w:pPr>
          </w:p>
        </w:tc>
        <w:tc>
          <w:tcPr>
            <w:tcW w:w="1440" w:type="dxa"/>
            <w:vAlign w:val="bottom"/>
            <w:shd w:val="clear" w:color="auto" w:fill="FEFEFE"/>
          </w:tcPr>
          <w:p>
            <w:pPr>
              <w:spacing w:after="0"/>
              <w:rPr>
                <w:sz w:val="20"/>
                <w:szCs w:val="20"/>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Florida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212</w:t>
            </w:r>
          </w:p>
        </w:tc>
        <w:tc>
          <w:tcPr>
            <w:tcW w:w="1080" w:type="dxa"/>
            <w:vAlign w:val="bottom"/>
            <w:shd w:val="clear" w:color="auto" w:fill="E4E4E4"/>
          </w:tcPr>
          <w:p>
            <w:pPr>
              <w:spacing w:after="0"/>
              <w:rPr>
                <w:sz w:val="20"/>
                <w:szCs w:val="20"/>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5</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307</w:t>
            </w:r>
          </w:p>
        </w:tc>
      </w:tr>
      <w:tr>
        <w:trPr>
          <w:trHeight w:val="279"/>
        </w:trPr>
        <w:tc>
          <w:tcPr>
            <w:tcW w:w="180" w:type="dxa"/>
            <w:vAlign w:val="bottom"/>
            <w:shd w:val="clear" w:color="auto" w:fill="FEFEFE"/>
          </w:tcPr>
          <w:p>
            <w:pPr>
              <w:spacing w:after="0"/>
              <w:rPr>
                <w:sz w:val="24"/>
                <w:szCs w:val="24"/>
                <w:color w:val="auto"/>
              </w:rPr>
            </w:pPr>
          </w:p>
        </w:tc>
        <w:tc>
          <w:tcPr>
            <w:tcW w:w="234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eorgia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7</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36</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134</w:t>
            </w:r>
          </w:p>
        </w:tc>
      </w:tr>
      <w:tr>
        <w:trPr>
          <w:trHeight w:val="246"/>
        </w:trPr>
        <w:tc>
          <w:tcPr>
            <w:tcW w:w="180" w:type="dxa"/>
            <w:vAlign w:val="bottom"/>
            <w:shd w:val="clear" w:color="auto" w:fill="E4E4E4"/>
          </w:tcPr>
          <w:p>
            <w:pPr>
              <w:spacing w:after="0"/>
              <w:rPr>
                <w:sz w:val="21"/>
                <w:szCs w:val="21"/>
                <w:color w:val="auto"/>
              </w:rPr>
            </w:pPr>
          </w:p>
        </w:tc>
        <w:tc>
          <w:tcPr>
            <w:tcW w:w="23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awaii</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8</w:t>
            </w:r>
          </w:p>
        </w:tc>
        <w:tc>
          <w:tcPr>
            <w:tcW w:w="1080" w:type="dxa"/>
            <w:vAlign w:val="bottom"/>
            <w:shd w:val="clear" w:color="auto" w:fill="E4E4E4"/>
          </w:tcPr>
          <w:p>
            <w:pPr>
              <w:spacing w:after="0"/>
              <w:rPr>
                <w:sz w:val="21"/>
                <w:szCs w:val="21"/>
                <w:color w:val="auto"/>
              </w:rPr>
            </w:pPr>
          </w:p>
        </w:tc>
        <w:tc>
          <w:tcPr>
            <w:tcW w:w="1440" w:type="dxa"/>
            <w:vAlign w:val="bottom"/>
            <w:shd w:val="clear" w:color="auto" w:fill="E4E4E4"/>
          </w:tcPr>
          <w:p>
            <w:pPr>
              <w:spacing w:after="0"/>
              <w:rPr>
                <w:sz w:val="21"/>
                <w:szCs w:val="21"/>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w:t>
            </w:r>
          </w:p>
        </w:tc>
      </w:tr>
      <w:tr>
        <w:trPr>
          <w:trHeight w:val="225"/>
        </w:trPr>
        <w:tc>
          <w:tcPr>
            <w:tcW w:w="620" w:type="dxa"/>
            <w:vAlign w:val="bottom"/>
            <w:gridSpan w:val="2"/>
            <w:shd w:val="clear" w:color="auto" w:fill="FEFEFE"/>
          </w:tcPr>
          <w:p>
            <w:pPr>
              <w:ind w:left="40"/>
              <w:spacing w:after="0" w:line="225" w:lineRule="exact"/>
              <w:rPr>
                <w:sz w:val="20"/>
                <w:szCs w:val="20"/>
                <w:color w:val="auto"/>
              </w:rPr>
            </w:pPr>
            <w:r>
              <w:rPr>
                <w:rFonts w:ascii="Arial" w:cs="Arial" w:eastAsia="Arial" w:hAnsi="Arial"/>
                <w:sz w:val="20"/>
                <w:szCs w:val="20"/>
                <w:color w:val="auto"/>
              </w:rPr>
              <w:t>Idaho</w:t>
            </w:r>
          </w:p>
        </w:tc>
        <w:tc>
          <w:tcPr>
            <w:tcW w:w="1900" w:type="dxa"/>
            <w:vAlign w:val="bottom"/>
            <w:shd w:val="clear" w:color="auto" w:fill="FEFEFE"/>
          </w:tcPr>
          <w:p>
            <w:pPr>
              <w:spacing w:after="0"/>
              <w:rPr>
                <w:sz w:val="19"/>
                <w:szCs w:val="19"/>
                <w:color w:val="auto"/>
              </w:rPr>
            </w:pPr>
          </w:p>
        </w:tc>
        <w:tc>
          <w:tcPr>
            <w:tcW w:w="4080" w:type="dxa"/>
            <w:vAlign w:val="bottom"/>
            <w:shd w:val="clear" w:color="auto" w:fill="FEFEFE"/>
          </w:tcPr>
          <w:p>
            <w:pPr>
              <w:spacing w:after="0"/>
              <w:rPr>
                <w:sz w:val="19"/>
                <w:szCs w:val="19"/>
                <w:color w:val="auto"/>
              </w:rPr>
            </w:pPr>
          </w:p>
        </w:tc>
        <w:tc>
          <w:tcPr>
            <w:tcW w:w="1080" w:type="dxa"/>
            <w:vAlign w:val="bottom"/>
            <w:shd w:val="clear" w:color="auto" w:fill="FEFEFE"/>
          </w:tcPr>
          <w:p>
            <w:pPr>
              <w:jc w:val="right"/>
              <w:ind w:right="60"/>
              <w:spacing w:after="0" w:line="225" w:lineRule="exact"/>
              <w:rPr>
                <w:sz w:val="20"/>
                <w:szCs w:val="20"/>
                <w:color w:val="auto"/>
              </w:rPr>
            </w:pPr>
            <w:r>
              <w:rPr>
                <w:rFonts w:ascii="Arial" w:cs="Arial" w:eastAsia="Arial" w:hAnsi="Arial"/>
                <w:sz w:val="20"/>
                <w:szCs w:val="20"/>
                <w:color w:val="auto"/>
              </w:rPr>
              <w:t>3</w:t>
            </w:r>
          </w:p>
        </w:tc>
        <w:tc>
          <w:tcPr>
            <w:tcW w:w="1440" w:type="dxa"/>
            <w:vAlign w:val="bottom"/>
            <w:shd w:val="clear" w:color="auto" w:fill="FEFEFE"/>
          </w:tcPr>
          <w:p>
            <w:pPr>
              <w:jc w:val="right"/>
              <w:ind w:right="180"/>
              <w:spacing w:after="0" w:line="225" w:lineRule="exact"/>
              <w:rPr>
                <w:sz w:val="20"/>
                <w:szCs w:val="20"/>
                <w:color w:val="auto"/>
              </w:rPr>
            </w:pPr>
            <w:r>
              <w:rPr>
                <w:rFonts w:ascii="Arial" w:cs="Arial" w:eastAsia="Arial" w:hAnsi="Arial"/>
                <w:sz w:val="20"/>
                <w:szCs w:val="20"/>
                <w:color w:val="auto"/>
              </w:rPr>
              <w:t>3</w:t>
            </w:r>
          </w:p>
        </w:tc>
        <w:tc>
          <w:tcPr>
            <w:tcW w:w="1140" w:type="dxa"/>
            <w:vAlign w:val="bottom"/>
            <w:shd w:val="clear" w:color="auto" w:fill="FEFEFE"/>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5"/>
        </w:trPr>
        <w:tc>
          <w:tcPr>
            <w:tcW w:w="620" w:type="dxa"/>
            <w:vAlign w:val="bottom"/>
            <w:gridSpan w:val="2"/>
            <w:shd w:val="clear" w:color="auto" w:fill="E4E4E4"/>
          </w:tcPr>
          <w:p>
            <w:pPr>
              <w:ind w:left="40"/>
              <w:spacing w:after="0" w:line="225" w:lineRule="exact"/>
              <w:rPr>
                <w:sz w:val="20"/>
                <w:szCs w:val="20"/>
                <w:color w:val="auto"/>
              </w:rPr>
            </w:pPr>
            <w:r>
              <w:rPr>
                <w:rFonts w:ascii="Arial" w:cs="Arial" w:eastAsia="Arial" w:hAnsi="Arial"/>
                <w:sz w:val="20"/>
                <w:szCs w:val="20"/>
                <w:color w:val="auto"/>
              </w:rPr>
              <w:t>Illinois</w:t>
            </w:r>
          </w:p>
        </w:tc>
        <w:tc>
          <w:tcPr>
            <w:tcW w:w="1900" w:type="dxa"/>
            <w:vAlign w:val="bottom"/>
            <w:shd w:val="clear" w:color="auto" w:fill="E4E4E4"/>
          </w:tcPr>
          <w:p>
            <w:pPr>
              <w:spacing w:after="0"/>
              <w:rPr>
                <w:sz w:val="19"/>
                <w:szCs w:val="19"/>
                <w:color w:val="auto"/>
              </w:rPr>
            </w:pPr>
          </w:p>
        </w:tc>
        <w:tc>
          <w:tcPr>
            <w:tcW w:w="4080" w:type="dxa"/>
            <w:vAlign w:val="bottom"/>
            <w:shd w:val="clear" w:color="auto" w:fill="E4E4E4"/>
          </w:tcPr>
          <w:p>
            <w:pPr>
              <w:jc w:val="right"/>
              <w:ind w:right="300"/>
              <w:spacing w:after="0" w:line="225" w:lineRule="exact"/>
              <w:rPr>
                <w:sz w:val="20"/>
                <w:szCs w:val="20"/>
                <w:color w:val="auto"/>
              </w:rPr>
            </w:pPr>
            <w:r>
              <w:rPr>
                <w:rFonts w:ascii="Arial" w:cs="Arial" w:eastAsia="Arial" w:hAnsi="Arial"/>
                <w:sz w:val="20"/>
                <w:szCs w:val="20"/>
                <w:color w:val="auto"/>
              </w:rPr>
              <w:t>103</w:t>
            </w:r>
          </w:p>
        </w:tc>
        <w:tc>
          <w:tcPr>
            <w:tcW w:w="1080" w:type="dxa"/>
            <w:vAlign w:val="bottom"/>
            <w:shd w:val="clear" w:color="auto" w:fill="E4E4E4"/>
          </w:tcPr>
          <w:p>
            <w:pPr>
              <w:jc w:val="right"/>
              <w:ind w:right="60"/>
              <w:spacing w:after="0" w:line="225" w:lineRule="exact"/>
              <w:rPr>
                <w:sz w:val="20"/>
                <w:szCs w:val="20"/>
                <w:color w:val="auto"/>
              </w:rPr>
            </w:pPr>
            <w:r>
              <w:rPr>
                <w:rFonts w:ascii="Arial" w:cs="Arial" w:eastAsia="Arial" w:hAnsi="Arial"/>
                <w:sz w:val="20"/>
                <w:szCs w:val="20"/>
                <w:color w:val="auto"/>
              </w:rPr>
              <w:t>10</w:t>
            </w:r>
          </w:p>
        </w:tc>
        <w:tc>
          <w:tcPr>
            <w:tcW w:w="1440" w:type="dxa"/>
            <w:vAlign w:val="bottom"/>
            <w:shd w:val="clear" w:color="auto" w:fill="E4E4E4"/>
          </w:tcPr>
          <w:p>
            <w:pPr>
              <w:jc w:val="right"/>
              <w:ind w:right="180"/>
              <w:spacing w:after="0" w:line="225" w:lineRule="exact"/>
              <w:rPr>
                <w:sz w:val="20"/>
                <w:szCs w:val="20"/>
                <w:color w:val="auto"/>
              </w:rPr>
            </w:pPr>
            <w:r>
              <w:rPr>
                <w:rFonts w:ascii="Arial" w:cs="Arial" w:eastAsia="Arial" w:hAnsi="Arial"/>
                <w:sz w:val="20"/>
                <w:szCs w:val="20"/>
                <w:color w:val="auto"/>
              </w:rPr>
              <w:t>36</w:t>
            </w:r>
          </w:p>
        </w:tc>
        <w:tc>
          <w:tcPr>
            <w:tcW w:w="1140" w:type="dxa"/>
            <w:vAlign w:val="bottom"/>
            <w:shd w:val="clear" w:color="auto" w:fill="E4E4E4"/>
          </w:tcPr>
          <w:p>
            <w:pPr>
              <w:jc w:val="right"/>
              <w:ind w:right="100"/>
              <w:spacing w:after="0" w:line="225" w:lineRule="exact"/>
              <w:rPr>
                <w:sz w:val="20"/>
                <w:szCs w:val="20"/>
                <w:color w:val="auto"/>
              </w:rPr>
            </w:pPr>
            <w:r>
              <w:rPr>
                <w:rFonts w:ascii="Arial" w:cs="Arial" w:eastAsia="Arial" w:hAnsi="Arial"/>
                <w:sz w:val="20"/>
                <w:szCs w:val="20"/>
                <w:color w:val="auto"/>
              </w:rPr>
              <w:t>14</w:t>
            </w:r>
          </w:p>
        </w:tc>
      </w:tr>
      <w:tr>
        <w:trPr>
          <w:trHeight w:val="225"/>
        </w:trPr>
        <w:tc>
          <w:tcPr>
            <w:tcW w:w="2520" w:type="dxa"/>
            <w:vAlign w:val="bottom"/>
            <w:gridSpan w:val="3"/>
            <w:shd w:val="clear" w:color="auto" w:fill="FEFEFE"/>
          </w:tcPr>
          <w:p>
            <w:pPr>
              <w:ind w:left="40"/>
              <w:spacing w:after="0" w:line="225" w:lineRule="exact"/>
              <w:rPr>
                <w:sz w:val="20"/>
                <w:szCs w:val="20"/>
                <w:color w:val="auto"/>
              </w:rPr>
            </w:pPr>
            <w:r>
              <w:rPr>
                <w:rFonts w:ascii="Arial" w:cs="Arial" w:eastAsia="Arial" w:hAnsi="Arial"/>
                <w:sz w:val="20"/>
                <w:szCs w:val="20"/>
                <w:color w:val="auto"/>
              </w:rPr>
              <w:t>Indiana</w:t>
            </w:r>
          </w:p>
        </w:tc>
        <w:tc>
          <w:tcPr>
            <w:tcW w:w="4080" w:type="dxa"/>
            <w:vAlign w:val="bottom"/>
            <w:shd w:val="clear" w:color="auto" w:fill="FEFEFE"/>
          </w:tcPr>
          <w:p>
            <w:pPr>
              <w:jc w:val="right"/>
              <w:ind w:right="300"/>
              <w:spacing w:after="0" w:line="225" w:lineRule="exact"/>
              <w:rPr>
                <w:sz w:val="20"/>
                <w:szCs w:val="20"/>
                <w:color w:val="auto"/>
              </w:rPr>
            </w:pPr>
            <w:r>
              <w:rPr>
                <w:rFonts w:ascii="Arial" w:cs="Arial" w:eastAsia="Arial" w:hAnsi="Arial"/>
                <w:sz w:val="20"/>
                <w:szCs w:val="20"/>
                <w:color w:val="auto"/>
              </w:rPr>
              <w:t>48</w:t>
            </w:r>
          </w:p>
        </w:tc>
        <w:tc>
          <w:tcPr>
            <w:tcW w:w="1080" w:type="dxa"/>
            <w:vAlign w:val="bottom"/>
            <w:shd w:val="clear" w:color="auto" w:fill="FEFEFE"/>
          </w:tcPr>
          <w:p>
            <w:pPr>
              <w:jc w:val="right"/>
              <w:ind w:right="60"/>
              <w:spacing w:after="0" w:line="225" w:lineRule="exact"/>
              <w:rPr>
                <w:sz w:val="20"/>
                <w:szCs w:val="20"/>
                <w:color w:val="auto"/>
              </w:rPr>
            </w:pPr>
            <w:r>
              <w:rPr>
                <w:rFonts w:ascii="Arial" w:cs="Arial" w:eastAsia="Arial" w:hAnsi="Arial"/>
                <w:sz w:val="20"/>
                <w:szCs w:val="20"/>
                <w:color w:val="auto"/>
              </w:rPr>
              <w:t>4</w:t>
            </w:r>
          </w:p>
        </w:tc>
        <w:tc>
          <w:tcPr>
            <w:tcW w:w="1440" w:type="dxa"/>
            <w:vAlign w:val="bottom"/>
            <w:shd w:val="clear" w:color="auto" w:fill="FEFEFE"/>
          </w:tcPr>
          <w:p>
            <w:pPr>
              <w:jc w:val="right"/>
              <w:ind w:right="180"/>
              <w:spacing w:after="0" w:line="225" w:lineRule="exact"/>
              <w:rPr>
                <w:sz w:val="20"/>
                <w:szCs w:val="20"/>
                <w:color w:val="auto"/>
              </w:rPr>
            </w:pPr>
            <w:r>
              <w:rPr>
                <w:rFonts w:ascii="Arial" w:cs="Arial" w:eastAsia="Arial" w:hAnsi="Arial"/>
                <w:sz w:val="20"/>
                <w:szCs w:val="20"/>
                <w:color w:val="auto"/>
              </w:rPr>
              <w:t>13</w:t>
            </w:r>
          </w:p>
        </w:tc>
        <w:tc>
          <w:tcPr>
            <w:tcW w:w="1140" w:type="dxa"/>
            <w:vAlign w:val="bottom"/>
            <w:shd w:val="clear" w:color="auto" w:fill="FEFEFE"/>
          </w:tcPr>
          <w:p>
            <w:pPr>
              <w:jc w:val="right"/>
              <w:spacing w:after="0" w:line="225" w:lineRule="exact"/>
              <w:rPr>
                <w:sz w:val="20"/>
                <w:szCs w:val="20"/>
                <w:color w:val="auto"/>
              </w:rPr>
            </w:pPr>
            <w:r>
              <w:rPr>
                <w:rFonts w:ascii="Arial" w:cs="Arial" w:eastAsia="Arial" w:hAnsi="Arial"/>
                <w:sz w:val="20"/>
                <w:szCs w:val="20"/>
                <w:color w:val="auto"/>
              </w:rPr>
              <w:t>65</w:t>
            </w:r>
          </w:p>
        </w:tc>
      </w:tr>
      <w:tr>
        <w:trPr>
          <w:trHeight w:val="225"/>
        </w:trPr>
        <w:tc>
          <w:tcPr>
            <w:tcW w:w="620" w:type="dxa"/>
            <w:vAlign w:val="bottom"/>
            <w:gridSpan w:val="2"/>
            <w:shd w:val="clear" w:color="auto" w:fill="E4E4E4"/>
          </w:tcPr>
          <w:p>
            <w:pPr>
              <w:ind w:left="40"/>
              <w:spacing w:after="0" w:line="225" w:lineRule="exact"/>
              <w:rPr>
                <w:sz w:val="20"/>
                <w:szCs w:val="20"/>
                <w:color w:val="auto"/>
              </w:rPr>
            </w:pPr>
            <w:r>
              <w:rPr>
                <w:rFonts w:ascii="Arial" w:cs="Arial" w:eastAsia="Arial" w:hAnsi="Arial"/>
                <w:sz w:val="20"/>
                <w:szCs w:val="20"/>
                <w:color w:val="auto"/>
              </w:rPr>
              <w:t>Iowa</w:t>
            </w:r>
          </w:p>
        </w:tc>
        <w:tc>
          <w:tcPr>
            <w:tcW w:w="1900" w:type="dxa"/>
            <w:vAlign w:val="bottom"/>
            <w:shd w:val="clear" w:color="auto" w:fill="E4E4E4"/>
          </w:tcPr>
          <w:p>
            <w:pPr>
              <w:spacing w:after="0"/>
              <w:rPr>
                <w:sz w:val="19"/>
                <w:szCs w:val="19"/>
                <w:color w:val="auto"/>
              </w:rPr>
            </w:pPr>
          </w:p>
        </w:tc>
        <w:tc>
          <w:tcPr>
            <w:tcW w:w="4080" w:type="dxa"/>
            <w:vAlign w:val="bottom"/>
            <w:shd w:val="clear" w:color="auto" w:fill="E4E4E4"/>
          </w:tcPr>
          <w:p>
            <w:pPr>
              <w:jc w:val="right"/>
              <w:ind w:right="300"/>
              <w:spacing w:after="0" w:line="225" w:lineRule="exact"/>
              <w:rPr>
                <w:sz w:val="20"/>
                <w:szCs w:val="20"/>
                <w:color w:val="auto"/>
              </w:rPr>
            </w:pPr>
            <w:r>
              <w:rPr>
                <w:rFonts w:ascii="Arial" w:cs="Arial" w:eastAsia="Arial" w:hAnsi="Arial"/>
                <w:sz w:val="20"/>
                <w:szCs w:val="20"/>
                <w:color w:val="auto"/>
              </w:rPr>
              <w:t>20</w:t>
            </w:r>
          </w:p>
        </w:tc>
        <w:tc>
          <w:tcPr>
            <w:tcW w:w="1080" w:type="dxa"/>
            <w:vAlign w:val="bottom"/>
            <w:shd w:val="clear" w:color="auto" w:fill="E4E4E4"/>
          </w:tcPr>
          <w:p>
            <w:pPr>
              <w:jc w:val="right"/>
              <w:ind w:right="60"/>
              <w:spacing w:after="0" w:line="225" w:lineRule="exact"/>
              <w:rPr>
                <w:sz w:val="20"/>
                <w:szCs w:val="20"/>
                <w:color w:val="auto"/>
              </w:rPr>
            </w:pPr>
            <w:r>
              <w:rPr>
                <w:rFonts w:ascii="Arial" w:cs="Arial" w:eastAsia="Arial" w:hAnsi="Arial"/>
                <w:sz w:val="20"/>
                <w:szCs w:val="20"/>
                <w:color w:val="auto"/>
              </w:rPr>
              <w:t>5</w:t>
            </w:r>
          </w:p>
        </w:tc>
        <w:tc>
          <w:tcPr>
            <w:tcW w:w="1440" w:type="dxa"/>
            <w:vAlign w:val="bottom"/>
            <w:shd w:val="clear" w:color="auto" w:fill="E4E4E4"/>
          </w:tcPr>
          <w:p>
            <w:pPr>
              <w:jc w:val="right"/>
              <w:ind w:right="180"/>
              <w:spacing w:after="0" w:line="225" w:lineRule="exact"/>
              <w:rPr>
                <w:sz w:val="20"/>
                <w:szCs w:val="20"/>
                <w:color w:val="auto"/>
              </w:rPr>
            </w:pPr>
            <w:r>
              <w:rPr>
                <w:rFonts w:ascii="Arial" w:cs="Arial" w:eastAsia="Arial" w:hAnsi="Arial"/>
                <w:sz w:val="20"/>
                <w:szCs w:val="20"/>
                <w:color w:val="auto"/>
              </w:rPr>
              <w:t>8</w:t>
            </w:r>
          </w:p>
        </w:tc>
        <w:tc>
          <w:tcPr>
            <w:tcW w:w="1140" w:type="dxa"/>
            <w:vAlign w:val="bottom"/>
            <w:shd w:val="clear" w:color="auto" w:fill="E4E4E4"/>
          </w:tcPr>
          <w:p>
            <w:pPr>
              <w:jc w:val="right"/>
              <w:spacing w:after="0" w:line="225" w:lineRule="exact"/>
              <w:rPr>
                <w:sz w:val="20"/>
                <w:szCs w:val="20"/>
                <w:color w:val="auto"/>
              </w:rPr>
            </w:pPr>
            <w:r>
              <w:rPr>
                <w:rFonts w:ascii="Arial" w:cs="Arial" w:eastAsia="Arial" w:hAnsi="Arial"/>
                <w:sz w:val="20"/>
                <w:szCs w:val="20"/>
                <w:color w:val="auto"/>
              </w:rPr>
              <w:t>33</w:t>
            </w:r>
          </w:p>
        </w:tc>
      </w:tr>
      <w:tr>
        <w:trPr>
          <w:trHeight w:val="225"/>
        </w:trPr>
        <w:tc>
          <w:tcPr>
            <w:tcW w:w="180" w:type="dxa"/>
            <w:vAlign w:val="bottom"/>
            <w:shd w:val="clear" w:color="auto" w:fill="FEFEFE"/>
          </w:tcPr>
          <w:p>
            <w:pPr>
              <w:spacing w:after="0"/>
              <w:rPr>
                <w:sz w:val="19"/>
                <w:szCs w:val="19"/>
                <w:color w:val="auto"/>
              </w:rPr>
            </w:pPr>
          </w:p>
        </w:tc>
        <w:tc>
          <w:tcPr>
            <w:tcW w:w="2340" w:type="dxa"/>
            <w:vAlign w:val="bottom"/>
            <w:gridSpan w:val="2"/>
            <w:shd w:val="clear" w:color="auto" w:fill="FEFEFE"/>
          </w:tcPr>
          <w:p>
            <w:pPr>
              <w:spacing w:after="0" w:line="225" w:lineRule="exact"/>
              <w:rPr>
                <w:sz w:val="20"/>
                <w:szCs w:val="20"/>
                <w:color w:val="auto"/>
              </w:rPr>
            </w:pPr>
            <w:r>
              <w:rPr>
                <w:rFonts w:ascii="Arial" w:cs="Arial" w:eastAsia="Arial" w:hAnsi="Arial"/>
                <w:sz w:val="20"/>
                <w:szCs w:val="20"/>
                <w:color w:val="auto"/>
              </w:rPr>
              <w:t>ansas</w:t>
            </w:r>
          </w:p>
        </w:tc>
        <w:tc>
          <w:tcPr>
            <w:tcW w:w="4080" w:type="dxa"/>
            <w:vAlign w:val="bottom"/>
            <w:shd w:val="clear" w:color="auto" w:fill="FEFEFE"/>
          </w:tcPr>
          <w:p>
            <w:pPr>
              <w:jc w:val="right"/>
              <w:ind w:right="300"/>
              <w:spacing w:after="0" w:line="225" w:lineRule="exact"/>
              <w:rPr>
                <w:sz w:val="20"/>
                <w:szCs w:val="20"/>
                <w:color w:val="auto"/>
              </w:rPr>
            </w:pPr>
            <w:r>
              <w:rPr>
                <w:rFonts w:ascii="Arial" w:cs="Arial" w:eastAsia="Arial" w:hAnsi="Arial"/>
                <w:sz w:val="20"/>
                <w:szCs w:val="20"/>
                <w:color w:val="auto"/>
              </w:rPr>
              <w:t>20</w:t>
            </w:r>
          </w:p>
        </w:tc>
        <w:tc>
          <w:tcPr>
            <w:tcW w:w="1080" w:type="dxa"/>
            <w:vAlign w:val="bottom"/>
            <w:shd w:val="clear" w:color="auto" w:fill="FEFEFE"/>
          </w:tcPr>
          <w:p>
            <w:pPr>
              <w:jc w:val="right"/>
              <w:ind w:right="60"/>
              <w:spacing w:after="0" w:line="225" w:lineRule="exact"/>
              <w:rPr>
                <w:sz w:val="20"/>
                <w:szCs w:val="20"/>
                <w:color w:val="auto"/>
              </w:rPr>
            </w:pPr>
            <w:r>
              <w:rPr>
                <w:rFonts w:ascii="Arial" w:cs="Arial" w:eastAsia="Arial" w:hAnsi="Arial"/>
                <w:sz w:val="20"/>
                <w:szCs w:val="20"/>
                <w:color w:val="auto"/>
              </w:rPr>
              <w:t>3</w:t>
            </w:r>
          </w:p>
        </w:tc>
        <w:tc>
          <w:tcPr>
            <w:tcW w:w="1440" w:type="dxa"/>
            <w:vAlign w:val="bottom"/>
            <w:shd w:val="clear" w:color="auto" w:fill="FEFEFE"/>
          </w:tcPr>
          <w:p>
            <w:pPr>
              <w:jc w:val="right"/>
              <w:ind w:right="180"/>
              <w:spacing w:after="0" w:line="225" w:lineRule="exact"/>
              <w:rPr>
                <w:sz w:val="20"/>
                <w:szCs w:val="20"/>
                <w:color w:val="auto"/>
              </w:rPr>
            </w:pPr>
            <w:r>
              <w:rPr>
                <w:rFonts w:ascii="Arial" w:cs="Arial" w:eastAsia="Arial" w:hAnsi="Arial"/>
                <w:sz w:val="20"/>
                <w:szCs w:val="20"/>
                <w:color w:val="auto"/>
              </w:rPr>
              <w:t>8</w:t>
            </w:r>
          </w:p>
        </w:tc>
        <w:tc>
          <w:tcPr>
            <w:tcW w:w="1140" w:type="dxa"/>
            <w:vAlign w:val="bottom"/>
            <w:shd w:val="clear" w:color="auto" w:fill="FEFEFE"/>
          </w:tcPr>
          <w:p>
            <w:pPr>
              <w:jc w:val="right"/>
              <w:spacing w:after="0" w:line="225" w:lineRule="exact"/>
              <w:rPr>
                <w:sz w:val="20"/>
                <w:szCs w:val="20"/>
                <w:color w:val="auto"/>
              </w:rPr>
            </w:pPr>
            <w:r>
              <w:rPr>
                <w:rFonts w:ascii="Arial" w:cs="Arial" w:eastAsia="Arial" w:hAnsi="Arial"/>
                <w:sz w:val="20"/>
                <w:szCs w:val="20"/>
                <w:color w:val="auto"/>
              </w:rPr>
              <w:t>31</w:t>
            </w:r>
          </w:p>
        </w:tc>
      </w:tr>
      <w:tr>
        <w:trPr>
          <w:trHeight w:val="240"/>
        </w:trPr>
        <w:tc>
          <w:tcPr>
            <w:tcW w:w="180" w:type="dxa"/>
            <w:vAlign w:val="bottom"/>
            <w:shd w:val="clear" w:color="auto" w:fill="E4E4E4"/>
          </w:tcPr>
          <w:p>
            <w:pPr>
              <w:spacing w:after="0"/>
              <w:rPr>
                <w:sz w:val="20"/>
                <w:szCs w:val="20"/>
                <w:color w:val="auto"/>
              </w:rPr>
            </w:pPr>
          </w:p>
        </w:tc>
        <w:tc>
          <w:tcPr>
            <w:tcW w:w="23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entucky</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33</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7</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43</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Louisiana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31</w:t>
            </w:r>
          </w:p>
        </w:tc>
        <w:tc>
          <w:tcPr>
            <w:tcW w:w="1080" w:type="dxa"/>
            <w:vAlign w:val="bottom"/>
            <w:shd w:val="clear" w:color="auto" w:fill="FEFEFE"/>
          </w:tcPr>
          <w:p>
            <w:pPr>
              <w:spacing w:after="0"/>
              <w:rPr>
                <w:sz w:val="20"/>
                <w:szCs w:val="20"/>
                <w:color w:val="auto"/>
              </w:rPr>
            </w:pP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10</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41</w:t>
            </w:r>
          </w:p>
        </w:tc>
      </w:tr>
      <w:tr>
        <w:trPr>
          <w:trHeight w:val="240"/>
        </w:trPr>
        <w:tc>
          <w:tcPr>
            <w:tcW w:w="180" w:type="dxa"/>
            <w:vAlign w:val="bottom"/>
            <w:shd w:val="clear" w:color="auto" w:fill="E4E4E4"/>
          </w:tcPr>
          <w:p>
            <w:pPr>
              <w:spacing w:after="0"/>
              <w:rPr>
                <w:sz w:val="20"/>
                <w:szCs w:val="20"/>
                <w:color w:val="auto"/>
              </w:rPr>
            </w:pPr>
          </w:p>
        </w:tc>
        <w:tc>
          <w:tcPr>
            <w:tcW w:w="440" w:type="dxa"/>
            <w:vAlign w:val="bottom"/>
            <w:shd w:val="clear" w:color="auto" w:fill="E4E4E4"/>
          </w:tcPr>
          <w:p>
            <w:pPr>
              <w:ind w:left="40"/>
              <w:spacing w:after="0"/>
              <w:rPr>
                <w:sz w:val="20"/>
                <w:szCs w:val="20"/>
                <w:color w:val="auto"/>
              </w:rPr>
            </w:pPr>
            <w:r>
              <w:rPr>
                <w:rFonts w:ascii="Arial" w:cs="Arial" w:eastAsia="Arial" w:hAnsi="Arial"/>
                <w:sz w:val="20"/>
                <w:szCs w:val="20"/>
                <w:color w:val="auto"/>
              </w:rPr>
              <w:t>aine</w:t>
            </w:r>
          </w:p>
        </w:tc>
        <w:tc>
          <w:tcPr>
            <w:tcW w:w="1900" w:type="dxa"/>
            <w:vAlign w:val="bottom"/>
            <w:shd w:val="clear" w:color="auto" w:fill="E4E4E4"/>
          </w:tcPr>
          <w:p>
            <w:pPr>
              <w:spacing w:after="0"/>
              <w:rPr>
                <w:sz w:val="20"/>
                <w:szCs w:val="20"/>
                <w:color w:val="auto"/>
              </w:rPr>
            </w:pP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13</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5</w:t>
            </w:r>
          </w:p>
        </w:tc>
        <w:tc>
          <w:tcPr>
            <w:tcW w:w="11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1</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aryland</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55</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26</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82</w:t>
            </w:r>
          </w:p>
        </w:tc>
      </w:tr>
      <w:tr>
        <w:trPr>
          <w:trHeight w:val="240"/>
        </w:trPr>
        <w:tc>
          <w:tcPr>
            <w:tcW w:w="180" w:type="dxa"/>
            <w:vAlign w:val="bottom"/>
            <w:shd w:val="clear" w:color="auto" w:fill="E4E4E4"/>
          </w:tcPr>
          <w:p>
            <w:pPr>
              <w:spacing w:after="0"/>
              <w:rPr>
                <w:sz w:val="20"/>
                <w:szCs w:val="20"/>
                <w:color w:val="auto"/>
              </w:rPr>
            </w:pPr>
          </w:p>
        </w:tc>
        <w:tc>
          <w:tcPr>
            <w:tcW w:w="234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assachusetts</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107</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41</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151</w:t>
            </w:r>
          </w:p>
        </w:tc>
      </w:tr>
      <w:tr>
        <w:trPr>
          <w:trHeight w:val="282"/>
        </w:trPr>
        <w:tc>
          <w:tcPr>
            <w:tcW w:w="180" w:type="dxa"/>
            <w:vAlign w:val="bottom"/>
            <w:shd w:val="clear" w:color="auto" w:fill="FEFEFE"/>
          </w:tcPr>
          <w:p>
            <w:pPr>
              <w:spacing w:after="0"/>
              <w:rPr>
                <w:sz w:val="24"/>
                <w:szCs w:val="24"/>
                <w:color w:val="auto"/>
              </w:rPr>
            </w:pPr>
          </w:p>
        </w:tc>
        <w:tc>
          <w:tcPr>
            <w:tcW w:w="234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ichigan</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77</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8</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24</w:t>
            </w:r>
          </w:p>
        </w:tc>
        <w:tc>
          <w:tcPr>
            <w:tcW w:w="1140" w:type="dxa"/>
            <w:vAlign w:val="bottom"/>
            <w:shd w:val="clear" w:color="auto" w:fill="FEFEFE"/>
          </w:tcPr>
          <w:p>
            <w:pPr>
              <w:jc w:val="right"/>
              <w:ind w:right="100"/>
              <w:spacing w:after="0"/>
              <w:rPr>
                <w:sz w:val="20"/>
                <w:szCs w:val="20"/>
                <w:color w:val="auto"/>
              </w:rPr>
            </w:pPr>
            <w:r>
              <w:rPr>
                <w:rFonts w:ascii="Arial" w:cs="Arial" w:eastAsia="Arial" w:hAnsi="Arial"/>
                <w:sz w:val="20"/>
                <w:szCs w:val="20"/>
                <w:color w:val="auto"/>
              </w:rPr>
              <w:t>10</w:t>
            </w:r>
          </w:p>
        </w:tc>
      </w:tr>
      <w:tr>
        <w:trPr>
          <w:trHeight w:val="228"/>
        </w:trPr>
        <w:tc>
          <w:tcPr>
            <w:tcW w:w="180" w:type="dxa"/>
            <w:vAlign w:val="bottom"/>
            <w:shd w:val="clear" w:color="auto" w:fill="E4E4E4"/>
          </w:tcPr>
          <w:p>
            <w:pPr>
              <w:spacing w:after="0"/>
              <w:rPr>
                <w:sz w:val="19"/>
                <w:szCs w:val="19"/>
                <w:color w:val="auto"/>
              </w:rPr>
            </w:pPr>
          </w:p>
        </w:tc>
        <w:tc>
          <w:tcPr>
            <w:tcW w:w="2340" w:type="dxa"/>
            <w:vAlign w:val="bottom"/>
            <w:gridSpan w:val="2"/>
            <w:shd w:val="clear" w:color="auto" w:fill="E4E4E4"/>
          </w:tcPr>
          <w:p>
            <w:pPr>
              <w:ind w:left="40"/>
              <w:spacing w:after="0" w:line="228" w:lineRule="exact"/>
              <w:rPr>
                <w:sz w:val="20"/>
                <w:szCs w:val="20"/>
                <w:color w:val="auto"/>
              </w:rPr>
            </w:pPr>
            <w:r>
              <w:rPr>
                <w:rFonts w:ascii="Arial" w:cs="Arial" w:eastAsia="Arial" w:hAnsi="Arial"/>
                <w:sz w:val="20"/>
                <w:szCs w:val="20"/>
                <w:color w:val="auto"/>
              </w:rPr>
              <w:t>innesota</w:t>
            </w:r>
          </w:p>
        </w:tc>
        <w:tc>
          <w:tcPr>
            <w:tcW w:w="4080" w:type="dxa"/>
            <w:vAlign w:val="bottom"/>
            <w:shd w:val="clear" w:color="auto" w:fill="E4E4E4"/>
          </w:tcPr>
          <w:p>
            <w:pPr>
              <w:jc w:val="right"/>
              <w:ind w:right="300"/>
              <w:spacing w:after="0" w:line="228" w:lineRule="exact"/>
              <w:rPr>
                <w:sz w:val="20"/>
                <w:szCs w:val="20"/>
                <w:color w:val="auto"/>
              </w:rPr>
            </w:pPr>
            <w:r>
              <w:rPr>
                <w:rFonts w:ascii="Arial" w:cs="Arial" w:eastAsia="Arial" w:hAnsi="Arial"/>
                <w:sz w:val="20"/>
                <w:szCs w:val="20"/>
                <w:color w:val="auto"/>
              </w:rPr>
              <w:t>36</w:t>
            </w:r>
          </w:p>
        </w:tc>
        <w:tc>
          <w:tcPr>
            <w:tcW w:w="1080" w:type="dxa"/>
            <w:vAlign w:val="bottom"/>
            <w:shd w:val="clear" w:color="auto" w:fill="E4E4E4"/>
          </w:tcPr>
          <w:p>
            <w:pPr>
              <w:jc w:val="right"/>
              <w:ind w:right="60"/>
              <w:spacing w:after="0" w:line="228" w:lineRule="exact"/>
              <w:rPr>
                <w:sz w:val="20"/>
                <w:szCs w:val="20"/>
                <w:color w:val="auto"/>
              </w:rPr>
            </w:pPr>
            <w:r>
              <w:rPr>
                <w:rFonts w:ascii="Arial" w:cs="Arial" w:eastAsia="Arial" w:hAnsi="Arial"/>
                <w:sz w:val="20"/>
                <w:szCs w:val="20"/>
                <w:color w:val="auto"/>
              </w:rPr>
              <w:t>10</w:t>
            </w:r>
          </w:p>
        </w:tc>
        <w:tc>
          <w:tcPr>
            <w:tcW w:w="1440" w:type="dxa"/>
            <w:vAlign w:val="bottom"/>
            <w:shd w:val="clear" w:color="auto" w:fill="E4E4E4"/>
          </w:tcPr>
          <w:p>
            <w:pPr>
              <w:jc w:val="right"/>
              <w:ind w:right="180"/>
              <w:spacing w:after="0" w:line="228" w:lineRule="exact"/>
              <w:rPr>
                <w:sz w:val="20"/>
                <w:szCs w:val="20"/>
                <w:color w:val="auto"/>
              </w:rPr>
            </w:pPr>
            <w:r>
              <w:rPr>
                <w:rFonts w:ascii="Arial" w:cs="Arial" w:eastAsia="Arial" w:hAnsi="Arial"/>
                <w:sz w:val="20"/>
                <w:szCs w:val="20"/>
                <w:color w:val="auto"/>
              </w:rPr>
              <w:t>16</w:t>
            </w:r>
          </w:p>
        </w:tc>
        <w:tc>
          <w:tcPr>
            <w:tcW w:w="114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auto"/>
              </w:rPr>
              <w:t>62</w:t>
            </w:r>
          </w:p>
        </w:tc>
      </w:tr>
      <w:tr>
        <w:trPr>
          <w:trHeight w:val="255"/>
        </w:trPr>
        <w:tc>
          <w:tcPr>
            <w:tcW w:w="180" w:type="dxa"/>
            <w:vAlign w:val="bottom"/>
            <w:shd w:val="clear" w:color="auto" w:fill="FEFEFE"/>
          </w:tcPr>
          <w:p>
            <w:pPr>
              <w:spacing w:after="0"/>
              <w:rPr>
                <w:sz w:val="22"/>
                <w:szCs w:val="22"/>
                <w:color w:val="auto"/>
              </w:rPr>
            </w:pPr>
          </w:p>
        </w:tc>
        <w:tc>
          <w:tcPr>
            <w:tcW w:w="234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ississippi</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21</w:t>
            </w:r>
          </w:p>
        </w:tc>
        <w:tc>
          <w:tcPr>
            <w:tcW w:w="1080" w:type="dxa"/>
            <w:vAlign w:val="bottom"/>
            <w:shd w:val="clear" w:color="auto" w:fill="FEFEFE"/>
          </w:tcPr>
          <w:p>
            <w:pPr>
              <w:spacing w:after="0"/>
              <w:rPr>
                <w:sz w:val="22"/>
                <w:szCs w:val="22"/>
                <w:color w:val="auto"/>
              </w:rPr>
            </w:pP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7</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r>
      <w:tr>
        <w:trPr>
          <w:trHeight w:val="240"/>
        </w:trPr>
        <w:tc>
          <w:tcPr>
            <w:tcW w:w="180" w:type="dxa"/>
            <w:vAlign w:val="bottom"/>
            <w:shd w:val="clear" w:color="auto" w:fill="E4E4E4"/>
          </w:tcPr>
          <w:p>
            <w:pPr>
              <w:spacing w:after="0"/>
              <w:rPr>
                <w:sz w:val="20"/>
                <w:szCs w:val="20"/>
                <w:color w:val="auto"/>
              </w:rPr>
            </w:pPr>
          </w:p>
        </w:tc>
        <w:tc>
          <w:tcPr>
            <w:tcW w:w="234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issouri</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40</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2</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14</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56</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ontana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6</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2</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Nebraska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12</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2</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6</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20</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Nevada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22</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7</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30</w:t>
            </w:r>
          </w:p>
        </w:tc>
      </w:tr>
      <w:tr>
        <w:trPr>
          <w:trHeight w:val="240"/>
        </w:trPr>
        <w:tc>
          <w:tcPr>
            <w:tcW w:w="62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New</w:t>
            </w:r>
          </w:p>
        </w:tc>
        <w:tc>
          <w:tcPr>
            <w:tcW w:w="1900" w:type="dxa"/>
            <w:vAlign w:val="bottom"/>
            <w:shd w:val="clear" w:color="auto" w:fill="E4E4E4"/>
          </w:tcPr>
          <w:p>
            <w:pPr>
              <w:spacing w:after="0"/>
              <w:rPr>
                <w:sz w:val="20"/>
                <w:szCs w:val="20"/>
                <w:color w:val="auto"/>
              </w:rPr>
            </w:pPr>
            <w:r>
              <w:rPr>
                <w:rFonts w:ascii="Arial" w:cs="Arial" w:eastAsia="Arial" w:hAnsi="Arial"/>
                <w:sz w:val="20"/>
                <w:szCs w:val="20"/>
                <w:color w:val="auto"/>
              </w:rPr>
              <w:t>ampshire</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28</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7</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15</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50</w:t>
            </w:r>
          </w:p>
        </w:tc>
      </w:tr>
      <w:tr>
        <w:trPr>
          <w:trHeight w:val="255"/>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New Jersey</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1</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4</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55</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150</w:t>
            </w:r>
          </w:p>
        </w:tc>
      </w:tr>
      <w:tr>
        <w:trPr>
          <w:trHeight w:val="240"/>
        </w:trPr>
        <w:tc>
          <w:tcPr>
            <w:tcW w:w="62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New</w:t>
            </w:r>
          </w:p>
        </w:tc>
        <w:tc>
          <w:tcPr>
            <w:tcW w:w="1900" w:type="dxa"/>
            <w:vAlign w:val="bottom"/>
            <w:shd w:val="clear" w:color="auto" w:fill="E4E4E4"/>
          </w:tcPr>
          <w:p>
            <w:pPr>
              <w:ind w:left="20"/>
              <w:spacing w:after="0"/>
              <w:rPr>
                <w:sz w:val="20"/>
                <w:szCs w:val="20"/>
                <w:color w:val="auto"/>
              </w:rPr>
            </w:pPr>
            <w:r>
              <w:rPr>
                <w:rFonts w:ascii="Arial" w:cs="Arial" w:eastAsia="Arial" w:hAnsi="Arial"/>
                <w:sz w:val="20"/>
                <w:szCs w:val="20"/>
                <w:color w:val="auto"/>
              </w:rPr>
              <w:t>exico</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15</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4</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20</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New York</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170</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8</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67</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245</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North Carolina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71</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33</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105</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North Dakota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7</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2</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4</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w:t>
            </w:r>
          </w:p>
        </w:tc>
      </w:tr>
      <w:tr>
        <w:trPr>
          <w:trHeight w:val="240"/>
        </w:trPr>
        <w:tc>
          <w:tcPr>
            <w:tcW w:w="180" w:type="dxa"/>
            <w:vAlign w:val="bottom"/>
            <w:shd w:val="clear" w:color="auto" w:fill="E4E4E4"/>
          </w:tcPr>
          <w:p>
            <w:pPr>
              <w:spacing w:after="0"/>
              <w:rPr>
                <w:sz w:val="20"/>
                <w:szCs w:val="20"/>
                <w:color w:val="auto"/>
              </w:rPr>
            </w:pPr>
          </w:p>
        </w:tc>
        <w:tc>
          <w:tcPr>
            <w:tcW w:w="440" w:type="dxa"/>
            <w:vAlign w:val="bottom"/>
            <w:shd w:val="clear" w:color="auto" w:fill="E4E4E4"/>
          </w:tcPr>
          <w:p>
            <w:pPr>
              <w:spacing w:after="0"/>
              <w:rPr>
                <w:sz w:val="20"/>
                <w:szCs w:val="20"/>
                <w:color w:val="auto"/>
              </w:rPr>
            </w:pPr>
            <w:r>
              <w:rPr>
                <w:rFonts w:ascii="Arial" w:cs="Arial" w:eastAsia="Arial" w:hAnsi="Arial"/>
                <w:sz w:val="20"/>
                <w:szCs w:val="20"/>
                <w:color w:val="auto"/>
              </w:rPr>
              <w:t>hio</w:t>
            </w:r>
          </w:p>
        </w:tc>
        <w:tc>
          <w:tcPr>
            <w:tcW w:w="1900" w:type="dxa"/>
            <w:vAlign w:val="bottom"/>
            <w:shd w:val="clear" w:color="auto" w:fill="E4E4E4"/>
          </w:tcPr>
          <w:p>
            <w:pPr>
              <w:spacing w:after="0"/>
              <w:rPr>
                <w:sz w:val="20"/>
                <w:szCs w:val="20"/>
                <w:color w:val="auto"/>
              </w:rPr>
            </w:pP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6</w:t>
            </w:r>
          </w:p>
        </w:tc>
        <w:tc>
          <w:tcPr>
            <w:tcW w:w="1440" w:type="dxa"/>
            <w:vAlign w:val="bottom"/>
            <w:shd w:val="clear" w:color="auto" w:fill="E4E4E4"/>
          </w:tcPr>
          <w:p>
            <w:pPr>
              <w:jc w:val="right"/>
              <w:ind w:right="280"/>
              <w:spacing w:after="0"/>
              <w:rPr>
                <w:sz w:val="20"/>
                <w:szCs w:val="20"/>
                <w:color w:val="auto"/>
              </w:rPr>
            </w:pPr>
            <w:r>
              <w:rPr>
                <w:rFonts w:ascii="Arial" w:cs="Arial" w:eastAsia="Arial" w:hAnsi="Arial"/>
                <w:sz w:val="20"/>
                <w:szCs w:val="20"/>
                <w:color w:val="auto"/>
              </w:rPr>
              <w:t>2</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126</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klahoma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21</w:t>
            </w:r>
          </w:p>
        </w:tc>
        <w:tc>
          <w:tcPr>
            <w:tcW w:w="1080" w:type="dxa"/>
            <w:vAlign w:val="bottom"/>
            <w:shd w:val="clear" w:color="auto" w:fill="FEFEFE"/>
          </w:tcPr>
          <w:p>
            <w:pPr>
              <w:spacing w:after="0"/>
              <w:rPr>
                <w:sz w:val="20"/>
                <w:szCs w:val="20"/>
                <w:color w:val="auto"/>
              </w:rPr>
            </w:pP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7</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r>
      <w:tr>
        <w:trPr>
          <w:trHeight w:val="285"/>
        </w:trPr>
        <w:tc>
          <w:tcPr>
            <w:tcW w:w="180" w:type="dxa"/>
            <w:vAlign w:val="bottom"/>
            <w:shd w:val="clear" w:color="auto" w:fill="E4E4E4"/>
          </w:tcPr>
          <w:p>
            <w:pPr>
              <w:spacing w:after="0"/>
              <w:rPr>
                <w:sz w:val="24"/>
                <w:szCs w:val="24"/>
                <w:color w:val="auto"/>
              </w:rPr>
            </w:pPr>
          </w:p>
        </w:tc>
        <w:tc>
          <w:tcPr>
            <w:tcW w:w="23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regon</w:t>
            </w:r>
          </w:p>
        </w:tc>
        <w:tc>
          <w:tcPr>
            <w:tcW w:w="4080" w:type="dxa"/>
            <w:vAlign w:val="bottom"/>
            <w:shd w:val="clear" w:color="auto" w:fill="E4E4E4"/>
          </w:tcPr>
          <w:p>
            <w:pPr>
              <w:jc w:val="right"/>
              <w:ind w:right="400"/>
              <w:spacing w:after="0"/>
              <w:rPr>
                <w:sz w:val="20"/>
                <w:szCs w:val="20"/>
                <w:color w:val="auto"/>
              </w:rPr>
            </w:pPr>
            <w:r>
              <w:rPr>
                <w:rFonts w:ascii="Arial" w:cs="Arial" w:eastAsia="Arial" w:hAnsi="Arial"/>
                <w:sz w:val="20"/>
                <w:szCs w:val="20"/>
                <w:color w:val="auto"/>
              </w:rPr>
              <w:t>2</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10</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42</w:t>
            </w:r>
          </w:p>
        </w:tc>
      </w:tr>
      <w:tr>
        <w:trPr>
          <w:trHeight w:val="255"/>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Pennsylvania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104</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4</w:t>
            </w:r>
          </w:p>
        </w:tc>
        <w:tc>
          <w:tcPr>
            <w:tcW w:w="1440" w:type="dxa"/>
            <w:vAlign w:val="bottom"/>
            <w:shd w:val="clear" w:color="auto" w:fill="FEFEFE"/>
          </w:tcPr>
          <w:p>
            <w:pPr>
              <w:jc w:val="right"/>
              <w:ind w:right="280"/>
              <w:spacing w:after="0"/>
              <w:rPr>
                <w:sz w:val="20"/>
                <w:szCs w:val="20"/>
                <w:color w:val="auto"/>
              </w:rPr>
            </w:pPr>
            <w:r>
              <w:rPr>
                <w:rFonts w:ascii="Arial" w:cs="Arial" w:eastAsia="Arial" w:hAnsi="Arial"/>
                <w:sz w:val="20"/>
                <w:szCs w:val="20"/>
                <w:color w:val="auto"/>
              </w:rPr>
              <w:t>3</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147</w:t>
            </w:r>
          </w:p>
        </w:tc>
      </w:tr>
      <w:tr>
        <w:trPr>
          <w:trHeight w:val="240"/>
        </w:trPr>
        <w:tc>
          <w:tcPr>
            <w:tcW w:w="62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w w:val="94"/>
              </w:rPr>
              <w:t>Puerto</w:t>
            </w:r>
          </w:p>
        </w:tc>
        <w:tc>
          <w:tcPr>
            <w:tcW w:w="1900" w:type="dxa"/>
            <w:vAlign w:val="bottom"/>
            <w:shd w:val="clear" w:color="auto" w:fill="E4E4E4"/>
          </w:tcPr>
          <w:p>
            <w:pPr>
              <w:ind w:left="120"/>
              <w:spacing w:after="0"/>
              <w:rPr>
                <w:sz w:val="20"/>
                <w:szCs w:val="20"/>
                <w:color w:val="auto"/>
              </w:rPr>
            </w:pPr>
            <w:r>
              <w:rPr>
                <w:rFonts w:ascii="Arial" w:cs="Arial" w:eastAsia="Arial" w:hAnsi="Arial"/>
                <w:sz w:val="20"/>
                <w:szCs w:val="20"/>
                <w:color w:val="auto"/>
              </w:rPr>
              <w:t>ico</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31</w:t>
            </w:r>
          </w:p>
        </w:tc>
        <w:tc>
          <w:tcPr>
            <w:tcW w:w="1080" w:type="dxa"/>
            <w:vAlign w:val="bottom"/>
            <w:shd w:val="clear" w:color="auto" w:fill="E4E4E4"/>
          </w:tcPr>
          <w:p>
            <w:pPr>
              <w:spacing w:after="0"/>
              <w:rPr>
                <w:sz w:val="20"/>
                <w:szCs w:val="20"/>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6</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37</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hode Island</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12</w:t>
            </w:r>
          </w:p>
        </w:tc>
        <w:tc>
          <w:tcPr>
            <w:tcW w:w="1080" w:type="dxa"/>
            <w:vAlign w:val="bottom"/>
            <w:shd w:val="clear" w:color="auto" w:fill="FEFEFE"/>
          </w:tcPr>
          <w:p>
            <w:pPr>
              <w:spacing w:after="0"/>
              <w:rPr>
                <w:sz w:val="20"/>
                <w:szCs w:val="20"/>
                <w:color w:val="auto"/>
              </w:rPr>
            </w:pP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6</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South Carolina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36</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3</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18</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57</w:t>
            </w:r>
          </w:p>
        </w:tc>
      </w:tr>
      <w:tr>
        <w:trPr>
          <w:trHeight w:val="240"/>
        </w:trPr>
        <w:tc>
          <w:tcPr>
            <w:tcW w:w="25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South Dakota</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7</w:t>
            </w:r>
          </w:p>
        </w:tc>
        <w:tc>
          <w:tcPr>
            <w:tcW w:w="1080" w:type="dxa"/>
            <w:vAlign w:val="bottom"/>
            <w:shd w:val="clear" w:color="auto" w:fill="FEFEFE"/>
          </w:tcPr>
          <w:p>
            <w:pPr>
              <w:spacing w:after="0"/>
              <w:rPr>
                <w:sz w:val="20"/>
                <w:szCs w:val="20"/>
                <w:color w:val="auto"/>
              </w:rPr>
            </w:pP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1</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w:t>
            </w:r>
          </w:p>
        </w:tc>
      </w:tr>
      <w:tr>
        <w:trPr>
          <w:trHeight w:val="240"/>
        </w:trPr>
        <w:tc>
          <w:tcPr>
            <w:tcW w:w="25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Tennessee</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56</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20</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77</w:t>
            </w:r>
          </w:p>
        </w:tc>
      </w:tr>
      <w:tr>
        <w:trPr>
          <w:trHeight w:val="240"/>
        </w:trPr>
        <w:tc>
          <w:tcPr>
            <w:tcW w:w="62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Texas</w:t>
            </w:r>
          </w:p>
        </w:tc>
        <w:tc>
          <w:tcPr>
            <w:tcW w:w="1900" w:type="dxa"/>
            <w:vAlign w:val="bottom"/>
            <w:shd w:val="clear" w:color="auto" w:fill="FEFEFE"/>
          </w:tcPr>
          <w:p>
            <w:pPr>
              <w:spacing w:after="0"/>
              <w:rPr>
                <w:sz w:val="20"/>
                <w:szCs w:val="20"/>
                <w:color w:val="auto"/>
              </w:rPr>
            </w:pP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183</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2</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83</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268</w:t>
            </w:r>
          </w:p>
        </w:tc>
      </w:tr>
      <w:tr>
        <w:trPr>
          <w:trHeight w:val="240"/>
        </w:trPr>
        <w:tc>
          <w:tcPr>
            <w:tcW w:w="180" w:type="dxa"/>
            <w:vAlign w:val="bottom"/>
            <w:shd w:val="clear" w:color="auto" w:fill="E4E4E4"/>
          </w:tcPr>
          <w:p>
            <w:pPr>
              <w:spacing w:after="0"/>
              <w:rPr>
                <w:sz w:val="20"/>
                <w:szCs w:val="20"/>
                <w:color w:val="auto"/>
              </w:rPr>
            </w:pPr>
          </w:p>
        </w:tc>
        <w:tc>
          <w:tcPr>
            <w:tcW w:w="440" w:type="dxa"/>
            <w:vAlign w:val="bottom"/>
            <w:shd w:val="clear" w:color="auto" w:fill="E4E4E4"/>
          </w:tcPr>
          <w:p>
            <w:pPr>
              <w:spacing w:after="0"/>
              <w:rPr>
                <w:sz w:val="20"/>
                <w:szCs w:val="20"/>
                <w:color w:val="auto"/>
              </w:rPr>
            </w:pPr>
            <w:r>
              <w:rPr>
                <w:rFonts w:ascii="Arial" w:cs="Arial" w:eastAsia="Arial" w:hAnsi="Arial"/>
                <w:sz w:val="20"/>
                <w:szCs w:val="20"/>
                <w:color w:val="auto"/>
              </w:rPr>
              <w:t>tah</w:t>
            </w:r>
          </w:p>
        </w:tc>
        <w:tc>
          <w:tcPr>
            <w:tcW w:w="1900" w:type="dxa"/>
            <w:vAlign w:val="bottom"/>
            <w:shd w:val="clear" w:color="auto" w:fill="E4E4E4"/>
          </w:tcPr>
          <w:p>
            <w:pPr>
              <w:spacing w:after="0"/>
              <w:rPr>
                <w:sz w:val="20"/>
                <w:szCs w:val="20"/>
                <w:color w:val="auto"/>
              </w:rPr>
            </w:pP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21</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7</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11</w:t>
            </w:r>
          </w:p>
        </w:tc>
        <w:tc>
          <w:tcPr>
            <w:tcW w:w="11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3</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spacing w:after="0"/>
              <w:rPr>
                <w:sz w:val="20"/>
                <w:szCs w:val="20"/>
                <w:color w:val="auto"/>
              </w:rPr>
            </w:pPr>
            <w:r>
              <w:rPr>
                <w:rFonts w:ascii="Arial" w:cs="Arial" w:eastAsia="Arial" w:hAnsi="Arial"/>
                <w:sz w:val="20"/>
                <w:szCs w:val="20"/>
                <w:color w:val="auto"/>
              </w:rPr>
              <w:t>ermont</w:t>
            </w:r>
          </w:p>
        </w:tc>
        <w:tc>
          <w:tcPr>
            <w:tcW w:w="4080" w:type="dxa"/>
            <w:vAlign w:val="bottom"/>
            <w:shd w:val="clear" w:color="auto" w:fill="FEFEFE"/>
          </w:tcPr>
          <w:p>
            <w:pPr>
              <w:spacing w:after="0"/>
              <w:rPr>
                <w:sz w:val="20"/>
                <w:szCs w:val="20"/>
                <w:color w:val="auto"/>
              </w:rPr>
            </w:pP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1</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w:t>
            </w:r>
          </w:p>
        </w:tc>
      </w:tr>
      <w:tr>
        <w:trPr>
          <w:trHeight w:val="285"/>
        </w:trPr>
        <w:tc>
          <w:tcPr>
            <w:tcW w:w="180" w:type="dxa"/>
            <w:vAlign w:val="bottom"/>
            <w:shd w:val="clear" w:color="auto" w:fill="E4E4E4"/>
          </w:tcPr>
          <w:p>
            <w:pPr>
              <w:spacing w:after="0"/>
              <w:rPr>
                <w:sz w:val="24"/>
                <w:szCs w:val="24"/>
                <w:color w:val="auto"/>
              </w:rPr>
            </w:pPr>
          </w:p>
        </w:tc>
        <w:tc>
          <w:tcPr>
            <w:tcW w:w="234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irginia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74</w:t>
            </w:r>
          </w:p>
        </w:tc>
        <w:tc>
          <w:tcPr>
            <w:tcW w:w="10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4</w:t>
            </w: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40</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118</w:t>
            </w:r>
          </w:p>
        </w:tc>
      </w:tr>
      <w:tr>
        <w:trPr>
          <w:trHeight w:val="279"/>
        </w:trPr>
        <w:tc>
          <w:tcPr>
            <w:tcW w:w="180" w:type="dxa"/>
            <w:vAlign w:val="bottom"/>
            <w:shd w:val="clear" w:color="auto" w:fill="FEFEFE"/>
          </w:tcPr>
          <w:p>
            <w:pPr>
              <w:spacing w:after="0"/>
              <w:rPr>
                <w:sz w:val="24"/>
                <w:szCs w:val="24"/>
                <w:color w:val="auto"/>
              </w:rPr>
            </w:pPr>
          </w:p>
        </w:tc>
        <w:tc>
          <w:tcPr>
            <w:tcW w:w="2340" w:type="dxa"/>
            <w:vAlign w:val="bottom"/>
            <w:gridSpan w:val="2"/>
            <w:shd w:val="clear" w:color="auto" w:fill="FEFEFE"/>
          </w:tcPr>
          <w:p>
            <w:pPr>
              <w:ind w:left="60"/>
              <w:spacing w:after="0"/>
              <w:rPr>
                <w:sz w:val="20"/>
                <w:szCs w:val="20"/>
                <w:color w:val="auto"/>
              </w:rPr>
            </w:pPr>
            <w:r>
              <w:rPr>
                <w:rFonts w:ascii="Arial" w:cs="Arial" w:eastAsia="Arial" w:hAnsi="Arial"/>
                <w:sz w:val="20"/>
                <w:szCs w:val="20"/>
                <w:color w:val="auto"/>
              </w:rPr>
              <w:t>ashington</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43</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4</w:t>
            </w:r>
          </w:p>
        </w:tc>
        <w:tc>
          <w:tcPr>
            <w:tcW w:w="1440" w:type="dxa"/>
            <w:vAlign w:val="bottom"/>
            <w:shd w:val="clear" w:color="auto" w:fill="FEFEFE"/>
          </w:tcPr>
          <w:p>
            <w:pPr>
              <w:jc w:val="right"/>
              <w:ind w:right="280"/>
              <w:spacing w:after="0"/>
              <w:rPr>
                <w:sz w:val="20"/>
                <w:szCs w:val="20"/>
                <w:color w:val="auto"/>
              </w:rPr>
            </w:pPr>
            <w:r>
              <w:rPr>
                <w:rFonts w:ascii="Arial" w:cs="Arial" w:eastAsia="Arial" w:hAnsi="Arial"/>
                <w:sz w:val="20"/>
                <w:szCs w:val="20"/>
                <w:color w:val="auto"/>
              </w:rPr>
              <w:t>1</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66</w:t>
            </w:r>
          </w:p>
        </w:tc>
      </w:tr>
      <w:tr>
        <w:trPr>
          <w:trHeight w:val="291"/>
        </w:trPr>
        <w:tc>
          <w:tcPr>
            <w:tcW w:w="180" w:type="dxa"/>
            <w:vAlign w:val="bottom"/>
            <w:shd w:val="clear" w:color="auto" w:fill="E4E4E4"/>
          </w:tcPr>
          <w:p>
            <w:pPr>
              <w:spacing w:after="0"/>
              <w:rPr>
                <w:sz w:val="24"/>
                <w:szCs w:val="24"/>
                <w:color w:val="auto"/>
              </w:rPr>
            </w:pPr>
          </w:p>
        </w:tc>
        <w:tc>
          <w:tcPr>
            <w:tcW w:w="440" w:type="dxa"/>
            <w:vAlign w:val="bottom"/>
            <w:shd w:val="clear" w:color="auto" w:fill="E4E4E4"/>
          </w:tcPr>
          <w:p>
            <w:pPr>
              <w:ind w:left="60"/>
              <w:spacing w:after="0"/>
              <w:rPr>
                <w:sz w:val="20"/>
                <w:szCs w:val="20"/>
                <w:color w:val="auto"/>
              </w:rPr>
            </w:pPr>
            <w:r>
              <w:rPr>
                <w:rFonts w:ascii="Arial" w:cs="Arial" w:eastAsia="Arial" w:hAnsi="Arial"/>
                <w:sz w:val="20"/>
                <w:szCs w:val="20"/>
                <w:color w:val="auto"/>
              </w:rPr>
              <w:t>est</w:t>
            </w:r>
          </w:p>
        </w:tc>
        <w:tc>
          <w:tcPr>
            <w:tcW w:w="1900" w:type="dxa"/>
            <w:vAlign w:val="bottom"/>
            <w:shd w:val="clear" w:color="auto" w:fill="E4E4E4"/>
          </w:tcPr>
          <w:p>
            <w:pPr>
              <w:ind w:left="20"/>
              <w:spacing w:after="0"/>
              <w:rPr>
                <w:sz w:val="20"/>
                <w:szCs w:val="20"/>
                <w:color w:val="auto"/>
              </w:rPr>
            </w:pPr>
            <w:r>
              <w:rPr>
                <w:rFonts w:ascii="Arial" w:cs="Arial" w:eastAsia="Arial" w:hAnsi="Arial"/>
                <w:sz w:val="20"/>
                <w:szCs w:val="20"/>
                <w:color w:val="auto"/>
              </w:rPr>
              <w:t>irginia</w:t>
            </w:r>
          </w:p>
        </w:tc>
        <w:tc>
          <w:tcPr>
            <w:tcW w:w="408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11</w:t>
            </w:r>
          </w:p>
        </w:tc>
        <w:tc>
          <w:tcPr>
            <w:tcW w:w="1080" w:type="dxa"/>
            <w:vAlign w:val="bottom"/>
            <w:shd w:val="clear" w:color="auto" w:fill="E4E4E4"/>
          </w:tcPr>
          <w:p>
            <w:pPr>
              <w:spacing w:after="0"/>
              <w:rPr>
                <w:sz w:val="24"/>
                <w:szCs w:val="24"/>
                <w:color w:val="auto"/>
              </w:rPr>
            </w:pPr>
          </w:p>
        </w:tc>
        <w:tc>
          <w:tcPr>
            <w:tcW w:w="144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5</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w:t>
            </w:r>
          </w:p>
        </w:tc>
      </w:tr>
      <w:tr>
        <w:trPr>
          <w:trHeight w:val="240"/>
        </w:trPr>
        <w:tc>
          <w:tcPr>
            <w:tcW w:w="18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ind w:left="60"/>
              <w:spacing w:after="0"/>
              <w:rPr>
                <w:sz w:val="20"/>
                <w:szCs w:val="20"/>
                <w:color w:val="auto"/>
              </w:rPr>
            </w:pPr>
            <w:r>
              <w:rPr>
                <w:rFonts w:ascii="Arial" w:cs="Arial" w:eastAsia="Arial" w:hAnsi="Arial"/>
                <w:sz w:val="20"/>
                <w:szCs w:val="20"/>
                <w:color w:val="auto"/>
              </w:rPr>
              <w:t>isconsin</w:t>
            </w:r>
          </w:p>
        </w:tc>
        <w:tc>
          <w:tcPr>
            <w:tcW w:w="4080" w:type="dxa"/>
            <w:vAlign w:val="bottom"/>
            <w:shd w:val="clear" w:color="auto" w:fill="FEFEFE"/>
          </w:tcPr>
          <w:p>
            <w:pPr>
              <w:jc w:val="right"/>
              <w:ind w:right="300"/>
              <w:spacing w:after="0"/>
              <w:rPr>
                <w:sz w:val="20"/>
                <w:szCs w:val="20"/>
                <w:color w:val="auto"/>
              </w:rPr>
            </w:pPr>
            <w:r>
              <w:rPr>
                <w:rFonts w:ascii="Arial" w:cs="Arial" w:eastAsia="Arial" w:hAnsi="Arial"/>
                <w:sz w:val="20"/>
                <w:szCs w:val="20"/>
                <w:color w:val="auto"/>
              </w:rPr>
              <w:t>45</w:t>
            </w:r>
          </w:p>
        </w:tc>
        <w:tc>
          <w:tcPr>
            <w:tcW w:w="10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10</w:t>
            </w:r>
          </w:p>
        </w:tc>
        <w:tc>
          <w:tcPr>
            <w:tcW w:w="144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18</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73</w:t>
            </w:r>
          </w:p>
        </w:tc>
      </w:tr>
      <w:tr>
        <w:trPr>
          <w:trHeight w:val="275"/>
        </w:trPr>
        <w:tc>
          <w:tcPr>
            <w:tcW w:w="180" w:type="dxa"/>
            <w:vAlign w:val="bottom"/>
            <w:tcBorders>
              <w:bottom w:val="single" w:sz="8" w:color="auto"/>
            </w:tcBorders>
            <w:shd w:val="clear" w:color="auto" w:fill="E4E4E4"/>
          </w:tcPr>
          <w:p>
            <w:pPr>
              <w:spacing w:after="0"/>
              <w:rPr>
                <w:sz w:val="23"/>
                <w:szCs w:val="23"/>
                <w:color w:val="auto"/>
              </w:rPr>
            </w:pPr>
          </w:p>
        </w:tc>
        <w:tc>
          <w:tcPr>
            <w:tcW w:w="2340" w:type="dxa"/>
            <w:vAlign w:val="bottom"/>
            <w:tcBorders>
              <w:bottom w:val="single" w:sz="8" w:color="auto"/>
            </w:tcBorders>
            <w:gridSpan w:val="2"/>
            <w:shd w:val="clear" w:color="auto" w:fill="E4E4E4"/>
          </w:tcPr>
          <w:p>
            <w:pPr>
              <w:ind w:left="60"/>
              <w:spacing w:after="0"/>
              <w:rPr>
                <w:sz w:val="20"/>
                <w:szCs w:val="20"/>
                <w:color w:val="auto"/>
              </w:rPr>
            </w:pPr>
            <w:r>
              <w:rPr>
                <w:rFonts w:ascii="Arial" w:cs="Arial" w:eastAsia="Arial" w:hAnsi="Arial"/>
                <w:sz w:val="20"/>
                <w:szCs w:val="20"/>
                <w:color w:val="auto"/>
              </w:rPr>
              <w:t>yoming</w:t>
            </w:r>
          </w:p>
        </w:tc>
        <w:tc>
          <w:tcPr>
            <w:tcW w:w="4080" w:type="dxa"/>
            <w:vAlign w:val="bottom"/>
            <w:tcBorders>
              <w:bottom w:val="single" w:sz="8" w:color="auto"/>
            </w:tcBorders>
            <w:shd w:val="clear" w:color="auto" w:fill="E4E4E4"/>
          </w:tcPr>
          <w:p>
            <w:pPr>
              <w:jc w:val="right"/>
              <w:ind w:right="300"/>
              <w:spacing w:after="0"/>
              <w:rPr>
                <w:sz w:val="20"/>
                <w:szCs w:val="20"/>
                <w:color w:val="auto"/>
              </w:rPr>
            </w:pPr>
            <w:r>
              <w:rPr>
                <w:rFonts w:ascii="Arial" w:cs="Arial" w:eastAsia="Arial" w:hAnsi="Arial"/>
                <w:sz w:val="20"/>
                <w:szCs w:val="20"/>
                <w:color w:val="auto"/>
              </w:rPr>
              <w:t>5</w:t>
            </w:r>
          </w:p>
        </w:tc>
        <w:tc>
          <w:tcPr>
            <w:tcW w:w="108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2</w:t>
            </w:r>
          </w:p>
        </w:tc>
        <w:tc>
          <w:tcPr>
            <w:tcW w:w="1440" w:type="dxa"/>
            <w:vAlign w:val="bottom"/>
            <w:tcBorders>
              <w:bottom w:val="single" w:sz="8" w:color="auto"/>
            </w:tcBorders>
            <w:shd w:val="clear" w:color="auto" w:fill="E4E4E4"/>
          </w:tcPr>
          <w:p>
            <w:pPr>
              <w:spacing w:after="0"/>
              <w:rPr>
                <w:sz w:val="23"/>
                <w:szCs w:val="23"/>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w:t>
            </w:r>
          </w:p>
        </w:tc>
      </w:tr>
      <w:tr>
        <w:trPr>
          <w:trHeight w:val="220"/>
        </w:trPr>
        <w:tc>
          <w:tcPr>
            <w:tcW w:w="180" w:type="dxa"/>
            <w:vAlign w:val="bottom"/>
            <w:tcBorders>
              <w:bottom w:val="single" w:sz="8" w:color="auto"/>
            </w:tcBorders>
            <w:shd w:val="clear" w:color="auto" w:fill="FEFEFE"/>
          </w:tcPr>
          <w:p>
            <w:pPr>
              <w:spacing w:after="0"/>
              <w:rPr>
                <w:sz w:val="19"/>
                <w:szCs w:val="19"/>
                <w:color w:val="auto"/>
              </w:rPr>
            </w:pPr>
          </w:p>
        </w:tc>
        <w:tc>
          <w:tcPr>
            <w:tcW w:w="2340" w:type="dxa"/>
            <w:vAlign w:val="bottom"/>
            <w:tcBorders>
              <w:bottom w:val="single" w:sz="8" w:color="auto"/>
            </w:tcBorders>
            <w:gridSpan w:val="2"/>
            <w:shd w:val="clear" w:color="auto" w:fill="FEFEFE"/>
          </w:tcPr>
          <w:p>
            <w:pPr>
              <w:ind w:left="220"/>
              <w:spacing w:after="0" w:line="220" w:lineRule="exact"/>
              <w:rPr>
                <w:sz w:val="20"/>
                <w:szCs w:val="20"/>
                <w:color w:val="auto"/>
              </w:rPr>
            </w:pPr>
            <w:r>
              <w:rPr>
                <w:rFonts w:ascii="Arial" w:cs="Arial" w:eastAsia="Arial" w:hAnsi="Arial"/>
                <w:sz w:val="20"/>
                <w:szCs w:val="20"/>
                <w:color w:val="auto"/>
              </w:rPr>
              <w:t>otal stores</w:t>
            </w:r>
          </w:p>
        </w:tc>
        <w:tc>
          <w:tcPr>
            <w:tcW w:w="4080" w:type="dxa"/>
            <w:vAlign w:val="bottom"/>
            <w:tcBorders>
              <w:bottom w:val="single" w:sz="8" w:color="auto"/>
            </w:tcBorders>
            <w:shd w:val="clear" w:color="auto" w:fill="FEFEFE"/>
          </w:tcPr>
          <w:p>
            <w:pPr>
              <w:jc w:val="right"/>
              <w:ind w:right="300"/>
              <w:spacing w:after="0" w:line="220" w:lineRule="exact"/>
              <w:rPr>
                <w:sz w:val="20"/>
                <w:szCs w:val="20"/>
                <w:color w:val="auto"/>
              </w:rPr>
            </w:pPr>
            <w:r>
              <w:rPr>
                <w:rFonts w:ascii="Arial" w:cs="Arial" w:eastAsia="Arial" w:hAnsi="Arial"/>
                <w:sz w:val="20"/>
                <w:szCs w:val="20"/>
                <w:color w:val="auto"/>
              </w:rPr>
              <w:t>2,603</w:t>
            </w:r>
          </w:p>
        </w:tc>
        <w:tc>
          <w:tcPr>
            <w:tcW w:w="1080" w:type="dxa"/>
            <w:vAlign w:val="bottom"/>
            <w:tcBorders>
              <w:bottom w:val="single" w:sz="8" w:color="auto"/>
            </w:tcBorders>
            <w:shd w:val="clear" w:color="auto" w:fill="FEFEFE"/>
          </w:tcPr>
          <w:p>
            <w:pPr>
              <w:jc w:val="right"/>
              <w:ind w:right="60"/>
              <w:spacing w:after="0" w:line="220" w:lineRule="exact"/>
              <w:rPr>
                <w:sz w:val="20"/>
                <w:szCs w:val="20"/>
                <w:color w:val="auto"/>
              </w:rPr>
            </w:pPr>
            <w:r>
              <w:rPr>
                <w:rFonts w:ascii="Arial" w:cs="Arial" w:eastAsia="Arial" w:hAnsi="Arial"/>
                <w:sz w:val="20"/>
                <w:szCs w:val="20"/>
                <w:color w:val="auto"/>
              </w:rPr>
              <w:t>145</w:t>
            </w:r>
          </w:p>
        </w:tc>
        <w:tc>
          <w:tcPr>
            <w:tcW w:w="1440" w:type="dxa"/>
            <w:vAlign w:val="bottom"/>
            <w:tcBorders>
              <w:bottom w:val="single" w:sz="8" w:color="auto"/>
            </w:tcBorders>
            <w:shd w:val="clear" w:color="auto" w:fill="FEFEFE"/>
          </w:tcPr>
          <w:p>
            <w:pPr>
              <w:jc w:val="right"/>
              <w:ind w:right="180"/>
              <w:spacing w:after="0" w:line="220" w:lineRule="exact"/>
              <w:rPr>
                <w:sz w:val="20"/>
                <w:szCs w:val="20"/>
                <w:color w:val="auto"/>
              </w:rPr>
            </w:pPr>
            <w:r>
              <w:rPr>
                <w:rFonts w:ascii="Arial" w:cs="Arial" w:eastAsia="Arial" w:hAnsi="Arial"/>
                <w:sz w:val="20"/>
                <w:szCs w:val="20"/>
                <w:color w:val="auto"/>
              </w:rPr>
              <w:t>1,042</w:t>
            </w:r>
          </w:p>
        </w:tc>
        <w:tc>
          <w:tcPr>
            <w:tcW w:w="1140" w:type="dxa"/>
            <w:vAlign w:val="bottom"/>
            <w:tcBorders>
              <w:bottom w:val="single" w:sz="8" w:color="auto"/>
            </w:tcBorders>
            <w:shd w:val="clear" w:color="auto" w:fill="FEFEFE"/>
          </w:tcPr>
          <w:p>
            <w:pPr>
              <w:jc w:val="right"/>
              <w:spacing w:after="0" w:line="220" w:lineRule="exact"/>
              <w:rPr>
                <w:sz w:val="20"/>
                <w:szCs w:val="20"/>
                <w:color w:val="auto"/>
              </w:rPr>
            </w:pPr>
            <w:r>
              <w:rPr>
                <w:rFonts w:ascii="Arial" w:cs="Arial" w:eastAsia="Arial" w:hAnsi="Arial"/>
                <w:sz w:val="20"/>
                <w:szCs w:val="20"/>
                <w:color w:val="auto"/>
              </w:rPr>
              <w:t>3,790</w:t>
            </w:r>
          </w:p>
        </w:tc>
      </w:tr>
      <w:tr>
        <w:trPr>
          <w:trHeight w:val="309"/>
        </w:trPr>
        <w:tc>
          <w:tcPr>
            <w:tcW w:w="180" w:type="dxa"/>
            <w:vAlign w:val="bottom"/>
          </w:tcPr>
          <w:p>
            <w:pPr>
              <w:spacing w:after="0"/>
              <w:rPr>
                <w:sz w:val="20"/>
                <w:szCs w:val="20"/>
                <w:color w:val="auto"/>
              </w:rPr>
            </w:pPr>
            <w:r>
              <w:rPr>
                <w:rFonts w:ascii="Arial" w:cs="Arial" w:eastAsia="Arial" w:hAnsi="Arial"/>
                <w:sz w:val="16"/>
                <w:szCs w:val="16"/>
                <w:color w:val="auto"/>
                <w:w w:val="81"/>
              </w:rPr>
              <w:t>(a)</w:t>
            </w:r>
          </w:p>
        </w:tc>
        <w:tc>
          <w:tcPr>
            <w:tcW w:w="2340" w:type="dxa"/>
            <w:vAlign w:val="bottom"/>
            <w:gridSpan w:val="2"/>
          </w:tcPr>
          <w:p>
            <w:pPr>
              <w:ind w:left="320"/>
              <w:spacing w:after="0"/>
              <w:rPr>
                <w:sz w:val="20"/>
                <w:szCs w:val="20"/>
                <w:color w:val="auto"/>
              </w:rPr>
            </w:pPr>
            <w:r>
              <w:rPr>
                <w:rFonts w:ascii="Arial" w:cs="Arial" w:eastAsia="Arial" w:hAnsi="Arial"/>
                <w:sz w:val="16"/>
                <w:szCs w:val="16"/>
                <w:color w:val="auto"/>
                <w:w w:val="96"/>
              </w:rPr>
              <w:t>armaxx operates TJ  axx and</w:t>
            </w:r>
          </w:p>
        </w:tc>
        <w:tc>
          <w:tcPr>
            <w:tcW w:w="4080" w:type="dxa"/>
            <w:vAlign w:val="bottom"/>
          </w:tcPr>
          <w:p>
            <w:pPr>
              <w:jc w:val="right"/>
              <w:spacing w:after="0"/>
              <w:rPr>
                <w:sz w:val="20"/>
                <w:szCs w:val="20"/>
                <w:color w:val="auto"/>
              </w:rPr>
            </w:pPr>
            <w:r>
              <w:rPr>
                <w:rFonts w:ascii="Arial" w:cs="Arial" w:eastAsia="Arial" w:hAnsi="Arial"/>
                <w:sz w:val="16"/>
                <w:szCs w:val="16"/>
                <w:color w:val="auto"/>
                <w:w w:val="96"/>
              </w:rPr>
              <w:t>arshalls.  ome  oods operates  ome  oods and  omesense.</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ectPr>
          <w:pgSz w:w="12240" w:h="15841" w:orient="portrait"/>
          <w:cols w:equalWidth="0" w:num="1">
            <w:col w:w="10260"/>
          </w:cols>
          <w:pgMar w:left="1000" w:top="688" w:right="981" w:bottom="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ectPr>
          <w:pgSz w:w="12240" w:h="15841" w:orient="portrait"/>
          <w:cols w:equalWidth="0" w:num="1">
            <w:col w:w="10260"/>
          </w:cols>
          <w:pgMar w:left="1000" w:top="688" w:right="981"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93"/>
        </w:trPr>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Canada</w:t>
            </w:r>
          </w:p>
        </w:tc>
        <w:tc>
          <w:tcPr>
            <w:tcW w:w="1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inners</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omeSense</w:t>
            </w:r>
          </w:p>
        </w:tc>
        <w:tc>
          <w:tcPr>
            <w:tcW w:w="1620" w:type="dxa"/>
            <w:vAlign w:val="bottom"/>
            <w:tcBorders>
              <w:bottom w:val="single" w:sz="8" w:color="auto"/>
            </w:tcBorders>
          </w:tcPr>
          <w:p>
            <w:pPr>
              <w:jc w:val="right"/>
              <w:ind w:right="600"/>
              <w:spacing w:after="0"/>
              <w:rPr>
                <w:sz w:val="20"/>
                <w:szCs w:val="20"/>
                <w:color w:val="auto"/>
              </w:rPr>
            </w:pPr>
            <w:r>
              <w:rPr>
                <w:rFonts w:ascii="Arial" w:cs="Arial" w:eastAsia="Arial" w:hAnsi="Arial"/>
                <w:sz w:val="20"/>
                <w:szCs w:val="20"/>
                <w:color w:val="auto"/>
              </w:rPr>
              <w:t>arshalls</w:t>
            </w: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w w:val="94"/>
              </w:rPr>
              <w:t>Total</w:t>
            </w:r>
          </w:p>
        </w:tc>
      </w:tr>
      <w:tr>
        <w:trPr>
          <w:trHeight w:val="290"/>
        </w:trPr>
        <w:tc>
          <w:tcPr>
            <w:tcW w:w="660" w:type="dxa"/>
            <w:vAlign w:val="bottom"/>
            <w:shd w:val="clear" w:color="auto" w:fill="E4E4E4"/>
          </w:tcPr>
          <w:p>
            <w:pPr>
              <w:ind w:left="40"/>
              <w:spacing w:after="0"/>
              <w:rPr>
                <w:sz w:val="20"/>
                <w:szCs w:val="20"/>
                <w:color w:val="auto"/>
              </w:rPr>
            </w:pPr>
            <w:r>
              <w:rPr>
                <w:rFonts w:ascii="Arial" w:cs="Arial" w:eastAsia="Arial" w:hAnsi="Arial"/>
                <w:sz w:val="20"/>
                <w:szCs w:val="20"/>
                <w:color w:val="auto"/>
                <w:w w:val="94"/>
              </w:rPr>
              <w:t>Alberta</w:t>
            </w:r>
          </w:p>
        </w:tc>
        <w:tc>
          <w:tcPr>
            <w:tcW w:w="52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38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45</w:t>
            </w: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22</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20</w:t>
            </w: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87</w:t>
            </w:r>
          </w:p>
        </w:tc>
      </w:tr>
      <w:tr>
        <w:trPr>
          <w:trHeight w:val="290"/>
        </w:trPr>
        <w:tc>
          <w:tcPr>
            <w:tcW w:w="244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British Columbia</w:t>
            </w:r>
          </w:p>
        </w:tc>
        <w:tc>
          <w:tcPr>
            <w:tcW w:w="38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44</w:t>
            </w: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23</w:t>
            </w:r>
          </w:p>
        </w:tc>
        <w:tc>
          <w:tcPr>
            <w:tcW w:w="1620" w:type="dxa"/>
            <w:vAlign w:val="bottom"/>
            <w:shd w:val="clear" w:color="auto" w:fill="FEFEFE"/>
          </w:tcPr>
          <w:p>
            <w:pPr>
              <w:jc w:val="right"/>
              <w:ind w:right="420"/>
              <w:spacing w:after="0"/>
              <w:rPr>
                <w:sz w:val="20"/>
                <w:szCs w:val="20"/>
                <w:color w:val="auto"/>
              </w:rPr>
            </w:pPr>
            <w:r>
              <w:rPr>
                <w:rFonts w:ascii="Arial" w:cs="Arial" w:eastAsia="Arial" w:hAnsi="Arial"/>
                <w:sz w:val="20"/>
                <w:szCs w:val="20"/>
                <w:color w:val="auto"/>
              </w:rPr>
              <w:t>10</w:t>
            </w: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77</w:t>
            </w:r>
          </w:p>
        </w:tc>
      </w:tr>
      <w:tr>
        <w:trPr>
          <w:trHeight w:val="310"/>
        </w:trPr>
        <w:tc>
          <w:tcPr>
            <w:tcW w:w="1180" w:type="dxa"/>
            <w:vAlign w:val="bottom"/>
            <w:gridSpan w:val="2"/>
            <w:shd w:val="clear" w:color="auto" w:fill="E4E4E4"/>
          </w:tcPr>
          <w:p>
            <w:pPr>
              <w:ind w:left="220"/>
              <w:spacing w:after="0"/>
              <w:rPr>
                <w:sz w:val="20"/>
                <w:szCs w:val="20"/>
                <w:color w:val="auto"/>
              </w:rPr>
            </w:pPr>
            <w:r>
              <w:rPr>
                <w:rFonts w:ascii="Arial" w:cs="Arial" w:eastAsia="Arial" w:hAnsi="Arial"/>
                <w:sz w:val="20"/>
                <w:szCs w:val="20"/>
                <w:color w:val="auto"/>
              </w:rPr>
              <w:t>anitoba</w:t>
            </w:r>
          </w:p>
        </w:tc>
        <w:tc>
          <w:tcPr>
            <w:tcW w:w="1260" w:type="dxa"/>
            <w:vAlign w:val="bottom"/>
            <w:shd w:val="clear" w:color="auto" w:fill="E4E4E4"/>
          </w:tcPr>
          <w:p>
            <w:pPr>
              <w:spacing w:after="0"/>
              <w:rPr>
                <w:sz w:val="24"/>
                <w:szCs w:val="24"/>
                <w:color w:val="auto"/>
              </w:rPr>
            </w:pPr>
          </w:p>
        </w:tc>
        <w:tc>
          <w:tcPr>
            <w:tcW w:w="38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5</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5</w:t>
            </w: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20</w:t>
            </w:r>
          </w:p>
        </w:tc>
      </w:tr>
      <w:tr>
        <w:trPr>
          <w:trHeight w:val="290"/>
        </w:trPr>
        <w:tc>
          <w:tcPr>
            <w:tcW w:w="244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New Brunswick</w:t>
            </w:r>
          </w:p>
        </w:tc>
        <w:tc>
          <w:tcPr>
            <w:tcW w:w="38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3</w:t>
            </w:r>
          </w:p>
        </w:tc>
        <w:tc>
          <w:tcPr>
            <w:tcW w:w="1620" w:type="dxa"/>
            <w:vAlign w:val="bottom"/>
            <w:shd w:val="clear" w:color="auto" w:fill="FEFEFE"/>
          </w:tcPr>
          <w:p>
            <w:pPr>
              <w:jc w:val="right"/>
              <w:ind w:right="420"/>
              <w:spacing w:after="0"/>
              <w:rPr>
                <w:sz w:val="20"/>
                <w:szCs w:val="20"/>
                <w:color w:val="auto"/>
              </w:rPr>
            </w:pPr>
            <w:r>
              <w:rPr>
                <w:rFonts w:ascii="Arial" w:cs="Arial" w:eastAsia="Arial" w:hAnsi="Arial"/>
                <w:sz w:val="20"/>
                <w:szCs w:val="20"/>
                <w:color w:val="auto"/>
              </w:rPr>
              <w:t>4</w:t>
            </w: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w:t>
            </w:r>
          </w:p>
        </w:tc>
      </w:tr>
      <w:tr>
        <w:trPr>
          <w:trHeight w:val="310"/>
        </w:trPr>
        <w:tc>
          <w:tcPr>
            <w:tcW w:w="244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Newfoundland</w:t>
            </w:r>
          </w:p>
        </w:tc>
        <w:tc>
          <w:tcPr>
            <w:tcW w:w="38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3</w:t>
            </w: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2</w:t>
            </w: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r>
      <w:tr>
        <w:trPr>
          <w:trHeight w:val="290"/>
        </w:trPr>
        <w:tc>
          <w:tcPr>
            <w:tcW w:w="118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Nova Scotia</w:t>
            </w:r>
          </w:p>
        </w:tc>
        <w:tc>
          <w:tcPr>
            <w:tcW w:w="1260" w:type="dxa"/>
            <w:vAlign w:val="bottom"/>
            <w:shd w:val="clear" w:color="auto" w:fill="FEFEFE"/>
          </w:tcPr>
          <w:p>
            <w:pPr>
              <w:spacing w:after="0"/>
              <w:rPr>
                <w:sz w:val="24"/>
                <w:szCs w:val="24"/>
                <w:color w:val="auto"/>
              </w:rPr>
            </w:pPr>
          </w:p>
        </w:tc>
        <w:tc>
          <w:tcPr>
            <w:tcW w:w="38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11</w:t>
            </w: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5</w:t>
            </w:r>
          </w:p>
        </w:tc>
        <w:tc>
          <w:tcPr>
            <w:tcW w:w="1620" w:type="dxa"/>
            <w:vAlign w:val="bottom"/>
            <w:shd w:val="clear" w:color="auto" w:fill="FEFEFE"/>
          </w:tcPr>
          <w:p>
            <w:pPr>
              <w:jc w:val="right"/>
              <w:ind w:right="420"/>
              <w:spacing w:after="0"/>
              <w:rPr>
                <w:sz w:val="20"/>
                <w:szCs w:val="20"/>
                <w:color w:val="auto"/>
              </w:rPr>
            </w:pPr>
            <w:r>
              <w:rPr>
                <w:rFonts w:ascii="Arial" w:cs="Arial" w:eastAsia="Arial" w:hAnsi="Arial"/>
                <w:sz w:val="20"/>
                <w:szCs w:val="20"/>
                <w:color w:val="auto"/>
              </w:rPr>
              <w:t>2</w:t>
            </w: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w:t>
            </w:r>
          </w:p>
        </w:tc>
      </w:tr>
      <w:tr>
        <w:trPr>
          <w:trHeight w:val="310"/>
        </w:trPr>
        <w:tc>
          <w:tcPr>
            <w:tcW w:w="660" w:type="dxa"/>
            <w:vAlign w:val="bottom"/>
            <w:shd w:val="clear" w:color="auto" w:fill="E4E4E4"/>
          </w:tcPr>
          <w:p>
            <w:pPr>
              <w:ind w:left="180"/>
              <w:spacing w:after="0"/>
              <w:rPr>
                <w:sz w:val="20"/>
                <w:szCs w:val="20"/>
                <w:color w:val="auto"/>
              </w:rPr>
            </w:pPr>
            <w:r>
              <w:rPr>
                <w:rFonts w:ascii="Arial" w:cs="Arial" w:eastAsia="Arial" w:hAnsi="Arial"/>
                <w:sz w:val="20"/>
                <w:szCs w:val="20"/>
                <w:color w:val="auto"/>
                <w:w w:val="91"/>
              </w:rPr>
              <w:t>ntario</w:t>
            </w:r>
          </w:p>
        </w:tc>
        <w:tc>
          <w:tcPr>
            <w:tcW w:w="52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38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132</w:t>
            </w: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74</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50</w:t>
            </w: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256</w:t>
            </w:r>
          </w:p>
        </w:tc>
      </w:tr>
      <w:tr>
        <w:trPr>
          <w:trHeight w:val="290"/>
        </w:trPr>
        <w:tc>
          <w:tcPr>
            <w:tcW w:w="244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Prince Edward Island</w:t>
            </w:r>
          </w:p>
        </w:tc>
        <w:tc>
          <w:tcPr>
            <w:tcW w:w="38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1</w:t>
            </w:r>
          </w:p>
        </w:tc>
        <w:tc>
          <w:tcPr>
            <w:tcW w:w="1620" w:type="dxa"/>
            <w:vAlign w:val="bottom"/>
            <w:shd w:val="clear" w:color="auto" w:fill="FEFEFE"/>
          </w:tcPr>
          <w:p>
            <w:pPr>
              <w:spacing w:after="0"/>
              <w:rPr>
                <w:sz w:val="24"/>
                <w:szCs w:val="24"/>
                <w:color w:val="auto"/>
              </w:rPr>
            </w:pP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w:t>
            </w:r>
          </w:p>
        </w:tc>
      </w:tr>
      <w:tr>
        <w:trPr>
          <w:trHeight w:val="310"/>
        </w:trPr>
        <w:tc>
          <w:tcPr>
            <w:tcW w:w="660" w:type="dxa"/>
            <w:vAlign w:val="bottom"/>
            <w:shd w:val="clear" w:color="auto" w:fill="E4E4E4"/>
          </w:tcPr>
          <w:p>
            <w:pPr>
              <w:ind w:left="180"/>
              <w:spacing w:after="0"/>
              <w:rPr>
                <w:sz w:val="20"/>
                <w:szCs w:val="20"/>
                <w:color w:val="auto"/>
              </w:rPr>
            </w:pPr>
            <w:r>
              <w:rPr>
                <w:rFonts w:ascii="Arial" w:cs="Arial" w:eastAsia="Arial" w:hAnsi="Arial"/>
                <w:sz w:val="20"/>
                <w:szCs w:val="20"/>
                <w:color w:val="auto"/>
                <w:w w:val="84"/>
              </w:rPr>
              <w:t>uebec</w:t>
            </w:r>
          </w:p>
        </w:tc>
        <w:tc>
          <w:tcPr>
            <w:tcW w:w="52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386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auto"/>
              </w:rPr>
              <w:t>5</w:t>
            </w: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23</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15</w:t>
            </w: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r>
      <w:tr>
        <w:trPr>
          <w:trHeight w:val="290"/>
        </w:trPr>
        <w:tc>
          <w:tcPr>
            <w:tcW w:w="1180" w:type="dxa"/>
            <w:vAlign w:val="bottom"/>
            <w:tcBorders>
              <w:bottom w:val="single" w:sz="8" w:color="auto"/>
            </w:tcBorders>
            <w:gridSpan w:val="2"/>
            <w:shd w:val="clear" w:color="auto" w:fill="FEFEFE"/>
          </w:tcPr>
          <w:p>
            <w:pPr>
              <w:ind w:left="40"/>
              <w:spacing w:after="0"/>
              <w:rPr>
                <w:sz w:val="20"/>
                <w:szCs w:val="20"/>
                <w:color w:val="auto"/>
              </w:rPr>
            </w:pPr>
            <w:r>
              <w:rPr>
                <w:rFonts w:ascii="Arial" w:cs="Arial" w:eastAsia="Arial" w:hAnsi="Arial"/>
                <w:sz w:val="20"/>
                <w:szCs w:val="20"/>
                <w:color w:val="auto"/>
                <w:w w:val="86"/>
              </w:rPr>
              <w:t>Saskatchewan</w:t>
            </w:r>
          </w:p>
        </w:tc>
        <w:tc>
          <w:tcPr>
            <w:tcW w:w="1260" w:type="dxa"/>
            <w:vAlign w:val="bottom"/>
            <w:tcBorders>
              <w:bottom w:val="single" w:sz="8" w:color="auto"/>
            </w:tcBorders>
            <w:shd w:val="clear" w:color="auto" w:fill="FEFEFE"/>
          </w:tcPr>
          <w:p>
            <w:pPr>
              <w:spacing w:after="0"/>
              <w:rPr>
                <w:sz w:val="24"/>
                <w:szCs w:val="24"/>
                <w:color w:val="auto"/>
              </w:rPr>
            </w:pPr>
          </w:p>
        </w:tc>
        <w:tc>
          <w:tcPr>
            <w:tcW w:w="2540" w:type="dxa"/>
            <w:vAlign w:val="bottom"/>
            <w:tcBorders>
              <w:bottom w:val="single" w:sz="8" w:color="auto"/>
            </w:tcBorders>
            <w:shd w:val="clear" w:color="auto" w:fill="FEFEFE"/>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120"/>
              <w:spacing w:after="0"/>
              <w:rPr>
                <w:sz w:val="20"/>
                <w:szCs w:val="20"/>
                <w:color w:val="auto"/>
              </w:rPr>
            </w:pPr>
            <w:r>
              <w:rPr>
                <w:rFonts w:ascii="Arial" w:cs="Arial" w:eastAsia="Arial" w:hAnsi="Arial"/>
                <w:sz w:val="20"/>
                <w:szCs w:val="20"/>
                <w:color w:val="auto"/>
              </w:rPr>
              <w:t>4</w:t>
            </w:r>
          </w:p>
        </w:tc>
        <w:tc>
          <w:tcPr>
            <w:tcW w:w="1620" w:type="dxa"/>
            <w:vAlign w:val="bottom"/>
            <w:tcBorders>
              <w:bottom w:val="single" w:sz="8" w:color="auto"/>
            </w:tcBorders>
            <w:shd w:val="clear" w:color="auto" w:fill="FEFEFE"/>
          </w:tcPr>
          <w:p>
            <w:pPr>
              <w:jc w:val="right"/>
              <w:ind w:right="420"/>
              <w:spacing w:after="0"/>
              <w:rPr>
                <w:sz w:val="20"/>
                <w:szCs w:val="20"/>
                <w:color w:val="auto"/>
              </w:rPr>
            </w:pPr>
            <w:r>
              <w:rPr>
                <w:rFonts w:ascii="Arial" w:cs="Arial" w:eastAsia="Arial" w:hAnsi="Arial"/>
                <w:sz w:val="20"/>
                <w:szCs w:val="20"/>
                <w:color w:val="auto"/>
              </w:rPr>
              <w:t>3</w:t>
            </w:r>
          </w:p>
        </w:tc>
        <w:tc>
          <w:tcPr>
            <w:tcW w:w="9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w:t>
            </w:r>
          </w:p>
        </w:tc>
      </w:tr>
      <w:tr>
        <w:trPr>
          <w:trHeight w:val="280"/>
        </w:trPr>
        <w:tc>
          <w:tcPr>
            <w:tcW w:w="2440" w:type="dxa"/>
            <w:vAlign w:val="bottom"/>
            <w:tcBorders>
              <w:bottom w:val="single" w:sz="8" w:color="auto"/>
            </w:tcBorders>
            <w:gridSpan w:val="3"/>
            <w:shd w:val="clear" w:color="auto" w:fill="E4E4E4"/>
          </w:tcPr>
          <w:p>
            <w:pPr>
              <w:jc w:val="center"/>
              <w:ind w:right="655"/>
              <w:spacing w:after="0"/>
              <w:rPr>
                <w:sz w:val="20"/>
                <w:szCs w:val="20"/>
                <w:color w:val="auto"/>
              </w:rPr>
            </w:pPr>
            <w:r>
              <w:rPr>
                <w:rFonts w:ascii="Arial" w:cs="Arial" w:eastAsia="Arial" w:hAnsi="Arial"/>
                <w:sz w:val="20"/>
                <w:szCs w:val="20"/>
                <w:color w:val="auto"/>
                <w:w w:val="95"/>
              </w:rPr>
              <w:t>otal stores</w:t>
            </w:r>
          </w:p>
        </w:tc>
        <w:tc>
          <w:tcPr>
            <w:tcW w:w="386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316</w:t>
            </w:r>
          </w:p>
        </w:tc>
        <w:tc>
          <w:tcPr>
            <w:tcW w:w="56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162</w:t>
            </w:r>
          </w:p>
        </w:tc>
        <w:tc>
          <w:tcPr>
            <w:tcW w:w="1620" w:type="dxa"/>
            <w:vAlign w:val="bottom"/>
            <w:tcBorders>
              <w:bottom w:val="single" w:sz="8" w:color="auto"/>
            </w:tcBorders>
            <w:shd w:val="clear" w:color="auto" w:fill="E4E4E4"/>
          </w:tcPr>
          <w:p>
            <w:pPr>
              <w:jc w:val="right"/>
              <w:ind w:right="420"/>
              <w:spacing w:after="0"/>
              <w:rPr>
                <w:sz w:val="20"/>
                <w:szCs w:val="20"/>
                <w:color w:val="auto"/>
              </w:rPr>
            </w:pPr>
            <w:r>
              <w:rPr>
                <w:rFonts w:ascii="Arial" w:cs="Arial" w:eastAsia="Arial" w:hAnsi="Arial"/>
                <w:sz w:val="20"/>
                <w:szCs w:val="20"/>
                <w:color w:val="auto"/>
              </w:rPr>
              <w:t>111</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589</w:t>
            </w:r>
          </w:p>
        </w:tc>
      </w:tr>
      <w:tr>
        <w:trPr>
          <w:trHeight w:val="500"/>
        </w:trPr>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urope</w:t>
            </w:r>
          </w:p>
        </w:tc>
        <w:tc>
          <w:tcPr>
            <w:tcW w:w="1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T</w:t>
            </w: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axx</w:t>
            </w:r>
          </w:p>
        </w:tc>
        <w:tc>
          <w:tcPr>
            <w:tcW w:w="162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color w:val="auto"/>
              </w:rPr>
              <w:t>omesense</w:t>
            </w: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w w:val="94"/>
              </w:rPr>
              <w:t>Total</w:t>
            </w:r>
          </w:p>
        </w:tc>
      </w:tr>
      <w:tr>
        <w:trPr>
          <w:trHeight w:val="290"/>
        </w:trPr>
        <w:tc>
          <w:tcPr>
            <w:tcW w:w="660" w:type="dxa"/>
            <w:vAlign w:val="bottom"/>
            <w:shd w:val="clear" w:color="auto" w:fill="E4E4E4"/>
          </w:tcPr>
          <w:p>
            <w:pPr>
              <w:ind w:left="180"/>
              <w:spacing w:after="0"/>
              <w:rPr>
                <w:sz w:val="20"/>
                <w:szCs w:val="20"/>
                <w:color w:val="auto"/>
              </w:rPr>
            </w:pPr>
            <w:r>
              <w:rPr>
                <w:rFonts w:ascii="Arial" w:cs="Arial" w:eastAsia="Arial" w:hAnsi="Arial"/>
                <w:sz w:val="20"/>
                <w:szCs w:val="20"/>
                <w:color w:val="auto"/>
              </w:rPr>
              <w:t>nited</w:t>
            </w:r>
          </w:p>
        </w:tc>
        <w:tc>
          <w:tcPr>
            <w:tcW w:w="1780" w:type="dxa"/>
            <w:vAlign w:val="bottom"/>
            <w:gridSpan w:val="2"/>
            <w:shd w:val="clear" w:color="auto" w:fill="E4E4E4"/>
          </w:tcPr>
          <w:p>
            <w:pPr>
              <w:ind w:left="120"/>
              <w:spacing w:after="0"/>
              <w:rPr>
                <w:sz w:val="20"/>
                <w:szCs w:val="20"/>
                <w:color w:val="auto"/>
              </w:rPr>
            </w:pPr>
            <w:r>
              <w:rPr>
                <w:rFonts w:ascii="Arial" w:cs="Arial" w:eastAsia="Arial" w:hAnsi="Arial"/>
                <w:sz w:val="20"/>
                <w:szCs w:val="20"/>
                <w:color w:val="auto"/>
              </w:rPr>
              <w:t>ingdom</w:t>
            </w: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357</w:t>
            </w:r>
          </w:p>
        </w:tc>
        <w:tc>
          <w:tcPr>
            <w:tcW w:w="162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rPr>
              <w:t>72</w:t>
            </w:r>
          </w:p>
        </w:tc>
        <w:tc>
          <w:tcPr>
            <w:tcW w:w="90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42</w:t>
            </w:r>
          </w:p>
        </w:tc>
      </w:tr>
      <w:tr>
        <w:trPr>
          <w:trHeight w:val="290"/>
        </w:trPr>
        <w:tc>
          <w:tcPr>
            <w:tcW w:w="2440" w:type="dxa"/>
            <w:vAlign w:val="bottom"/>
            <w:gridSpan w:val="3"/>
            <w:shd w:val="clear" w:color="auto" w:fill="FEFEFE"/>
          </w:tcPr>
          <w:p>
            <w:pPr>
              <w:ind w:left="180"/>
              <w:spacing w:after="0"/>
              <w:rPr>
                <w:sz w:val="20"/>
                <w:szCs w:val="20"/>
                <w:color w:val="auto"/>
              </w:rPr>
            </w:pPr>
            <w:r>
              <w:rPr>
                <w:rFonts w:ascii="Arial" w:cs="Arial" w:eastAsia="Arial" w:hAnsi="Arial"/>
                <w:sz w:val="20"/>
                <w:szCs w:val="20"/>
                <w:color w:val="auto"/>
              </w:rPr>
              <w:t>epublic of Ireland</w:t>
            </w:r>
          </w:p>
        </w:tc>
        <w:tc>
          <w:tcPr>
            <w:tcW w:w="2540" w:type="dxa"/>
            <w:vAlign w:val="bottom"/>
            <w:shd w:val="clear" w:color="auto" w:fill="FEFEFE"/>
          </w:tcPr>
          <w:p>
            <w:pPr>
              <w:spacing w:after="0"/>
              <w:rPr>
                <w:sz w:val="24"/>
                <w:szCs w:val="24"/>
                <w:color w:val="auto"/>
              </w:rPr>
            </w:pPr>
          </w:p>
        </w:tc>
        <w:tc>
          <w:tcPr>
            <w:tcW w:w="132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27</w:t>
            </w:r>
          </w:p>
        </w:tc>
        <w:tc>
          <w:tcPr>
            <w:tcW w:w="1620" w:type="dxa"/>
            <w:vAlign w:val="bottom"/>
            <w:shd w:val="clear" w:color="auto" w:fill="FEFEFE"/>
          </w:tcPr>
          <w:p>
            <w:pPr>
              <w:jc w:val="right"/>
              <w:ind w:right="420"/>
              <w:spacing w:after="0"/>
              <w:rPr>
                <w:sz w:val="20"/>
                <w:szCs w:val="20"/>
                <w:color w:val="auto"/>
              </w:rPr>
            </w:pPr>
            <w:r>
              <w:rPr>
                <w:rFonts w:ascii="Arial" w:cs="Arial" w:eastAsia="Arial" w:hAnsi="Arial"/>
                <w:sz w:val="20"/>
                <w:szCs w:val="20"/>
                <w:color w:val="auto"/>
              </w:rPr>
              <w:t>2</w:t>
            </w:r>
          </w:p>
        </w:tc>
        <w:tc>
          <w:tcPr>
            <w:tcW w:w="900" w:type="dxa"/>
            <w:vAlign w:val="bottom"/>
            <w:shd w:val="clear" w:color="auto" w:fill="FEFEFE"/>
          </w:tcPr>
          <w:p>
            <w:pPr>
              <w:jc w:val="right"/>
              <w:ind w:right="100"/>
              <w:spacing w:after="0"/>
              <w:rPr>
                <w:sz w:val="20"/>
                <w:szCs w:val="20"/>
                <w:color w:val="auto"/>
              </w:rPr>
            </w:pPr>
            <w:r>
              <w:rPr>
                <w:rFonts w:ascii="Arial" w:cs="Arial" w:eastAsia="Arial" w:hAnsi="Arial"/>
                <w:sz w:val="20"/>
                <w:szCs w:val="20"/>
                <w:color w:val="auto"/>
              </w:rPr>
              <w:t>2</w:t>
            </w:r>
          </w:p>
        </w:tc>
      </w:tr>
      <w:tr>
        <w:trPr>
          <w:trHeight w:val="310"/>
        </w:trPr>
        <w:tc>
          <w:tcPr>
            <w:tcW w:w="118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ermany</w:t>
            </w:r>
          </w:p>
        </w:tc>
        <w:tc>
          <w:tcPr>
            <w:tcW w:w="1260" w:type="dxa"/>
            <w:vAlign w:val="bottom"/>
            <w:shd w:val="clear" w:color="auto" w:fill="E4E4E4"/>
          </w:tcPr>
          <w:p>
            <w:pPr>
              <w:spacing w:after="0"/>
              <w:rPr>
                <w:sz w:val="24"/>
                <w:szCs w:val="24"/>
                <w:color w:val="auto"/>
              </w:rPr>
            </w:pP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1 1</w:t>
            </w:r>
          </w:p>
        </w:tc>
        <w:tc>
          <w:tcPr>
            <w:tcW w:w="1620" w:type="dxa"/>
            <w:vAlign w:val="bottom"/>
            <w:shd w:val="clear" w:color="auto" w:fill="E4E4E4"/>
          </w:tcPr>
          <w:p>
            <w:pPr>
              <w:spacing w:after="0"/>
              <w:rPr>
                <w:sz w:val="24"/>
                <w:szCs w:val="24"/>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1 1</w:t>
            </w:r>
          </w:p>
        </w:tc>
      </w:tr>
      <w:tr>
        <w:trPr>
          <w:trHeight w:val="290"/>
        </w:trPr>
        <w:tc>
          <w:tcPr>
            <w:tcW w:w="660" w:type="dxa"/>
            <w:vAlign w:val="bottom"/>
            <w:shd w:val="clear" w:color="auto" w:fill="FEFEFE"/>
          </w:tcPr>
          <w:p>
            <w:pPr>
              <w:ind w:left="40"/>
              <w:spacing w:after="0"/>
              <w:rPr>
                <w:sz w:val="20"/>
                <w:szCs w:val="20"/>
                <w:color w:val="auto"/>
              </w:rPr>
            </w:pPr>
            <w:r>
              <w:rPr>
                <w:rFonts w:ascii="Arial" w:cs="Arial" w:eastAsia="Arial" w:hAnsi="Arial"/>
                <w:sz w:val="20"/>
                <w:szCs w:val="20"/>
                <w:color w:val="auto"/>
                <w:w w:val="96"/>
              </w:rPr>
              <w:t>Poland</w:t>
            </w:r>
          </w:p>
        </w:tc>
        <w:tc>
          <w:tcPr>
            <w:tcW w:w="520" w:type="dxa"/>
            <w:vAlign w:val="bottom"/>
            <w:shd w:val="clear" w:color="auto" w:fill="FEFEFE"/>
          </w:tcPr>
          <w:p>
            <w:pPr>
              <w:spacing w:after="0"/>
              <w:rPr>
                <w:sz w:val="24"/>
                <w:szCs w:val="24"/>
                <w:color w:val="auto"/>
              </w:rPr>
            </w:pPr>
          </w:p>
        </w:tc>
        <w:tc>
          <w:tcPr>
            <w:tcW w:w="1260" w:type="dxa"/>
            <w:vAlign w:val="bottom"/>
            <w:shd w:val="clear" w:color="auto" w:fill="FEFEFE"/>
          </w:tcPr>
          <w:p>
            <w:pPr>
              <w:spacing w:after="0"/>
              <w:rPr>
                <w:sz w:val="24"/>
                <w:szCs w:val="24"/>
                <w:color w:val="auto"/>
              </w:rPr>
            </w:pPr>
          </w:p>
        </w:tc>
        <w:tc>
          <w:tcPr>
            <w:tcW w:w="2540" w:type="dxa"/>
            <w:vAlign w:val="bottom"/>
            <w:shd w:val="clear" w:color="auto" w:fill="FEFEFE"/>
          </w:tcPr>
          <w:p>
            <w:pPr>
              <w:spacing w:after="0"/>
              <w:rPr>
                <w:sz w:val="24"/>
                <w:szCs w:val="24"/>
                <w:color w:val="auto"/>
              </w:rPr>
            </w:pPr>
          </w:p>
        </w:tc>
        <w:tc>
          <w:tcPr>
            <w:tcW w:w="132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57</w:t>
            </w:r>
          </w:p>
        </w:tc>
        <w:tc>
          <w:tcPr>
            <w:tcW w:w="1620" w:type="dxa"/>
            <w:vAlign w:val="bottom"/>
            <w:shd w:val="clear" w:color="auto" w:fill="FEFEFE"/>
          </w:tcPr>
          <w:p>
            <w:pPr>
              <w:spacing w:after="0"/>
              <w:rPr>
                <w:sz w:val="24"/>
                <w:szCs w:val="24"/>
                <w:color w:val="auto"/>
              </w:rPr>
            </w:pP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57</w:t>
            </w:r>
          </w:p>
        </w:tc>
      </w:tr>
      <w:tr>
        <w:trPr>
          <w:trHeight w:val="305"/>
        </w:trPr>
        <w:tc>
          <w:tcPr>
            <w:tcW w:w="660" w:type="dxa"/>
            <w:vAlign w:val="bottom"/>
            <w:shd w:val="clear" w:color="auto" w:fill="E4E4E4"/>
          </w:tcPr>
          <w:p>
            <w:pPr>
              <w:ind w:left="40"/>
              <w:spacing w:after="0"/>
              <w:rPr>
                <w:sz w:val="20"/>
                <w:szCs w:val="20"/>
                <w:color w:val="auto"/>
              </w:rPr>
            </w:pPr>
            <w:r>
              <w:rPr>
                <w:rFonts w:ascii="Arial" w:cs="Arial" w:eastAsia="Arial" w:hAnsi="Arial"/>
                <w:sz w:val="20"/>
                <w:szCs w:val="20"/>
                <w:color w:val="auto"/>
                <w:w w:val="96"/>
              </w:rPr>
              <w:t>Austria</w:t>
            </w:r>
          </w:p>
        </w:tc>
        <w:tc>
          <w:tcPr>
            <w:tcW w:w="520" w:type="dxa"/>
            <w:vAlign w:val="bottom"/>
            <w:shd w:val="clear" w:color="auto" w:fill="E4E4E4"/>
          </w:tcPr>
          <w:p>
            <w:pPr>
              <w:spacing w:after="0"/>
              <w:rPr>
                <w:sz w:val="24"/>
                <w:szCs w:val="24"/>
                <w:color w:val="auto"/>
              </w:rPr>
            </w:pPr>
          </w:p>
        </w:tc>
        <w:tc>
          <w:tcPr>
            <w:tcW w:w="1260" w:type="dxa"/>
            <w:vAlign w:val="bottom"/>
            <w:shd w:val="clear" w:color="auto" w:fill="E4E4E4"/>
          </w:tcPr>
          <w:p>
            <w:pPr>
              <w:spacing w:after="0"/>
              <w:rPr>
                <w:sz w:val="24"/>
                <w:szCs w:val="24"/>
                <w:color w:val="auto"/>
              </w:rPr>
            </w:pP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22</w:t>
            </w:r>
          </w:p>
        </w:tc>
        <w:tc>
          <w:tcPr>
            <w:tcW w:w="1620" w:type="dxa"/>
            <w:vAlign w:val="bottom"/>
            <w:shd w:val="clear" w:color="auto" w:fill="E4E4E4"/>
          </w:tcPr>
          <w:p>
            <w:pPr>
              <w:spacing w:after="0"/>
              <w:rPr>
                <w:sz w:val="24"/>
                <w:szCs w:val="24"/>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22</w:t>
            </w:r>
          </w:p>
        </w:tc>
      </w:tr>
      <w:tr>
        <w:trPr>
          <w:trHeight w:val="295"/>
        </w:trPr>
        <w:tc>
          <w:tcPr>
            <w:tcW w:w="2440" w:type="dxa"/>
            <w:vAlign w:val="bottom"/>
            <w:tcBorders>
              <w:bottom w:val="single" w:sz="8" w:color="auto"/>
            </w:tcBorders>
            <w:gridSpan w:val="3"/>
            <w:shd w:val="clear" w:color="auto" w:fill="FEFEFE"/>
          </w:tcPr>
          <w:p>
            <w:pPr>
              <w:ind w:left="40"/>
              <w:spacing w:after="0"/>
              <w:rPr>
                <w:sz w:val="20"/>
                <w:szCs w:val="20"/>
                <w:color w:val="auto"/>
              </w:rPr>
            </w:pPr>
            <w:r>
              <w:rPr>
                <w:rFonts w:ascii="Arial" w:cs="Arial" w:eastAsia="Arial" w:hAnsi="Arial"/>
                <w:sz w:val="20"/>
                <w:szCs w:val="20"/>
                <w:color w:val="auto"/>
              </w:rPr>
              <w:t>The Netherlands</w:t>
            </w:r>
          </w:p>
        </w:tc>
        <w:tc>
          <w:tcPr>
            <w:tcW w:w="2540" w:type="dxa"/>
            <w:vAlign w:val="bottom"/>
            <w:tcBorders>
              <w:bottom w:val="single" w:sz="8" w:color="auto"/>
            </w:tcBorders>
            <w:shd w:val="clear" w:color="auto" w:fill="FEFEFE"/>
          </w:tcPr>
          <w:p>
            <w:pPr>
              <w:spacing w:after="0"/>
              <w:rPr>
                <w:sz w:val="24"/>
                <w:szCs w:val="24"/>
                <w:color w:val="auto"/>
              </w:rPr>
            </w:pPr>
          </w:p>
        </w:tc>
        <w:tc>
          <w:tcPr>
            <w:tcW w:w="1320" w:type="dxa"/>
            <w:vAlign w:val="bottom"/>
            <w:tcBorders>
              <w:bottom w:val="single" w:sz="8" w:color="auto"/>
            </w:tcBorders>
            <w:shd w:val="clear" w:color="auto" w:fill="FEFEFE"/>
          </w:tcPr>
          <w:p>
            <w:pPr>
              <w:spacing w:after="0"/>
              <w:rPr>
                <w:sz w:val="24"/>
                <w:szCs w:val="24"/>
                <w:color w:val="auto"/>
              </w:rPr>
            </w:pPr>
          </w:p>
        </w:tc>
        <w:tc>
          <w:tcPr>
            <w:tcW w:w="56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1</w:t>
            </w:r>
          </w:p>
        </w:tc>
        <w:tc>
          <w:tcPr>
            <w:tcW w:w="162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1</w:t>
            </w:r>
          </w:p>
        </w:tc>
      </w:tr>
      <w:tr>
        <w:trPr>
          <w:trHeight w:val="280"/>
        </w:trPr>
        <w:tc>
          <w:tcPr>
            <w:tcW w:w="2440" w:type="dxa"/>
            <w:vAlign w:val="bottom"/>
            <w:tcBorders>
              <w:bottom w:val="single" w:sz="8" w:color="auto"/>
            </w:tcBorders>
            <w:gridSpan w:val="3"/>
            <w:shd w:val="clear" w:color="auto" w:fill="E4E4E4"/>
          </w:tcPr>
          <w:p>
            <w:pPr>
              <w:jc w:val="center"/>
              <w:ind w:right="655"/>
              <w:spacing w:after="0"/>
              <w:rPr>
                <w:sz w:val="20"/>
                <w:szCs w:val="20"/>
                <w:color w:val="auto"/>
              </w:rPr>
            </w:pPr>
            <w:r>
              <w:rPr>
                <w:rFonts w:ascii="Arial" w:cs="Arial" w:eastAsia="Arial" w:hAnsi="Arial"/>
                <w:sz w:val="20"/>
                <w:szCs w:val="20"/>
                <w:color w:val="auto"/>
                <w:w w:val="95"/>
              </w:rPr>
              <w:t>otal stores</w:t>
            </w:r>
          </w:p>
        </w:tc>
        <w:tc>
          <w:tcPr>
            <w:tcW w:w="2540" w:type="dxa"/>
            <w:vAlign w:val="bottom"/>
            <w:tcBorders>
              <w:bottom w:val="single" w:sz="8" w:color="auto"/>
            </w:tcBorders>
            <w:shd w:val="clear" w:color="auto" w:fill="E4E4E4"/>
          </w:tcPr>
          <w:p>
            <w:pPr>
              <w:spacing w:after="0"/>
              <w:rPr>
                <w:sz w:val="24"/>
                <w:szCs w:val="24"/>
                <w:color w:val="auto"/>
              </w:rPr>
            </w:pPr>
          </w:p>
        </w:tc>
        <w:tc>
          <w:tcPr>
            <w:tcW w:w="1320" w:type="dxa"/>
            <w:vAlign w:val="bottom"/>
            <w:tcBorders>
              <w:bottom w:val="single" w:sz="8" w:color="auto"/>
            </w:tcBorders>
            <w:shd w:val="clear" w:color="auto" w:fill="E4E4E4"/>
          </w:tcPr>
          <w:p>
            <w:pPr>
              <w:spacing w:after="0"/>
              <w:rPr>
                <w:sz w:val="24"/>
                <w:szCs w:val="24"/>
                <w:color w:val="auto"/>
              </w:rPr>
            </w:pPr>
          </w:p>
        </w:tc>
        <w:tc>
          <w:tcPr>
            <w:tcW w:w="56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673</w:t>
            </w:r>
          </w:p>
        </w:tc>
        <w:tc>
          <w:tcPr>
            <w:tcW w:w="1620" w:type="dxa"/>
            <w:vAlign w:val="bottom"/>
            <w:tcBorders>
              <w:bottom w:val="single" w:sz="8" w:color="auto"/>
            </w:tcBorders>
            <w:shd w:val="clear" w:color="auto" w:fill="E4E4E4"/>
          </w:tcPr>
          <w:p>
            <w:pPr>
              <w:jc w:val="right"/>
              <w:ind w:right="420"/>
              <w:spacing w:after="0"/>
              <w:rPr>
                <w:sz w:val="20"/>
                <w:szCs w:val="20"/>
                <w:color w:val="auto"/>
              </w:rPr>
            </w:pPr>
            <w:r>
              <w:rPr>
                <w:rFonts w:ascii="Arial" w:cs="Arial" w:eastAsia="Arial" w:hAnsi="Arial"/>
                <w:sz w:val="20"/>
                <w:szCs w:val="20"/>
                <w:color w:val="auto"/>
              </w:rPr>
              <w:t>74</w:t>
            </w: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747</w:t>
            </w:r>
          </w:p>
        </w:tc>
      </w:tr>
      <w:tr>
        <w:trPr>
          <w:trHeight w:val="500"/>
        </w:trPr>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rPr>
              <w:t>ustralia</w:t>
            </w:r>
          </w:p>
        </w:tc>
        <w:tc>
          <w:tcPr>
            <w:tcW w:w="1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T</w:t>
            </w: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axx</w:t>
            </w:r>
          </w:p>
        </w:tc>
      </w:tr>
      <w:tr>
        <w:trPr>
          <w:trHeight w:val="290"/>
        </w:trPr>
        <w:tc>
          <w:tcPr>
            <w:tcW w:w="244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Australian Capital Territory</w:t>
            </w: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620" w:type="dxa"/>
            <w:vAlign w:val="bottom"/>
            <w:shd w:val="clear" w:color="auto" w:fill="E4E4E4"/>
          </w:tcPr>
          <w:p>
            <w:pPr>
              <w:spacing w:after="0"/>
              <w:rPr>
                <w:sz w:val="24"/>
                <w:szCs w:val="24"/>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w:t>
            </w:r>
          </w:p>
        </w:tc>
      </w:tr>
      <w:tr>
        <w:trPr>
          <w:trHeight w:val="295"/>
        </w:trPr>
        <w:tc>
          <w:tcPr>
            <w:tcW w:w="118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New South</w:t>
            </w:r>
          </w:p>
        </w:tc>
        <w:tc>
          <w:tcPr>
            <w:tcW w:w="1260" w:type="dxa"/>
            <w:vAlign w:val="bottom"/>
            <w:shd w:val="clear" w:color="auto" w:fill="FEFEFE"/>
          </w:tcPr>
          <w:p>
            <w:pPr>
              <w:spacing w:after="0"/>
              <w:rPr>
                <w:sz w:val="20"/>
                <w:szCs w:val="20"/>
                <w:color w:val="auto"/>
              </w:rPr>
            </w:pPr>
            <w:r>
              <w:rPr>
                <w:rFonts w:ascii="Arial" w:cs="Arial" w:eastAsia="Arial" w:hAnsi="Arial"/>
                <w:sz w:val="20"/>
                <w:szCs w:val="20"/>
                <w:color w:val="auto"/>
              </w:rPr>
              <w:t>ales</w:t>
            </w:r>
          </w:p>
        </w:tc>
        <w:tc>
          <w:tcPr>
            <w:tcW w:w="2540" w:type="dxa"/>
            <w:vAlign w:val="bottom"/>
            <w:shd w:val="clear" w:color="auto" w:fill="FEFEFE"/>
          </w:tcPr>
          <w:p>
            <w:pPr>
              <w:spacing w:after="0"/>
              <w:rPr>
                <w:sz w:val="24"/>
                <w:szCs w:val="24"/>
                <w:color w:val="auto"/>
              </w:rPr>
            </w:pPr>
          </w:p>
        </w:tc>
        <w:tc>
          <w:tcPr>
            <w:tcW w:w="132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1620" w:type="dxa"/>
            <w:vAlign w:val="bottom"/>
            <w:shd w:val="clear" w:color="auto" w:fill="FEFEFE"/>
          </w:tcPr>
          <w:p>
            <w:pPr>
              <w:spacing w:after="0"/>
              <w:rPr>
                <w:sz w:val="24"/>
                <w:szCs w:val="24"/>
                <w:color w:val="auto"/>
              </w:rPr>
            </w:pP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r>
      <w:tr>
        <w:trPr>
          <w:trHeight w:val="305"/>
        </w:trPr>
        <w:tc>
          <w:tcPr>
            <w:tcW w:w="118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ueensland</w:t>
            </w:r>
          </w:p>
        </w:tc>
        <w:tc>
          <w:tcPr>
            <w:tcW w:w="1260" w:type="dxa"/>
            <w:vAlign w:val="bottom"/>
            <w:shd w:val="clear" w:color="auto" w:fill="E4E4E4"/>
          </w:tcPr>
          <w:p>
            <w:pPr>
              <w:spacing w:after="0"/>
              <w:rPr>
                <w:sz w:val="24"/>
                <w:szCs w:val="24"/>
                <w:color w:val="auto"/>
              </w:rPr>
            </w:pP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620" w:type="dxa"/>
            <w:vAlign w:val="bottom"/>
            <w:shd w:val="clear" w:color="auto" w:fill="E4E4E4"/>
          </w:tcPr>
          <w:p>
            <w:pPr>
              <w:spacing w:after="0"/>
              <w:rPr>
                <w:sz w:val="24"/>
                <w:szCs w:val="24"/>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w:t>
            </w:r>
          </w:p>
        </w:tc>
      </w:tr>
      <w:tr>
        <w:trPr>
          <w:trHeight w:val="290"/>
        </w:trPr>
        <w:tc>
          <w:tcPr>
            <w:tcW w:w="1180" w:type="dxa"/>
            <w:vAlign w:val="bottom"/>
            <w:gridSpan w:val="2"/>
            <w:shd w:val="clear" w:color="auto" w:fill="FEFEFE"/>
          </w:tcPr>
          <w:p>
            <w:pPr>
              <w:ind w:left="180"/>
              <w:spacing w:after="0"/>
              <w:rPr>
                <w:sz w:val="20"/>
                <w:szCs w:val="20"/>
                <w:color w:val="auto"/>
              </w:rPr>
            </w:pPr>
            <w:r>
              <w:rPr>
                <w:rFonts w:ascii="Arial" w:cs="Arial" w:eastAsia="Arial" w:hAnsi="Arial"/>
                <w:sz w:val="20"/>
                <w:szCs w:val="20"/>
                <w:color w:val="auto"/>
              </w:rPr>
              <w:t>ictoria</w:t>
            </w:r>
          </w:p>
        </w:tc>
        <w:tc>
          <w:tcPr>
            <w:tcW w:w="1260" w:type="dxa"/>
            <w:vAlign w:val="bottom"/>
            <w:shd w:val="clear" w:color="auto" w:fill="FEFEFE"/>
          </w:tcPr>
          <w:p>
            <w:pPr>
              <w:spacing w:after="0"/>
              <w:rPr>
                <w:sz w:val="24"/>
                <w:szCs w:val="24"/>
                <w:color w:val="auto"/>
              </w:rPr>
            </w:pPr>
          </w:p>
        </w:tc>
        <w:tc>
          <w:tcPr>
            <w:tcW w:w="2540" w:type="dxa"/>
            <w:vAlign w:val="bottom"/>
            <w:shd w:val="clear" w:color="auto" w:fill="FEFEFE"/>
          </w:tcPr>
          <w:p>
            <w:pPr>
              <w:spacing w:after="0"/>
              <w:rPr>
                <w:sz w:val="24"/>
                <w:szCs w:val="24"/>
                <w:color w:val="auto"/>
              </w:rPr>
            </w:pPr>
          </w:p>
        </w:tc>
        <w:tc>
          <w:tcPr>
            <w:tcW w:w="132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1620" w:type="dxa"/>
            <w:vAlign w:val="bottom"/>
            <w:shd w:val="clear" w:color="auto" w:fill="FEFEFE"/>
          </w:tcPr>
          <w:p>
            <w:pPr>
              <w:spacing w:after="0"/>
              <w:rPr>
                <w:sz w:val="24"/>
                <w:szCs w:val="24"/>
                <w:color w:val="auto"/>
              </w:rPr>
            </w:pP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23</w:t>
            </w:r>
          </w:p>
        </w:tc>
      </w:tr>
      <w:tr>
        <w:trPr>
          <w:trHeight w:val="305"/>
        </w:trPr>
        <w:tc>
          <w:tcPr>
            <w:tcW w:w="244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South Australia</w:t>
            </w:r>
          </w:p>
        </w:tc>
        <w:tc>
          <w:tcPr>
            <w:tcW w:w="254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620" w:type="dxa"/>
            <w:vAlign w:val="bottom"/>
            <w:shd w:val="clear" w:color="auto" w:fill="E4E4E4"/>
          </w:tcPr>
          <w:p>
            <w:pPr>
              <w:spacing w:after="0"/>
              <w:rPr>
                <w:sz w:val="24"/>
                <w:szCs w:val="24"/>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w:t>
            </w:r>
          </w:p>
        </w:tc>
      </w:tr>
      <w:tr>
        <w:trPr>
          <w:trHeight w:val="298"/>
        </w:trPr>
        <w:tc>
          <w:tcPr>
            <w:tcW w:w="2440" w:type="dxa"/>
            <w:vAlign w:val="bottom"/>
            <w:gridSpan w:val="3"/>
            <w:shd w:val="clear" w:color="auto" w:fill="FEFEFE"/>
          </w:tcPr>
          <w:p>
            <w:pPr>
              <w:jc w:val="center"/>
              <w:ind w:right="595"/>
              <w:spacing w:after="0"/>
              <w:rPr>
                <w:sz w:val="20"/>
                <w:szCs w:val="20"/>
                <w:color w:val="auto"/>
              </w:rPr>
            </w:pPr>
            <w:r>
              <w:rPr>
                <w:rFonts w:ascii="Arial" w:cs="Arial" w:eastAsia="Arial" w:hAnsi="Arial"/>
                <w:sz w:val="20"/>
                <w:szCs w:val="20"/>
                <w:color w:val="auto"/>
                <w:w w:val="90"/>
              </w:rPr>
              <w:t>estern Australia</w:t>
            </w:r>
          </w:p>
        </w:tc>
        <w:tc>
          <w:tcPr>
            <w:tcW w:w="2540" w:type="dxa"/>
            <w:vAlign w:val="bottom"/>
            <w:shd w:val="clear" w:color="auto" w:fill="FEFEFE"/>
          </w:tcPr>
          <w:p>
            <w:pPr>
              <w:spacing w:after="0"/>
              <w:rPr>
                <w:sz w:val="24"/>
                <w:szCs w:val="24"/>
                <w:color w:val="auto"/>
              </w:rPr>
            </w:pPr>
          </w:p>
        </w:tc>
        <w:tc>
          <w:tcPr>
            <w:tcW w:w="1320" w:type="dxa"/>
            <w:vAlign w:val="bottom"/>
            <w:shd w:val="clear" w:color="auto" w:fill="FEFEFE"/>
          </w:tcPr>
          <w:p>
            <w:pPr>
              <w:spacing w:after="0"/>
              <w:rPr>
                <w:sz w:val="24"/>
                <w:szCs w:val="24"/>
                <w:color w:val="auto"/>
              </w:rPr>
            </w:pPr>
          </w:p>
        </w:tc>
        <w:tc>
          <w:tcPr>
            <w:tcW w:w="56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1620" w:type="dxa"/>
            <w:vAlign w:val="bottom"/>
            <w:shd w:val="clear" w:color="auto" w:fill="FEFEFE"/>
          </w:tcPr>
          <w:p>
            <w:pPr>
              <w:spacing w:after="0"/>
              <w:rPr>
                <w:sz w:val="24"/>
                <w:szCs w:val="24"/>
                <w:color w:val="auto"/>
              </w:rPr>
            </w:pPr>
          </w:p>
        </w:tc>
        <w:tc>
          <w:tcPr>
            <w:tcW w:w="9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w:t>
            </w:r>
          </w:p>
        </w:tc>
      </w:tr>
      <w:tr>
        <w:trPr>
          <w:trHeight w:val="296"/>
        </w:trPr>
        <w:tc>
          <w:tcPr>
            <w:tcW w:w="1180" w:type="dxa"/>
            <w:vAlign w:val="bottom"/>
            <w:tcBorders>
              <w:bottom w:val="single" w:sz="8" w:color="auto"/>
            </w:tcBorders>
            <w:gridSpan w:val="2"/>
            <w:shd w:val="clear" w:color="auto" w:fill="E4E4E4"/>
          </w:tcPr>
          <w:p>
            <w:pPr>
              <w:ind w:left="40"/>
              <w:spacing w:after="0"/>
              <w:rPr>
                <w:sz w:val="20"/>
                <w:szCs w:val="20"/>
                <w:color w:val="auto"/>
              </w:rPr>
            </w:pPr>
            <w:r>
              <w:rPr>
                <w:rFonts w:ascii="Arial" w:cs="Arial" w:eastAsia="Arial" w:hAnsi="Arial"/>
                <w:sz w:val="20"/>
                <w:szCs w:val="20"/>
                <w:color w:val="auto"/>
              </w:rPr>
              <w:t>Tasmania</w:t>
            </w:r>
          </w:p>
        </w:tc>
        <w:tc>
          <w:tcPr>
            <w:tcW w:w="1260" w:type="dxa"/>
            <w:vAlign w:val="bottom"/>
            <w:tcBorders>
              <w:bottom w:val="single" w:sz="8" w:color="auto"/>
            </w:tcBorders>
            <w:shd w:val="clear" w:color="auto" w:fill="E4E4E4"/>
          </w:tcPr>
          <w:p>
            <w:pPr>
              <w:spacing w:after="0"/>
              <w:rPr>
                <w:sz w:val="24"/>
                <w:szCs w:val="24"/>
                <w:color w:val="auto"/>
              </w:rPr>
            </w:pPr>
          </w:p>
        </w:tc>
        <w:tc>
          <w:tcPr>
            <w:tcW w:w="2540" w:type="dxa"/>
            <w:vAlign w:val="bottom"/>
            <w:tcBorders>
              <w:bottom w:val="single" w:sz="8" w:color="auto"/>
            </w:tcBorders>
            <w:shd w:val="clear" w:color="auto" w:fill="E4E4E4"/>
          </w:tcPr>
          <w:p>
            <w:pPr>
              <w:spacing w:after="0"/>
              <w:rPr>
                <w:sz w:val="24"/>
                <w:szCs w:val="24"/>
                <w:color w:val="auto"/>
              </w:rPr>
            </w:pPr>
          </w:p>
        </w:tc>
        <w:tc>
          <w:tcPr>
            <w:tcW w:w="1320" w:type="dxa"/>
            <w:vAlign w:val="bottom"/>
            <w:tcBorders>
              <w:bottom w:val="single" w:sz="8" w:color="auto"/>
            </w:tcBorders>
            <w:shd w:val="clear" w:color="auto" w:fill="E4E4E4"/>
          </w:tcPr>
          <w:p>
            <w:pPr>
              <w:spacing w:after="0"/>
              <w:rPr>
                <w:sz w:val="24"/>
                <w:szCs w:val="24"/>
                <w:color w:val="auto"/>
              </w:rPr>
            </w:pPr>
          </w:p>
        </w:tc>
        <w:tc>
          <w:tcPr>
            <w:tcW w:w="56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spacing w:after="0"/>
              <w:rPr>
                <w:sz w:val="24"/>
                <w:szCs w:val="24"/>
                <w:color w:val="auto"/>
              </w:rPr>
            </w:pPr>
          </w:p>
        </w:tc>
        <w:tc>
          <w:tcPr>
            <w:tcW w:w="1620" w:type="dxa"/>
            <w:vAlign w:val="bottom"/>
            <w:tcBorders>
              <w:bottom w:val="single" w:sz="8" w:color="auto"/>
            </w:tcBorders>
            <w:shd w:val="clear" w:color="auto" w:fill="E4E4E4"/>
          </w:tcPr>
          <w:p>
            <w:pPr>
              <w:spacing w:after="0"/>
              <w:rPr>
                <w:sz w:val="24"/>
                <w:szCs w:val="24"/>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2440" w:type="dxa"/>
            <w:vAlign w:val="bottom"/>
            <w:tcBorders>
              <w:bottom w:val="single" w:sz="8" w:color="auto"/>
            </w:tcBorders>
            <w:gridSpan w:val="3"/>
            <w:shd w:val="clear" w:color="auto" w:fill="FEFEFE"/>
          </w:tcPr>
          <w:p>
            <w:pPr>
              <w:jc w:val="center"/>
              <w:ind w:right="635"/>
              <w:spacing w:after="0"/>
              <w:rPr>
                <w:sz w:val="20"/>
                <w:szCs w:val="20"/>
                <w:color w:val="auto"/>
              </w:rPr>
            </w:pPr>
            <w:r>
              <w:rPr>
                <w:rFonts w:ascii="Arial" w:cs="Arial" w:eastAsia="Arial" w:hAnsi="Arial"/>
                <w:sz w:val="20"/>
                <w:szCs w:val="20"/>
                <w:color w:val="auto"/>
                <w:w w:val="93"/>
              </w:rPr>
              <w:t>otal stores</w:t>
            </w:r>
          </w:p>
        </w:tc>
        <w:tc>
          <w:tcPr>
            <w:tcW w:w="2540" w:type="dxa"/>
            <w:vAlign w:val="bottom"/>
            <w:tcBorders>
              <w:bottom w:val="single" w:sz="8" w:color="auto"/>
            </w:tcBorders>
            <w:shd w:val="clear" w:color="auto" w:fill="FEFEFE"/>
          </w:tcPr>
          <w:p>
            <w:pPr>
              <w:spacing w:after="0"/>
              <w:rPr>
                <w:sz w:val="24"/>
                <w:szCs w:val="24"/>
                <w:color w:val="auto"/>
              </w:rPr>
            </w:pPr>
          </w:p>
        </w:tc>
        <w:tc>
          <w:tcPr>
            <w:tcW w:w="1320" w:type="dxa"/>
            <w:vAlign w:val="bottom"/>
            <w:tcBorders>
              <w:bottom w:val="single" w:sz="8" w:color="auto"/>
            </w:tcBorders>
            <w:shd w:val="clear" w:color="auto" w:fill="FEFEFE"/>
          </w:tcPr>
          <w:p>
            <w:pPr>
              <w:spacing w:after="0"/>
              <w:rPr>
                <w:sz w:val="24"/>
                <w:szCs w:val="24"/>
                <w:color w:val="auto"/>
              </w:rPr>
            </w:pPr>
          </w:p>
        </w:tc>
        <w:tc>
          <w:tcPr>
            <w:tcW w:w="56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spacing w:after="0"/>
              <w:rPr>
                <w:sz w:val="24"/>
                <w:szCs w:val="24"/>
                <w:color w:val="auto"/>
              </w:rPr>
            </w:pPr>
          </w:p>
        </w:tc>
        <w:tc>
          <w:tcPr>
            <w:tcW w:w="162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88</w:t>
            </w:r>
          </w:p>
        </w:tc>
      </w:tr>
      <w:tr>
        <w:trPr>
          <w:trHeight w:val="425"/>
        </w:trPr>
        <w:tc>
          <w:tcPr>
            <w:tcW w:w="660" w:type="dxa"/>
            <w:vAlign w:val="bottom"/>
          </w:tcPr>
          <w:p>
            <w:pPr>
              <w:ind w:left="140"/>
              <w:spacing w:after="0"/>
              <w:rPr>
                <w:sz w:val="20"/>
                <w:szCs w:val="20"/>
                <w:color w:val="auto"/>
              </w:rPr>
            </w:pPr>
            <w:r>
              <w:rPr>
                <w:rFonts w:ascii="Arial" w:cs="Arial" w:eastAsia="Arial" w:hAnsi="Arial"/>
                <w:sz w:val="22"/>
                <w:szCs w:val="22"/>
                <w:color w:val="auto"/>
              </w:rPr>
              <w:t>IS</w:t>
            </w:r>
          </w:p>
        </w:tc>
        <w:tc>
          <w:tcPr>
            <w:tcW w:w="520" w:type="dxa"/>
            <w:vAlign w:val="bottom"/>
          </w:tcPr>
          <w:p>
            <w:pPr>
              <w:spacing w:after="0"/>
              <w:rPr>
                <w:sz w:val="20"/>
                <w:szCs w:val="20"/>
                <w:color w:val="auto"/>
              </w:rPr>
            </w:pPr>
            <w:r>
              <w:rPr>
                <w:rFonts w:ascii="Arial" w:cs="Arial" w:eastAsia="Arial" w:hAnsi="Arial"/>
                <w:sz w:val="22"/>
                <w:szCs w:val="22"/>
                <w:color w:val="auto"/>
              </w:rPr>
              <w:t>I</w:t>
            </w:r>
          </w:p>
        </w:tc>
        <w:tc>
          <w:tcPr>
            <w:tcW w:w="1260" w:type="dxa"/>
            <w:vAlign w:val="bottom"/>
          </w:tcPr>
          <w:p>
            <w:pPr>
              <w:ind w:left="20"/>
              <w:spacing w:after="0"/>
              <w:rPr>
                <w:sz w:val="20"/>
                <w:szCs w:val="20"/>
                <w:color w:val="auto"/>
              </w:rPr>
            </w:pPr>
            <w:r>
              <w:rPr>
                <w:rFonts w:ascii="Arial" w:cs="Arial" w:eastAsia="Arial" w:hAnsi="Arial"/>
                <w:sz w:val="22"/>
                <w:szCs w:val="22"/>
                <w:color w:val="auto"/>
              </w:rPr>
              <w:t>ION C N</w:t>
            </w:r>
          </w:p>
        </w:tc>
        <w:tc>
          <w:tcPr>
            <w:tcW w:w="3860" w:type="dxa"/>
            <w:vAlign w:val="bottom"/>
            <w:gridSpan w:val="2"/>
          </w:tcPr>
          <w:p>
            <w:pPr>
              <w:jc w:val="right"/>
              <w:ind w:right="3480"/>
              <w:spacing w:after="0"/>
              <w:rPr>
                <w:sz w:val="20"/>
                <w:szCs w:val="20"/>
                <w:color w:val="auto"/>
              </w:rPr>
            </w:pPr>
            <w:r>
              <w:rPr>
                <w:rFonts w:ascii="Arial" w:cs="Arial" w:eastAsia="Arial" w:hAnsi="Arial"/>
                <w:sz w:val="22"/>
                <w:szCs w:val="22"/>
                <w:color w:val="auto"/>
              </w:rPr>
              <w:t>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The following is a summary of our primary owned and leased distribution and fulfillment centers as of January 31, 2026.</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 uare footage information for the distribution and fulfillment centers represents total  ground cover  of the facility.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600" w:type="dxa"/>
            <w:vAlign w:val="bottom"/>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wned</w:t>
            </w:r>
          </w:p>
        </w:tc>
        <w:tc>
          <w:tcPr>
            <w:tcW w:w="1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Leased</w:t>
            </w:r>
          </w:p>
        </w:tc>
        <w:tc>
          <w:tcPr>
            <w:tcW w:w="1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Total</w:t>
            </w:r>
          </w:p>
        </w:tc>
        <w:tc>
          <w:tcPr>
            <w:tcW w:w="940" w:type="dxa"/>
            <w:vAlign w:val="bottom"/>
            <w:tcBorders>
              <w:bottom w:val="single" w:sz="8" w:color="auto"/>
            </w:tcBorders>
          </w:tcPr>
          <w:p>
            <w:pPr>
              <w:spacing w:after="0"/>
              <w:rPr>
                <w:sz w:val="23"/>
                <w:szCs w:val="23"/>
                <w:color w:val="auto"/>
              </w:rPr>
            </w:pPr>
          </w:p>
        </w:tc>
      </w:tr>
      <w:tr>
        <w:trPr>
          <w:trHeight w:val="280"/>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uare footage in millions</w:t>
            </w:r>
          </w:p>
        </w:tc>
        <w:tc>
          <w:tcPr>
            <w:tcW w:w="1660" w:type="dxa"/>
            <w:vAlign w:val="bottom"/>
            <w:tcBorders>
              <w:bottom w:val="single" w:sz="8" w:color="auto"/>
            </w:tcBorders>
          </w:tcPr>
          <w:p>
            <w:pPr>
              <w:jc w:val="right"/>
              <w:ind w:right="640"/>
              <w:spacing w:after="0"/>
              <w:rPr>
                <w:sz w:val="20"/>
                <w:szCs w:val="20"/>
                <w:color w:val="auto"/>
              </w:rPr>
            </w:pPr>
            <w:r>
              <w:rPr>
                <w:rFonts w:ascii="Arial" w:cs="Arial" w:eastAsia="Arial" w:hAnsi="Arial"/>
                <w:sz w:val="20"/>
                <w:szCs w:val="20"/>
                <w:color w:val="auto"/>
              </w:rPr>
              <w:t>S  ft</w:t>
            </w: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20"/>
                <w:szCs w:val="20"/>
                <w:color w:val="auto"/>
              </w:rPr>
              <w:t>Count</w:t>
            </w: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20"/>
                <w:szCs w:val="20"/>
                <w:color w:val="auto"/>
              </w:rPr>
              <w:t>S  ft</w:t>
            </w: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color w:val="auto"/>
              </w:rPr>
              <w:t>Count</w:t>
            </w: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20"/>
                <w:szCs w:val="20"/>
                <w:color w:val="auto"/>
              </w:rPr>
              <w:t>S  ft</w:t>
            </w: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color w:val="auto"/>
              </w:rPr>
              <w:t>Count</w:t>
            </w:r>
          </w:p>
        </w:tc>
      </w:tr>
      <w:tr>
        <w:trPr>
          <w:trHeight w:val="290"/>
        </w:trPr>
        <w:tc>
          <w:tcPr>
            <w:tcW w:w="2600" w:type="dxa"/>
            <w:vAlign w:val="bottom"/>
            <w:shd w:val="clear" w:color="auto" w:fill="E4E4E4"/>
          </w:tcPr>
          <w:p>
            <w:pPr>
              <w:ind w:left="220"/>
              <w:spacing w:after="0"/>
              <w:rPr>
                <w:sz w:val="20"/>
                <w:szCs w:val="20"/>
                <w:color w:val="auto"/>
              </w:rPr>
            </w:pPr>
            <w:r>
              <w:rPr>
                <w:rFonts w:ascii="Arial" w:cs="Arial" w:eastAsia="Arial" w:hAnsi="Arial"/>
                <w:sz w:val="20"/>
                <w:szCs w:val="20"/>
                <w:color w:val="auto"/>
              </w:rPr>
              <w:t>armaxx</w:t>
            </w:r>
          </w:p>
        </w:tc>
        <w:tc>
          <w:tcPr>
            <w:tcW w:w="166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10</w:t>
            </w:r>
          </w:p>
        </w:tc>
        <w:tc>
          <w:tcPr>
            <w:tcW w:w="1120" w:type="dxa"/>
            <w:vAlign w:val="bottom"/>
            <w:shd w:val="clear" w:color="auto" w:fill="E4E4E4"/>
          </w:tcPr>
          <w:p>
            <w:pPr>
              <w:spacing w:after="0"/>
              <w:rPr>
                <w:sz w:val="24"/>
                <w:szCs w:val="24"/>
                <w:color w:val="auto"/>
              </w:rPr>
            </w:pPr>
          </w:p>
        </w:tc>
        <w:tc>
          <w:tcPr>
            <w:tcW w:w="142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6</w:t>
            </w:r>
          </w:p>
        </w:tc>
        <w:tc>
          <w:tcPr>
            <w:tcW w:w="112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10</w:t>
            </w:r>
          </w:p>
        </w:tc>
        <w:tc>
          <w:tcPr>
            <w:tcW w:w="140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16</w:t>
            </w:r>
          </w:p>
        </w:tc>
        <w:tc>
          <w:tcPr>
            <w:tcW w:w="9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1</w:t>
            </w:r>
          </w:p>
        </w:tc>
      </w:tr>
      <w:tr>
        <w:trPr>
          <w:trHeight w:val="295"/>
        </w:trPr>
        <w:tc>
          <w:tcPr>
            <w:tcW w:w="2600" w:type="dxa"/>
            <w:vAlign w:val="bottom"/>
            <w:shd w:val="clear" w:color="auto" w:fill="FEFEFE"/>
          </w:tcPr>
          <w:p>
            <w:pPr>
              <w:ind w:left="180"/>
              <w:spacing w:after="0"/>
              <w:rPr>
                <w:sz w:val="20"/>
                <w:szCs w:val="20"/>
                <w:color w:val="auto"/>
              </w:rPr>
            </w:pPr>
            <w:r>
              <w:rPr>
                <w:rFonts w:ascii="Arial" w:cs="Arial" w:eastAsia="Arial" w:hAnsi="Arial"/>
                <w:sz w:val="20"/>
                <w:szCs w:val="20"/>
                <w:color w:val="auto"/>
              </w:rPr>
              <w:t>ome  oods</w:t>
            </w:r>
          </w:p>
        </w:tc>
        <w:tc>
          <w:tcPr>
            <w:tcW w:w="166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5</w:t>
            </w:r>
          </w:p>
        </w:tc>
        <w:tc>
          <w:tcPr>
            <w:tcW w:w="1120" w:type="dxa"/>
            <w:vAlign w:val="bottom"/>
            <w:shd w:val="clear" w:color="auto" w:fill="FEFEFE"/>
          </w:tcPr>
          <w:p>
            <w:pPr>
              <w:jc w:val="right"/>
              <w:ind w:right="220"/>
              <w:spacing w:after="0"/>
              <w:rPr>
                <w:sz w:val="20"/>
                <w:szCs w:val="20"/>
                <w:color w:val="auto"/>
              </w:rPr>
            </w:pPr>
            <w:r>
              <w:rPr>
                <w:rFonts w:ascii="Arial" w:cs="Arial" w:eastAsia="Arial" w:hAnsi="Arial"/>
                <w:sz w:val="20"/>
                <w:szCs w:val="20"/>
                <w:color w:val="auto"/>
              </w:rPr>
              <w:t>6</w:t>
            </w:r>
          </w:p>
        </w:tc>
        <w:tc>
          <w:tcPr>
            <w:tcW w:w="14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0</w:t>
            </w:r>
          </w:p>
        </w:tc>
        <w:tc>
          <w:tcPr>
            <w:tcW w:w="112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1</w:t>
            </w:r>
          </w:p>
        </w:tc>
        <w:tc>
          <w:tcPr>
            <w:tcW w:w="14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5</w:t>
            </w: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r>
      <w:tr>
        <w:trPr>
          <w:trHeight w:val="305"/>
        </w:trPr>
        <w:tc>
          <w:tcPr>
            <w:tcW w:w="2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Sierra</w:t>
            </w:r>
          </w:p>
        </w:tc>
        <w:tc>
          <w:tcPr>
            <w:tcW w:w="166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w:t>
            </w:r>
          </w:p>
        </w:tc>
        <w:tc>
          <w:tcPr>
            <w:tcW w:w="1120" w:type="dxa"/>
            <w:vAlign w:val="bottom"/>
            <w:shd w:val="clear" w:color="auto" w:fill="E4E4E4"/>
          </w:tcPr>
          <w:p>
            <w:pPr>
              <w:jc w:val="right"/>
              <w:ind w:right="220"/>
              <w:spacing w:after="0"/>
              <w:rPr>
                <w:sz w:val="20"/>
                <w:szCs w:val="20"/>
                <w:color w:val="auto"/>
              </w:rPr>
            </w:pPr>
            <w:r>
              <w:rPr>
                <w:rFonts w:ascii="Arial" w:cs="Arial" w:eastAsia="Arial" w:hAnsi="Arial"/>
                <w:sz w:val="20"/>
                <w:szCs w:val="20"/>
                <w:color w:val="auto"/>
              </w:rPr>
              <w:t>1</w:t>
            </w:r>
          </w:p>
        </w:tc>
        <w:tc>
          <w:tcPr>
            <w:tcW w:w="142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1</w:t>
            </w:r>
          </w:p>
        </w:tc>
        <w:tc>
          <w:tcPr>
            <w:tcW w:w="112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1</w:t>
            </w:r>
          </w:p>
        </w:tc>
        <w:tc>
          <w:tcPr>
            <w:tcW w:w="140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2</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r>
      <w:tr>
        <w:trPr>
          <w:trHeight w:val="290"/>
        </w:trPr>
        <w:tc>
          <w:tcPr>
            <w:tcW w:w="2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TJX Canada</w:t>
            </w:r>
          </w:p>
        </w:tc>
        <w:tc>
          <w:tcPr>
            <w:tcW w:w="1660" w:type="dxa"/>
            <w:vAlign w:val="bottom"/>
            <w:shd w:val="clear" w:color="auto" w:fill="FEFEFE"/>
          </w:tcPr>
          <w:p>
            <w:pPr>
              <w:spacing w:after="0"/>
              <w:rPr>
                <w:sz w:val="24"/>
                <w:szCs w:val="24"/>
                <w:color w:val="auto"/>
              </w:rPr>
            </w:pPr>
          </w:p>
        </w:tc>
        <w:tc>
          <w:tcPr>
            <w:tcW w:w="1120" w:type="dxa"/>
            <w:vAlign w:val="bottom"/>
            <w:shd w:val="clear" w:color="auto" w:fill="FEFEFE"/>
          </w:tcPr>
          <w:p>
            <w:pPr>
              <w:spacing w:after="0"/>
              <w:rPr>
                <w:sz w:val="24"/>
                <w:szCs w:val="24"/>
                <w:color w:val="auto"/>
              </w:rPr>
            </w:pPr>
          </w:p>
        </w:tc>
        <w:tc>
          <w:tcPr>
            <w:tcW w:w="142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3</w:t>
            </w:r>
          </w:p>
        </w:tc>
        <w:tc>
          <w:tcPr>
            <w:tcW w:w="112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5</w:t>
            </w:r>
          </w:p>
        </w:tc>
        <w:tc>
          <w:tcPr>
            <w:tcW w:w="14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3</w:t>
            </w: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r>
      <w:tr>
        <w:trPr>
          <w:trHeight w:val="300"/>
        </w:trPr>
        <w:tc>
          <w:tcPr>
            <w:tcW w:w="26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TJX International</w:t>
            </w:r>
          </w:p>
        </w:tc>
        <w:tc>
          <w:tcPr>
            <w:tcW w:w="1660" w:type="dxa"/>
            <w:vAlign w:val="bottom"/>
            <w:tcBorders>
              <w:bottom w:val="single" w:sz="8" w:color="auto"/>
            </w:tcBorders>
            <w:shd w:val="clear" w:color="auto" w:fill="E4E4E4"/>
          </w:tcPr>
          <w:p>
            <w:pPr>
              <w:jc w:val="right"/>
              <w:ind w:right="180"/>
              <w:spacing w:after="0"/>
              <w:rPr>
                <w:sz w:val="20"/>
                <w:szCs w:val="20"/>
                <w:color w:val="auto"/>
              </w:rPr>
            </w:pPr>
            <w:r>
              <w:rPr>
                <w:rFonts w:ascii="Arial" w:cs="Arial" w:eastAsia="Arial" w:hAnsi="Arial"/>
                <w:sz w:val="20"/>
                <w:szCs w:val="20"/>
                <w:color w:val="auto"/>
              </w:rPr>
              <w:t>1</w:t>
            </w:r>
          </w:p>
        </w:tc>
        <w:tc>
          <w:tcPr>
            <w:tcW w:w="1120" w:type="dxa"/>
            <w:vAlign w:val="bottom"/>
            <w:tcBorders>
              <w:bottom w:val="single" w:sz="8" w:color="auto"/>
            </w:tcBorders>
            <w:shd w:val="clear" w:color="auto" w:fill="E4E4E4"/>
          </w:tcPr>
          <w:p>
            <w:pPr>
              <w:jc w:val="right"/>
              <w:ind w:right="220"/>
              <w:spacing w:after="0"/>
              <w:rPr>
                <w:sz w:val="20"/>
                <w:szCs w:val="20"/>
                <w:color w:val="auto"/>
              </w:rPr>
            </w:pPr>
            <w:r>
              <w:rPr>
                <w:rFonts w:ascii="Arial" w:cs="Arial" w:eastAsia="Arial" w:hAnsi="Arial"/>
                <w:sz w:val="20"/>
                <w:szCs w:val="20"/>
                <w:color w:val="auto"/>
              </w:rPr>
              <w:t>1</w:t>
            </w:r>
          </w:p>
        </w:tc>
        <w:tc>
          <w:tcPr>
            <w:tcW w:w="1420" w:type="dxa"/>
            <w:vAlign w:val="bottom"/>
            <w:tcBorders>
              <w:bottom w:val="single" w:sz="8" w:color="auto"/>
            </w:tcBorders>
            <w:shd w:val="clear" w:color="auto" w:fill="E4E4E4"/>
          </w:tcPr>
          <w:p>
            <w:pPr>
              <w:jc w:val="right"/>
              <w:ind w:right="180"/>
              <w:spacing w:after="0"/>
              <w:rPr>
                <w:sz w:val="20"/>
                <w:szCs w:val="20"/>
                <w:color w:val="auto"/>
              </w:rPr>
            </w:pPr>
            <w:r>
              <w:rPr>
                <w:rFonts w:ascii="Arial" w:cs="Arial" w:eastAsia="Arial" w:hAnsi="Arial"/>
                <w:sz w:val="20"/>
                <w:szCs w:val="20"/>
                <w:color w:val="auto"/>
              </w:rPr>
              <w:t>4</w:t>
            </w:r>
          </w:p>
        </w:tc>
        <w:tc>
          <w:tcPr>
            <w:tcW w:w="1120" w:type="dxa"/>
            <w:vAlign w:val="bottom"/>
            <w:tcBorders>
              <w:bottom w:val="single" w:sz="8" w:color="auto"/>
            </w:tcBorders>
            <w:shd w:val="clear" w:color="auto" w:fill="E4E4E4"/>
          </w:tcPr>
          <w:p>
            <w:pPr>
              <w:spacing w:after="0"/>
              <w:rPr>
                <w:sz w:val="24"/>
                <w:szCs w:val="24"/>
                <w:color w:val="auto"/>
              </w:rPr>
            </w:pPr>
          </w:p>
        </w:tc>
        <w:tc>
          <w:tcPr>
            <w:tcW w:w="140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5</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w:t>
            </w:r>
          </w:p>
        </w:tc>
      </w:tr>
      <w:tr>
        <w:trPr>
          <w:trHeight w:val="280"/>
        </w:trPr>
        <w:tc>
          <w:tcPr>
            <w:tcW w:w="260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otal</w:t>
            </w:r>
          </w:p>
        </w:tc>
        <w:tc>
          <w:tcPr>
            <w:tcW w:w="1660" w:type="dxa"/>
            <w:vAlign w:val="bottom"/>
            <w:tcBorders>
              <w:bottom w:val="single" w:sz="8" w:color="auto"/>
            </w:tcBorders>
            <w:shd w:val="clear" w:color="auto" w:fill="FEFEFE"/>
          </w:tcPr>
          <w:p>
            <w:pPr>
              <w:jc w:val="right"/>
              <w:ind w:right="180"/>
              <w:spacing w:after="0"/>
              <w:rPr>
                <w:sz w:val="20"/>
                <w:szCs w:val="20"/>
                <w:color w:val="auto"/>
              </w:rPr>
            </w:pPr>
            <w:r>
              <w:rPr>
                <w:rFonts w:ascii="Arial" w:cs="Arial" w:eastAsia="Arial" w:hAnsi="Arial"/>
                <w:sz w:val="20"/>
                <w:szCs w:val="20"/>
                <w:color w:val="auto"/>
              </w:rPr>
              <w:t>17</w:t>
            </w:r>
          </w:p>
        </w:tc>
        <w:tc>
          <w:tcPr>
            <w:tcW w:w="112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17</w:t>
            </w:r>
          </w:p>
        </w:tc>
        <w:tc>
          <w:tcPr>
            <w:tcW w:w="1420" w:type="dxa"/>
            <w:vAlign w:val="bottom"/>
            <w:tcBorders>
              <w:bottom w:val="single" w:sz="8" w:color="auto"/>
            </w:tcBorders>
            <w:shd w:val="clear" w:color="auto" w:fill="FEFEFE"/>
          </w:tcPr>
          <w:p>
            <w:pPr>
              <w:jc w:val="right"/>
              <w:ind w:right="180"/>
              <w:spacing w:after="0"/>
              <w:rPr>
                <w:sz w:val="20"/>
                <w:szCs w:val="20"/>
                <w:color w:val="auto"/>
              </w:rPr>
            </w:pPr>
            <w:r>
              <w:rPr>
                <w:rFonts w:ascii="Arial" w:cs="Arial" w:eastAsia="Arial" w:hAnsi="Arial"/>
                <w:sz w:val="20"/>
                <w:szCs w:val="20"/>
                <w:color w:val="auto"/>
              </w:rPr>
              <w:t>14</w:t>
            </w:r>
          </w:p>
        </w:tc>
        <w:tc>
          <w:tcPr>
            <w:tcW w:w="1120" w:type="dxa"/>
            <w:vAlign w:val="bottom"/>
            <w:tcBorders>
              <w:bottom w:val="single" w:sz="8" w:color="auto"/>
            </w:tcBorders>
            <w:shd w:val="clear" w:color="auto" w:fill="FEFEFE"/>
          </w:tcPr>
          <w:p>
            <w:pPr>
              <w:jc w:val="right"/>
              <w:ind w:right="200"/>
              <w:spacing w:after="0"/>
              <w:rPr>
                <w:sz w:val="20"/>
                <w:szCs w:val="20"/>
                <w:color w:val="auto"/>
              </w:rPr>
            </w:pPr>
            <w:r>
              <w:rPr>
                <w:rFonts w:ascii="Arial" w:cs="Arial" w:eastAsia="Arial" w:hAnsi="Arial"/>
                <w:sz w:val="20"/>
                <w:szCs w:val="20"/>
                <w:color w:val="auto"/>
              </w:rPr>
              <w:t>26</w:t>
            </w:r>
          </w:p>
        </w:tc>
        <w:tc>
          <w:tcPr>
            <w:tcW w:w="140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31</w:t>
            </w: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43</w:t>
            </w:r>
          </w:p>
        </w:tc>
      </w:tr>
    </w:tbl>
    <w:p>
      <w:pPr>
        <w:spacing w:after="0" w:line="133" w:lineRule="exact"/>
        <w:rPr>
          <w:sz w:val="20"/>
          <w:szCs w:val="20"/>
          <w:color w:val="auto"/>
        </w:rPr>
      </w:pPr>
    </w:p>
    <w:p>
      <w:pPr>
        <w:spacing w:after="0"/>
        <w:tabs>
          <w:tab w:leader="none" w:pos="860" w:val="left"/>
          <w:tab w:leader="none" w:pos="1280" w:val="left"/>
        </w:tabs>
        <w:rPr>
          <w:sz w:val="20"/>
          <w:szCs w:val="20"/>
          <w:color w:val="auto"/>
        </w:rPr>
      </w:pPr>
      <w:r>
        <w:rPr>
          <w:rFonts w:ascii="Arial" w:cs="Arial" w:eastAsia="Arial" w:hAnsi="Arial"/>
          <w:sz w:val="22"/>
          <w:szCs w:val="22"/>
          <w:color w:val="auto"/>
        </w:rPr>
        <w:t>OFFIC</w:t>
        <w:tab/>
        <w:t>S</w:t>
        <w:tab/>
        <w:t>C</w:t>
      </w:r>
    </w:p>
    <w:p>
      <w:pPr>
        <w:spacing w:after="0" w:line="145" w:lineRule="exact"/>
        <w:rPr>
          <w:sz w:val="20"/>
          <w:szCs w:val="20"/>
          <w:color w:val="auto"/>
        </w:rPr>
      </w:pPr>
    </w:p>
    <w:p>
      <w:pPr>
        <w:jc w:val="both"/>
        <w:ind w:right="320"/>
        <w:spacing w:after="0" w:line="261" w:lineRule="auto"/>
        <w:rPr>
          <w:sz w:val="20"/>
          <w:szCs w:val="20"/>
          <w:color w:val="auto"/>
        </w:rPr>
      </w:pPr>
      <w:r>
        <w:rPr>
          <w:rFonts w:ascii="Arial" w:cs="Arial" w:eastAsia="Arial" w:hAnsi="Arial"/>
          <w:sz w:val="20"/>
          <w:szCs w:val="20"/>
          <w:color w:val="auto"/>
        </w:rPr>
        <w:t>TJX has corporate head uarters in assachusetts which consists of both owned and leased space. Additionally, we own and lease additional office space throughout the nited States and in various countries. As of January 31, 2026, TJX owned and leased a combined 3.7 million s uare feet of office space, primarily within the nited States. S uare footage information for office space represents total space owned or leased.</w:t>
      </w:r>
    </w:p>
    <w:p>
      <w:pPr>
        <w:sectPr>
          <w:pgSz w:w="12240" w:h="15841" w:orient="portrait"/>
          <w:cols w:equalWidth="0" w:num="1">
            <w:col w:w="10260"/>
          </w:cols>
          <w:pgMar w:left="1000" w:top="762" w:right="981" w:bottom="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ectPr>
          <w:pgSz w:w="12240" w:h="15841" w:orient="portrait"/>
          <w:cols w:equalWidth="0" w:num="1">
            <w:col w:w="10260"/>
          </w:cols>
          <w:pgMar w:left="1000" w:top="762" w:right="981" w:bottom="0" w:gutter="0" w:footer="0" w:header="0"/>
          <w:type w:val="continuous"/>
        </w:sectPr>
      </w:pPr>
    </w:p>
    <w:bookmarkStart w:id="34" w:name="page35"/>
    <w:bookmarkEnd w:id="34"/>
    <w:p>
      <w:pPr>
        <w:ind w:left="10"/>
        <w:spacing w:after="0"/>
        <w:tabs>
          <w:tab w:leader="none" w:pos="689" w:val="left"/>
          <w:tab w:leader="none" w:pos="1149" w:val="left"/>
          <w:tab w:leader="none" w:pos="1769"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r>
        <w:rPr>
          <w:sz w:val="20"/>
          <w:szCs w:val="20"/>
          <w:color w:val="auto"/>
        </w:rPr>
        <w:tab/>
      </w:r>
      <w:r>
        <w:rPr>
          <w:rFonts w:ascii="Arial" w:cs="Arial" w:eastAsia="Arial" w:hAnsi="Arial"/>
          <w:sz w:val="24"/>
          <w:szCs w:val="24"/>
          <w:color w:val="auto"/>
        </w:rPr>
        <w:t>3.</w:t>
        <w:tab/>
        <w:t>egal</w:t>
      </w:r>
      <w:r>
        <w:rPr>
          <w:sz w:val="20"/>
          <w:szCs w:val="20"/>
          <w:color w:val="auto"/>
        </w:rPr>
        <w:tab/>
      </w:r>
      <w:r>
        <w:rPr>
          <w:rFonts w:ascii="Arial" w:cs="Arial" w:eastAsia="Arial" w:hAnsi="Arial"/>
          <w:sz w:val="22"/>
          <w:szCs w:val="22"/>
          <w:color w:val="auto"/>
        </w:rPr>
        <w:t>roceedings</w:t>
      </w:r>
    </w:p>
    <w:p>
      <w:pPr>
        <w:spacing w:after="0" w:line="153" w:lineRule="exact"/>
        <w:rPr>
          <w:sz w:val="20"/>
          <w:szCs w:val="20"/>
          <w:color w:val="auto"/>
        </w:rPr>
      </w:pPr>
    </w:p>
    <w:p>
      <w:pPr>
        <w:ind w:left="10" w:right="520"/>
        <w:spacing w:after="0" w:line="283" w:lineRule="auto"/>
        <w:rPr>
          <w:sz w:val="20"/>
          <w:szCs w:val="20"/>
          <w:color w:val="auto"/>
        </w:rPr>
      </w:pPr>
      <w:r>
        <w:rPr>
          <w:rFonts w:ascii="Arial" w:cs="Arial" w:eastAsia="Arial" w:hAnsi="Arial"/>
          <w:sz w:val="20"/>
          <w:szCs w:val="20"/>
          <w:color w:val="auto"/>
        </w:rPr>
        <w:t xml:space="preserve">See Legal Contingencies in </w:t>
      </w:r>
      <w:r>
        <w:rPr>
          <w:rFonts w:ascii="Arial" w:cs="Arial" w:eastAsia="Arial" w:hAnsi="Arial"/>
          <w:sz w:val="20"/>
          <w:szCs w:val="20"/>
          <w:u w:val="single" w:color="auto"/>
          <w:color w:val="303030"/>
        </w:rPr>
        <w:t>Note N Contingent bligations, Contingencies, and Commitments</w:t>
      </w:r>
      <w:r>
        <w:rPr>
          <w:rFonts w:ascii="Arial" w:cs="Arial" w:eastAsia="Arial" w:hAnsi="Arial"/>
          <w:sz w:val="20"/>
          <w:szCs w:val="20"/>
          <w:color w:val="auto"/>
        </w:rPr>
        <w:t xml:space="preserve"> of Notes to Consolidated Financial Statements for information on legal proceedings.</w:t>
      </w:r>
    </w:p>
    <w:p>
      <w:pPr>
        <w:spacing w:after="0" w:line="37" w:lineRule="exact"/>
        <w:rPr>
          <w:sz w:val="20"/>
          <w:szCs w:val="20"/>
          <w:color w:val="auto"/>
        </w:rPr>
      </w:pPr>
    </w:p>
    <w:p>
      <w:pPr>
        <w:ind w:left="10"/>
        <w:spacing w:after="0"/>
        <w:tabs>
          <w:tab w:leader="none" w:pos="689" w:val="left"/>
          <w:tab w:leader="none" w:pos="1209" w:val="left"/>
          <w:tab w:leader="none" w:pos="2449"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4.</w:t>
        <w:tab/>
        <w:t>ine Safety</w:t>
      </w:r>
      <w:r>
        <w:rPr>
          <w:sz w:val="20"/>
          <w:szCs w:val="20"/>
          <w:color w:val="auto"/>
        </w:rPr>
        <w:tab/>
      </w:r>
      <w:r>
        <w:rPr>
          <w:rFonts w:ascii="Arial" w:cs="Arial" w:eastAsia="Arial" w:hAnsi="Arial"/>
          <w:sz w:val="22"/>
          <w:szCs w:val="22"/>
          <w:color w:val="auto"/>
        </w:rPr>
        <w:t>isclosures</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20"/>
          <w:szCs w:val="20"/>
          <w:color w:val="auto"/>
        </w:rPr>
        <w:t>Not applicable.</w:t>
      </w:r>
    </w:p>
    <w:p>
      <w:pPr>
        <w:spacing w:after="0" w:line="347" w:lineRule="exact"/>
        <w:rPr>
          <w:sz w:val="20"/>
          <w:szCs w:val="20"/>
          <w:color w:val="auto"/>
        </w:rPr>
      </w:pPr>
    </w:p>
    <w:p>
      <w:pPr>
        <w:ind w:left="5530"/>
        <w:spacing w:after="0"/>
        <w:rPr>
          <w:sz w:val="20"/>
          <w:szCs w:val="20"/>
          <w:color w:val="auto"/>
        </w:rPr>
      </w:pPr>
      <w:r>
        <w:rPr>
          <w:rFonts w:ascii="Arial" w:cs="Arial" w:eastAsia="Arial" w:hAnsi="Arial"/>
          <w:sz w:val="36"/>
          <w:szCs w:val="36"/>
          <w:color w:val="auto"/>
        </w:rPr>
        <w:t>II</w:t>
      </w:r>
    </w:p>
    <w:p>
      <w:pPr>
        <w:spacing w:after="0" w:line="180" w:lineRule="exact"/>
        <w:rPr>
          <w:sz w:val="20"/>
          <w:szCs w:val="20"/>
          <w:color w:val="auto"/>
        </w:rPr>
      </w:pPr>
    </w:p>
    <w:p>
      <w:pPr>
        <w:ind w:left="10"/>
        <w:spacing w:after="0"/>
        <w:tabs>
          <w:tab w:leader="none" w:pos="689" w:val="left"/>
          <w:tab w:leader="none" w:pos="1209" w:val="left"/>
          <w:tab w:leader="none" w:pos="2729" w:val="left"/>
          <w:tab w:leader="none" w:pos="5169" w:val="left"/>
          <w:tab w:leader="none" w:pos="5869" w:val="left"/>
          <w:tab w:leader="none" w:pos="8069"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5.</w:t>
        <w:tab/>
        <w:t>ar et for the</w:t>
        <w:tab/>
        <w:t>egistrant s Common</w:t>
        <w:tab/>
        <w:t>uity,</w:t>
        <w:tab/>
        <w:t>elated Stoc holder</w:t>
      </w:r>
      <w:r>
        <w:rPr>
          <w:sz w:val="20"/>
          <w:szCs w:val="20"/>
          <w:color w:val="auto"/>
        </w:rPr>
        <w:tab/>
      </w:r>
      <w:r>
        <w:rPr>
          <w:rFonts w:ascii="Arial" w:cs="Arial" w:eastAsia="Arial" w:hAnsi="Arial"/>
          <w:sz w:val="23"/>
          <w:szCs w:val="23"/>
          <w:color w:val="auto"/>
        </w:rPr>
        <w:t>atters and Issuer</w:t>
      </w:r>
    </w:p>
    <w:p>
      <w:pPr>
        <w:spacing w:after="0" w:line="12" w:lineRule="exact"/>
        <w:rPr>
          <w:sz w:val="20"/>
          <w:szCs w:val="20"/>
          <w:color w:val="auto"/>
        </w:rPr>
      </w:pPr>
    </w:p>
    <w:p>
      <w:pPr>
        <w:ind w:left="150"/>
        <w:spacing w:after="0"/>
        <w:tabs>
          <w:tab w:leader="none" w:pos="1629" w:val="left"/>
        </w:tabs>
        <w:rPr>
          <w:sz w:val="20"/>
          <w:szCs w:val="20"/>
          <w:color w:val="auto"/>
        </w:rPr>
      </w:pPr>
      <w:r>
        <w:rPr>
          <w:rFonts w:ascii="Arial" w:cs="Arial" w:eastAsia="Arial" w:hAnsi="Arial"/>
          <w:sz w:val="24"/>
          <w:szCs w:val="24"/>
          <w:color w:val="auto"/>
        </w:rPr>
        <w:t>urchases of</w:t>
      </w:r>
      <w:r>
        <w:rPr>
          <w:sz w:val="20"/>
          <w:szCs w:val="20"/>
          <w:color w:val="auto"/>
        </w:rPr>
        <w:tab/>
      </w:r>
      <w:r>
        <w:rPr>
          <w:rFonts w:ascii="Arial" w:cs="Arial" w:eastAsia="Arial" w:hAnsi="Arial"/>
          <w:sz w:val="23"/>
          <w:szCs w:val="23"/>
          <w:color w:val="auto"/>
        </w:rPr>
        <w:t>uity Securities</w:t>
      </w:r>
    </w:p>
    <w:p>
      <w:pPr>
        <w:spacing w:after="0" w:line="153" w:lineRule="exact"/>
        <w:rPr>
          <w:sz w:val="20"/>
          <w:szCs w:val="20"/>
          <w:color w:val="auto"/>
        </w:rPr>
      </w:pPr>
    </w:p>
    <w:p>
      <w:pPr>
        <w:ind w:left="150"/>
        <w:spacing w:after="0"/>
        <w:rPr>
          <w:sz w:val="20"/>
          <w:szCs w:val="20"/>
          <w:color w:val="auto"/>
        </w:rPr>
      </w:pPr>
      <w:r>
        <w:rPr>
          <w:rFonts w:ascii="Arial" w:cs="Arial" w:eastAsia="Arial" w:hAnsi="Arial"/>
          <w:sz w:val="20"/>
          <w:szCs w:val="20"/>
          <w:color w:val="auto"/>
        </w:rPr>
        <w:t>ur common stock is listed on the New York Stock Exchange (Symbol: TJX).</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approximate number of common shareholders of record at January 31, 2026 was 1,6 5.</w:t>
      </w:r>
    </w:p>
    <w:p>
      <w:pPr>
        <w:spacing w:after="0" w:line="236" w:lineRule="exact"/>
        <w:rPr>
          <w:sz w:val="20"/>
          <w:szCs w:val="20"/>
          <w:color w:val="auto"/>
        </w:rPr>
      </w:pPr>
    </w:p>
    <w:p>
      <w:pPr>
        <w:ind w:left="10"/>
        <w:spacing w:after="0"/>
        <w:tabs>
          <w:tab w:leader="none" w:pos="1209" w:val="left"/>
          <w:tab w:leader="none" w:pos="3629" w:val="left"/>
          <w:tab w:leader="none" w:pos="4109" w:val="left"/>
        </w:tabs>
        <w:rPr>
          <w:sz w:val="20"/>
          <w:szCs w:val="20"/>
          <w:color w:val="auto"/>
        </w:rPr>
      </w:pPr>
      <w:r>
        <w:rPr>
          <w:rFonts w:ascii="Arial" w:cs="Arial" w:eastAsia="Arial" w:hAnsi="Arial"/>
          <w:sz w:val="22"/>
          <w:szCs w:val="22"/>
          <w:color w:val="auto"/>
        </w:rPr>
        <w:t>INFO</w:t>
      </w:r>
      <w:r>
        <w:rPr>
          <w:sz w:val="20"/>
          <w:szCs w:val="20"/>
          <w:color w:val="auto"/>
        </w:rPr>
        <w:tab/>
      </w:r>
      <w:r>
        <w:rPr>
          <w:rFonts w:ascii="Arial" w:cs="Arial" w:eastAsia="Arial" w:hAnsi="Arial"/>
          <w:sz w:val="22"/>
          <w:szCs w:val="22"/>
          <w:color w:val="auto"/>
        </w:rPr>
        <w:t>ION ON S</w:t>
      </w:r>
      <w:r>
        <w:rPr>
          <w:sz w:val="20"/>
          <w:szCs w:val="20"/>
          <w:color w:val="auto"/>
        </w:rPr>
        <w:tab/>
      </w:r>
      <w:r>
        <w:rPr>
          <w:rFonts w:ascii="Arial" w:cs="Arial" w:eastAsia="Arial" w:hAnsi="Arial"/>
          <w:sz w:val="22"/>
          <w:szCs w:val="22"/>
          <w:color w:val="auto"/>
        </w:rPr>
        <w:t>C</w:t>
        <w:tab/>
        <w:t>S S</w:t>
      </w:r>
    </w:p>
    <w:p>
      <w:pPr>
        <w:spacing w:after="0" w:line="145" w:lineRule="exact"/>
        <w:rPr>
          <w:sz w:val="20"/>
          <w:szCs w:val="20"/>
          <w:color w:val="auto"/>
        </w:rPr>
      </w:pPr>
    </w:p>
    <w:p>
      <w:pPr>
        <w:ind w:left="10" w:right="120"/>
        <w:spacing w:after="0" w:line="283" w:lineRule="auto"/>
        <w:rPr>
          <w:sz w:val="20"/>
          <w:szCs w:val="20"/>
          <w:color w:val="auto"/>
        </w:rPr>
      </w:pPr>
      <w:r>
        <w:rPr>
          <w:rFonts w:ascii="Arial" w:cs="Arial" w:eastAsia="Arial" w:hAnsi="Arial"/>
          <w:sz w:val="20"/>
          <w:szCs w:val="20"/>
          <w:color w:val="auto"/>
        </w:rPr>
        <w:t>The number of shares of common stock repurchased by TJX during the fourth uarter of fiscal 2026 and the average price paid per share are as follows:</w:t>
      </w:r>
    </w:p>
    <w:tbl>
      <w:tblPr>
        <w:tblLayout w:type="fixed"/>
        <w:tblInd w:w="1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60" w:type="dxa"/>
            <w:vAlign w:val="bottom"/>
            <w:vMerge w:val="restart"/>
          </w:tcPr>
          <w:p>
            <w:pPr>
              <w:jc w:val="center"/>
              <w:spacing w:after="0"/>
              <w:rPr>
                <w:sz w:val="20"/>
                <w:szCs w:val="20"/>
                <w:color w:val="auto"/>
              </w:rPr>
            </w:pPr>
            <w:r>
              <w:rPr>
                <w:rFonts w:ascii="Arial" w:cs="Arial" w:eastAsia="Arial" w:hAnsi="Arial"/>
                <w:sz w:val="20"/>
                <w:szCs w:val="20"/>
                <w:color w:val="auto"/>
                <w:w w:val="90"/>
              </w:rPr>
              <w:t>Total Number of Shares</w:t>
            </w:r>
          </w:p>
        </w:tc>
        <w:tc>
          <w:tcPr>
            <w:tcW w:w="200" w:type="dxa"/>
            <w:vAlign w:val="bottom"/>
          </w:tcPr>
          <w:p>
            <w:pPr>
              <w:spacing w:after="0"/>
              <w:rPr>
                <w:sz w:val="19"/>
                <w:szCs w:val="19"/>
                <w:color w:val="auto"/>
              </w:rPr>
            </w:pPr>
          </w:p>
        </w:tc>
        <w:tc>
          <w:tcPr>
            <w:tcW w:w="1920" w:type="dxa"/>
            <w:vAlign w:val="bottom"/>
          </w:tcPr>
          <w:p>
            <w:pPr>
              <w:jc w:val="right"/>
              <w:ind w:right="160"/>
              <w:spacing w:after="0" w:line="223" w:lineRule="exact"/>
              <w:rPr>
                <w:sz w:val="20"/>
                <w:szCs w:val="20"/>
                <w:color w:val="auto"/>
              </w:rPr>
            </w:pPr>
            <w:r>
              <w:rPr>
                <w:rFonts w:ascii="Arial" w:cs="Arial" w:eastAsia="Arial" w:hAnsi="Arial"/>
                <w:sz w:val="20"/>
                <w:szCs w:val="20"/>
                <w:color w:val="auto"/>
                <w:w w:val="96"/>
              </w:rPr>
              <w:t>Approximate Dollar</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1800" w:type="dxa"/>
            <w:vAlign w:val="bottom"/>
            <w:vMerge w:val="restart"/>
          </w:tcPr>
          <w:p>
            <w:pPr>
              <w:jc w:val="right"/>
              <w:ind w:right="580"/>
              <w:spacing w:after="0"/>
              <w:rPr>
                <w:sz w:val="20"/>
                <w:szCs w:val="20"/>
                <w:color w:val="auto"/>
              </w:rPr>
            </w:pPr>
            <w:r>
              <w:rPr>
                <w:rFonts w:ascii="Arial" w:cs="Arial" w:eastAsia="Arial" w:hAnsi="Arial"/>
                <w:sz w:val="20"/>
                <w:szCs w:val="20"/>
                <w:color w:val="auto"/>
              </w:rPr>
              <w:t>Total</w:t>
            </w:r>
          </w:p>
        </w:tc>
        <w:tc>
          <w:tcPr>
            <w:tcW w:w="1300" w:type="dxa"/>
            <w:vAlign w:val="bottom"/>
            <w:gridSpan w:val="2"/>
            <w:vMerge w:val="restart"/>
          </w:tcPr>
          <w:p>
            <w:pPr>
              <w:ind w:left="60"/>
              <w:spacing w:after="0"/>
              <w:rPr>
                <w:sz w:val="20"/>
                <w:szCs w:val="20"/>
                <w:color w:val="auto"/>
              </w:rPr>
            </w:pPr>
            <w:r>
              <w:rPr>
                <w:rFonts w:ascii="Arial" w:cs="Arial" w:eastAsia="Arial" w:hAnsi="Arial"/>
                <w:sz w:val="20"/>
                <w:szCs w:val="20"/>
                <w:color w:val="auto"/>
                <w:w w:val="97"/>
              </w:rPr>
              <w:t>Average Price</w:t>
            </w:r>
          </w:p>
        </w:tc>
        <w:tc>
          <w:tcPr>
            <w:tcW w:w="2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center"/>
              <w:spacing w:after="0" w:line="200" w:lineRule="exact"/>
              <w:rPr>
                <w:sz w:val="20"/>
                <w:szCs w:val="20"/>
                <w:color w:val="auto"/>
              </w:rPr>
            </w:pPr>
            <w:r>
              <w:rPr>
                <w:rFonts w:ascii="Arial" w:cs="Arial" w:eastAsia="Arial" w:hAnsi="Arial"/>
                <w:sz w:val="20"/>
                <w:szCs w:val="20"/>
                <w:color w:val="auto"/>
                <w:w w:val="88"/>
              </w:rPr>
              <w:t>alue of Shares that</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160" w:type="dxa"/>
            <w:vAlign w:val="bottom"/>
          </w:tcPr>
          <w:p>
            <w:pPr>
              <w:jc w:val="center"/>
              <w:spacing w:after="0" w:line="200" w:lineRule="exact"/>
              <w:rPr>
                <w:sz w:val="20"/>
                <w:szCs w:val="20"/>
                <w:color w:val="auto"/>
              </w:rPr>
            </w:pPr>
            <w:r>
              <w:rPr>
                <w:rFonts w:ascii="Arial" w:cs="Arial" w:eastAsia="Arial" w:hAnsi="Arial"/>
                <w:sz w:val="20"/>
                <w:szCs w:val="20"/>
                <w:color w:val="auto"/>
                <w:w w:val="87"/>
              </w:rPr>
              <w:t>Purchased as Part of</w:t>
            </w:r>
          </w:p>
        </w:tc>
        <w:tc>
          <w:tcPr>
            <w:tcW w:w="200" w:type="dxa"/>
            <w:vAlign w:val="bottom"/>
          </w:tcPr>
          <w:p>
            <w:pPr>
              <w:spacing w:after="0"/>
              <w:rPr>
                <w:sz w:val="17"/>
                <w:szCs w:val="17"/>
                <w:color w:val="auto"/>
              </w:rPr>
            </w:pPr>
          </w:p>
        </w:tc>
        <w:tc>
          <w:tcPr>
            <w:tcW w:w="1920" w:type="dxa"/>
            <w:vAlign w:val="bottom"/>
          </w:tcPr>
          <w:p>
            <w:pPr>
              <w:jc w:val="center"/>
              <w:spacing w:after="0" w:line="200" w:lineRule="exact"/>
              <w:rPr>
                <w:sz w:val="20"/>
                <w:szCs w:val="20"/>
                <w:color w:val="auto"/>
              </w:rPr>
            </w:pPr>
            <w:r>
              <w:rPr>
                <w:rFonts w:ascii="Arial" w:cs="Arial" w:eastAsia="Arial" w:hAnsi="Arial"/>
                <w:sz w:val="20"/>
                <w:szCs w:val="20"/>
                <w:color w:val="auto"/>
                <w:w w:val="87"/>
              </w:rPr>
              <w:t>ay Yet be Purchased</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1800" w:type="dxa"/>
            <w:vAlign w:val="bottom"/>
          </w:tcPr>
          <w:p>
            <w:pPr>
              <w:jc w:val="right"/>
              <w:ind w:right="60"/>
              <w:spacing w:after="0" w:line="200" w:lineRule="exact"/>
              <w:rPr>
                <w:sz w:val="20"/>
                <w:szCs w:val="20"/>
                <w:color w:val="auto"/>
              </w:rPr>
            </w:pPr>
            <w:r>
              <w:rPr>
                <w:rFonts w:ascii="Arial" w:cs="Arial" w:eastAsia="Arial" w:hAnsi="Arial"/>
                <w:sz w:val="20"/>
                <w:szCs w:val="20"/>
                <w:color w:val="auto"/>
                <w:w w:val="99"/>
              </w:rPr>
              <w:t>Number of Shares</w:t>
            </w:r>
          </w:p>
        </w:tc>
        <w:tc>
          <w:tcPr>
            <w:tcW w:w="220" w:type="dxa"/>
            <w:vAlign w:val="bottom"/>
          </w:tcPr>
          <w:p>
            <w:pPr>
              <w:spacing w:after="0"/>
              <w:rPr>
                <w:sz w:val="17"/>
                <w:szCs w:val="17"/>
                <w:color w:val="auto"/>
              </w:rPr>
            </w:pPr>
          </w:p>
        </w:tc>
        <w:tc>
          <w:tcPr>
            <w:tcW w:w="1080" w:type="dxa"/>
            <w:vAlign w:val="bottom"/>
          </w:tcPr>
          <w:p>
            <w:pPr>
              <w:jc w:val="center"/>
              <w:ind w:right="160"/>
              <w:spacing w:after="0" w:line="200" w:lineRule="exact"/>
              <w:rPr>
                <w:sz w:val="20"/>
                <w:szCs w:val="20"/>
                <w:color w:val="auto"/>
              </w:rPr>
            </w:pPr>
            <w:r>
              <w:rPr>
                <w:rFonts w:ascii="Arial" w:cs="Arial" w:eastAsia="Arial" w:hAnsi="Arial"/>
                <w:sz w:val="20"/>
                <w:szCs w:val="20"/>
                <w:color w:val="auto"/>
                <w:w w:val="85"/>
              </w:rPr>
              <w:t>Paid Per</w:t>
            </w:r>
          </w:p>
        </w:tc>
        <w:tc>
          <w:tcPr>
            <w:tcW w:w="2160" w:type="dxa"/>
            <w:vAlign w:val="bottom"/>
          </w:tcPr>
          <w:p>
            <w:pPr>
              <w:jc w:val="center"/>
              <w:spacing w:after="0" w:line="200" w:lineRule="exact"/>
              <w:rPr>
                <w:sz w:val="20"/>
                <w:szCs w:val="20"/>
                <w:color w:val="auto"/>
              </w:rPr>
            </w:pPr>
            <w:r>
              <w:rPr>
                <w:rFonts w:ascii="Arial" w:cs="Arial" w:eastAsia="Arial" w:hAnsi="Arial"/>
                <w:sz w:val="20"/>
                <w:szCs w:val="20"/>
                <w:color w:val="auto"/>
                <w:w w:val="93"/>
              </w:rPr>
              <w:t>Publicly Announced</w:t>
            </w:r>
          </w:p>
        </w:tc>
        <w:tc>
          <w:tcPr>
            <w:tcW w:w="200" w:type="dxa"/>
            <w:vAlign w:val="bottom"/>
          </w:tcPr>
          <w:p>
            <w:pPr>
              <w:spacing w:after="0"/>
              <w:rPr>
                <w:sz w:val="17"/>
                <w:szCs w:val="17"/>
                <w:color w:val="auto"/>
              </w:rPr>
            </w:pPr>
          </w:p>
        </w:tc>
        <w:tc>
          <w:tcPr>
            <w:tcW w:w="1920" w:type="dxa"/>
            <w:vAlign w:val="bottom"/>
          </w:tcPr>
          <w:p>
            <w:pPr>
              <w:jc w:val="center"/>
              <w:spacing w:after="0" w:line="200" w:lineRule="exact"/>
              <w:rPr>
                <w:sz w:val="20"/>
                <w:szCs w:val="20"/>
                <w:color w:val="auto"/>
              </w:rPr>
            </w:pPr>
            <w:r>
              <w:rPr>
                <w:rFonts w:ascii="Arial" w:cs="Arial" w:eastAsia="Arial" w:hAnsi="Arial"/>
                <w:sz w:val="20"/>
                <w:szCs w:val="20"/>
                <w:color w:val="auto"/>
                <w:w w:val="87"/>
              </w:rPr>
              <w:t>nder the Plans or</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color w:val="auto"/>
              </w:rPr>
              <w:t>epurchased</w:t>
            </w:r>
            <w:r>
              <w:rPr>
                <w:rFonts w:ascii="Arial" w:cs="Arial" w:eastAsia="Arial" w:hAnsi="Arial"/>
                <w:sz w:val="13"/>
                <w:szCs w:val="13"/>
                <w:color w:val="auto"/>
              </w:rPr>
              <w:t>(a)</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60"/>
              <w:spacing w:after="0"/>
              <w:rPr>
                <w:sz w:val="20"/>
                <w:szCs w:val="20"/>
                <w:color w:val="auto"/>
              </w:rPr>
            </w:pPr>
            <w:r>
              <w:rPr>
                <w:rFonts w:ascii="Arial" w:cs="Arial" w:eastAsia="Arial" w:hAnsi="Arial"/>
                <w:sz w:val="20"/>
                <w:szCs w:val="20"/>
                <w:color w:val="auto"/>
                <w:w w:val="89"/>
              </w:rPr>
              <w:t>Share</w:t>
            </w:r>
            <w:r>
              <w:rPr>
                <w:rFonts w:ascii="Arial" w:cs="Arial" w:eastAsia="Arial" w:hAnsi="Arial"/>
                <w:sz w:val="13"/>
                <w:szCs w:val="13"/>
                <w:color w:val="auto"/>
                <w:w w:val="89"/>
              </w:rPr>
              <w:t>(b)</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Plans or Programs</w:t>
            </w:r>
            <w:r>
              <w:rPr>
                <w:rFonts w:ascii="Arial" w:cs="Arial" w:eastAsia="Arial" w:hAnsi="Arial"/>
                <w:sz w:val="13"/>
                <w:szCs w:val="13"/>
                <w:color w:val="auto"/>
                <w:w w:val="88"/>
              </w:rPr>
              <w:t>(a)</w:t>
            </w: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00"/>
              <w:spacing w:after="0"/>
              <w:rPr>
                <w:sz w:val="20"/>
                <w:szCs w:val="20"/>
                <w:color w:val="auto"/>
              </w:rPr>
            </w:pPr>
            <w:r>
              <w:rPr>
                <w:rFonts w:ascii="Arial" w:cs="Arial" w:eastAsia="Arial" w:hAnsi="Arial"/>
                <w:sz w:val="20"/>
                <w:szCs w:val="20"/>
                <w:color w:val="auto"/>
              </w:rPr>
              <w:t>Programs</w:t>
            </w: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212"/>
        </w:trPr>
        <w:tc>
          <w:tcPr>
            <w:tcW w:w="2880" w:type="dxa"/>
            <w:vAlign w:val="bottom"/>
            <w:shd w:val="clear" w:color="auto" w:fill="E4E4E4"/>
          </w:tcPr>
          <w:p>
            <w:pPr>
              <w:ind w:left="40"/>
              <w:spacing w:after="0" w:line="212" w:lineRule="exact"/>
              <w:rPr>
                <w:sz w:val="20"/>
                <w:szCs w:val="20"/>
                <w:color w:val="auto"/>
              </w:rPr>
            </w:pPr>
            <w:r>
              <w:rPr>
                <w:rFonts w:ascii="Arial" w:cs="Arial" w:eastAsia="Arial" w:hAnsi="Arial"/>
                <w:sz w:val="20"/>
                <w:szCs w:val="20"/>
                <w:color w:val="auto"/>
              </w:rPr>
              <w:t>November 2, 2025 through</w:t>
            </w:r>
          </w:p>
        </w:tc>
        <w:tc>
          <w:tcPr>
            <w:tcW w:w="18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882,442</w:t>
            </w:r>
          </w:p>
        </w:tc>
        <w:tc>
          <w:tcPr>
            <w:tcW w:w="220" w:type="dxa"/>
            <w:vAlign w:val="bottom"/>
            <w:vMerge w:val="restart"/>
            <w:shd w:val="clear" w:color="auto" w:fill="E4E4E4"/>
          </w:tcPr>
          <w:p>
            <w:pPr>
              <w:ind w:left="6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4E4E4"/>
          </w:tcPr>
          <w:p>
            <w:pPr>
              <w:ind w:left="400"/>
              <w:spacing w:after="0"/>
              <w:rPr>
                <w:sz w:val="20"/>
                <w:szCs w:val="20"/>
                <w:color w:val="auto"/>
              </w:rPr>
            </w:pPr>
            <w:r>
              <w:rPr>
                <w:rFonts w:ascii="Arial" w:cs="Arial" w:eastAsia="Arial" w:hAnsi="Arial"/>
                <w:sz w:val="20"/>
                <w:szCs w:val="20"/>
                <w:color w:val="auto"/>
              </w:rPr>
              <w:t>147.43</w:t>
            </w:r>
          </w:p>
        </w:tc>
        <w:tc>
          <w:tcPr>
            <w:tcW w:w="2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882,442</w:t>
            </w:r>
          </w:p>
        </w:tc>
        <w:tc>
          <w:tcPr>
            <w:tcW w:w="2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9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1,723,450,374</w:t>
            </w:r>
          </w:p>
        </w:tc>
        <w:tc>
          <w:tcPr>
            <w:tcW w:w="0" w:type="dxa"/>
            <w:vAlign w:val="bottom"/>
          </w:tcPr>
          <w:p>
            <w:pPr>
              <w:spacing w:after="0"/>
              <w:rPr>
                <w:sz w:val="1"/>
                <w:szCs w:val="1"/>
                <w:color w:val="auto"/>
              </w:rPr>
            </w:pPr>
          </w:p>
        </w:tc>
      </w:tr>
      <w:tr>
        <w:trPr>
          <w:trHeight w:val="273"/>
        </w:trPr>
        <w:tc>
          <w:tcPr>
            <w:tcW w:w="2880" w:type="dxa"/>
            <w:vAlign w:val="bottom"/>
            <w:shd w:val="clear" w:color="auto" w:fill="E4E4E4"/>
          </w:tcPr>
          <w:p>
            <w:pPr>
              <w:ind w:left="40"/>
              <w:spacing w:after="0"/>
              <w:rPr>
                <w:sz w:val="20"/>
                <w:szCs w:val="20"/>
                <w:color w:val="auto"/>
              </w:rPr>
            </w:pPr>
            <w:r>
              <w:rPr>
                <w:rFonts w:ascii="Arial" w:cs="Arial" w:eastAsia="Arial" w:hAnsi="Arial"/>
                <w:sz w:val="20"/>
                <w:szCs w:val="20"/>
                <w:color w:val="auto"/>
              </w:rPr>
              <w:t>November 2 , 2025</w:t>
            </w:r>
          </w:p>
        </w:tc>
        <w:tc>
          <w:tcPr>
            <w:tcW w:w="1800" w:type="dxa"/>
            <w:vAlign w:val="bottom"/>
            <w:vMerge w:val="continue"/>
            <w:shd w:val="clear" w:color="auto" w:fill="E4E4E4"/>
          </w:tcPr>
          <w:p>
            <w:pPr>
              <w:spacing w:after="0"/>
              <w:rPr>
                <w:sz w:val="23"/>
                <w:szCs w:val="23"/>
                <w:color w:val="auto"/>
              </w:rPr>
            </w:pPr>
          </w:p>
        </w:tc>
        <w:tc>
          <w:tcPr>
            <w:tcW w:w="220" w:type="dxa"/>
            <w:vAlign w:val="bottom"/>
            <w:vMerge w:val="continue"/>
            <w:shd w:val="clear" w:color="auto" w:fill="E4E4E4"/>
          </w:tcPr>
          <w:p>
            <w:pPr>
              <w:spacing w:after="0"/>
              <w:rPr>
                <w:sz w:val="23"/>
                <w:szCs w:val="23"/>
                <w:color w:val="auto"/>
              </w:rPr>
            </w:pPr>
          </w:p>
        </w:tc>
        <w:tc>
          <w:tcPr>
            <w:tcW w:w="1080" w:type="dxa"/>
            <w:vAlign w:val="bottom"/>
            <w:vMerge w:val="continue"/>
            <w:shd w:val="clear" w:color="auto" w:fill="E4E4E4"/>
          </w:tcPr>
          <w:p>
            <w:pPr>
              <w:spacing w:after="0"/>
              <w:rPr>
                <w:sz w:val="23"/>
                <w:szCs w:val="23"/>
                <w:color w:val="auto"/>
              </w:rPr>
            </w:pPr>
          </w:p>
        </w:tc>
        <w:tc>
          <w:tcPr>
            <w:tcW w:w="2160" w:type="dxa"/>
            <w:vAlign w:val="bottom"/>
            <w:vMerge w:val="continue"/>
            <w:shd w:val="clear" w:color="auto" w:fill="E4E4E4"/>
          </w:tcPr>
          <w:p>
            <w:pPr>
              <w:spacing w:after="0"/>
              <w:rPr>
                <w:sz w:val="23"/>
                <w:szCs w:val="23"/>
                <w:color w:val="auto"/>
              </w:rPr>
            </w:pPr>
          </w:p>
        </w:tc>
        <w:tc>
          <w:tcPr>
            <w:tcW w:w="200" w:type="dxa"/>
            <w:vAlign w:val="bottom"/>
            <w:vMerge w:val="continue"/>
            <w:shd w:val="clear" w:color="auto" w:fill="E4E4E4"/>
          </w:tcPr>
          <w:p>
            <w:pPr>
              <w:spacing w:after="0"/>
              <w:rPr>
                <w:sz w:val="23"/>
                <w:szCs w:val="23"/>
                <w:color w:val="auto"/>
              </w:rPr>
            </w:pPr>
          </w:p>
        </w:tc>
        <w:tc>
          <w:tcPr>
            <w:tcW w:w="192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880" w:type="dxa"/>
            <w:vAlign w:val="bottom"/>
            <w:shd w:val="clear" w:color="auto" w:fill="FEFEFE"/>
          </w:tcPr>
          <w:p>
            <w:pPr>
              <w:ind w:left="40"/>
              <w:spacing w:after="0" w:line="222" w:lineRule="exact"/>
              <w:rPr>
                <w:sz w:val="20"/>
                <w:szCs w:val="20"/>
                <w:color w:val="auto"/>
              </w:rPr>
            </w:pPr>
            <w:r>
              <w:rPr>
                <w:rFonts w:ascii="Arial" w:cs="Arial" w:eastAsia="Arial" w:hAnsi="Arial"/>
                <w:sz w:val="20"/>
                <w:szCs w:val="20"/>
                <w:color w:val="auto"/>
              </w:rPr>
              <w:t>November 30, 2025 through</w:t>
            </w: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2,328,557</w:t>
            </w:r>
          </w:p>
        </w:tc>
        <w:tc>
          <w:tcPr>
            <w:tcW w:w="220" w:type="dxa"/>
            <w:vAlign w:val="bottom"/>
            <w:vMerge w:val="restart"/>
            <w:shd w:val="clear" w:color="auto" w:fill="FEFEFE"/>
          </w:tcPr>
          <w:p>
            <w:pPr>
              <w:ind w:left="6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FEFEFE"/>
          </w:tcPr>
          <w:p>
            <w:pPr>
              <w:ind w:left="400"/>
              <w:spacing w:after="0"/>
              <w:rPr>
                <w:sz w:val="20"/>
                <w:szCs w:val="20"/>
                <w:color w:val="auto"/>
              </w:rPr>
            </w:pPr>
            <w:r>
              <w:rPr>
                <w:rFonts w:ascii="Arial" w:cs="Arial" w:eastAsia="Arial" w:hAnsi="Arial"/>
                <w:sz w:val="20"/>
                <w:szCs w:val="20"/>
                <w:color w:val="auto"/>
              </w:rPr>
              <w:t>154.51</w:t>
            </w:r>
          </w:p>
        </w:tc>
        <w:tc>
          <w:tcPr>
            <w:tcW w:w="2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2,328,557</w:t>
            </w:r>
          </w:p>
        </w:tc>
        <w:tc>
          <w:tcPr>
            <w:tcW w:w="2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9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1,363,655,3 4</w:t>
            </w:r>
          </w:p>
        </w:tc>
        <w:tc>
          <w:tcPr>
            <w:tcW w:w="0" w:type="dxa"/>
            <w:vAlign w:val="bottom"/>
          </w:tcPr>
          <w:p>
            <w:pPr>
              <w:spacing w:after="0"/>
              <w:rPr>
                <w:sz w:val="1"/>
                <w:szCs w:val="1"/>
                <w:color w:val="auto"/>
              </w:rPr>
            </w:pPr>
          </w:p>
        </w:tc>
      </w:tr>
      <w:tr>
        <w:trPr>
          <w:trHeight w:val="267"/>
        </w:trPr>
        <w:tc>
          <w:tcPr>
            <w:tcW w:w="2880" w:type="dxa"/>
            <w:vAlign w:val="bottom"/>
            <w:shd w:val="clear" w:color="auto" w:fill="FEFEFE"/>
          </w:tcPr>
          <w:p>
            <w:pPr>
              <w:ind w:left="40"/>
              <w:spacing w:after="0"/>
              <w:rPr>
                <w:sz w:val="20"/>
                <w:szCs w:val="20"/>
                <w:color w:val="auto"/>
              </w:rPr>
            </w:pPr>
            <w:r>
              <w:rPr>
                <w:rFonts w:ascii="Arial" w:cs="Arial" w:eastAsia="Arial" w:hAnsi="Arial"/>
                <w:sz w:val="20"/>
                <w:szCs w:val="20"/>
                <w:color w:val="auto"/>
              </w:rPr>
              <w:t>January 3 2026</w:t>
            </w:r>
          </w:p>
        </w:tc>
        <w:tc>
          <w:tcPr>
            <w:tcW w:w="1800" w:type="dxa"/>
            <w:vAlign w:val="bottom"/>
            <w:vMerge w:val="continue"/>
          </w:tcPr>
          <w:p>
            <w:pPr>
              <w:spacing w:after="0"/>
              <w:rPr>
                <w:sz w:val="23"/>
                <w:szCs w:val="23"/>
                <w:color w:val="auto"/>
              </w:rPr>
            </w:pPr>
          </w:p>
        </w:tc>
        <w:tc>
          <w:tcPr>
            <w:tcW w:w="220" w:type="dxa"/>
            <w:vAlign w:val="bottom"/>
            <w:vMerge w:val="continue"/>
            <w:shd w:val="clear" w:color="auto" w:fill="FEFEFE"/>
          </w:tcPr>
          <w:p>
            <w:pPr>
              <w:spacing w:after="0"/>
              <w:rPr>
                <w:sz w:val="23"/>
                <w:szCs w:val="23"/>
                <w:color w:val="auto"/>
              </w:rPr>
            </w:pPr>
          </w:p>
        </w:tc>
        <w:tc>
          <w:tcPr>
            <w:tcW w:w="1080" w:type="dxa"/>
            <w:vAlign w:val="bottom"/>
            <w:vMerge w:val="continue"/>
            <w:shd w:val="clear" w:color="auto" w:fill="FEFEFE"/>
          </w:tcPr>
          <w:p>
            <w:pPr>
              <w:spacing w:after="0"/>
              <w:rPr>
                <w:sz w:val="23"/>
                <w:szCs w:val="23"/>
                <w:color w:val="auto"/>
              </w:rPr>
            </w:pPr>
          </w:p>
        </w:tc>
        <w:tc>
          <w:tcPr>
            <w:tcW w:w="2160" w:type="dxa"/>
            <w:vAlign w:val="bottom"/>
            <w:vMerge w:val="continue"/>
            <w:shd w:val="clear" w:color="auto" w:fill="FEFEFE"/>
          </w:tcPr>
          <w:p>
            <w:pPr>
              <w:spacing w:after="0"/>
              <w:rPr>
                <w:sz w:val="23"/>
                <w:szCs w:val="23"/>
                <w:color w:val="auto"/>
              </w:rPr>
            </w:pPr>
          </w:p>
        </w:tc>
        <w:tc>
          <w:tcPr>
            <w:tcW w:w="200" w:type="dxa"/>
            <w:vAlign w:val="bottom"/>
            <w:vMerge w:val="continue"/>
            <w:shd w:val="clear" w:color="auto" w:fill="FEFEFE"/>
          </w:tcPr>
          <w:p>
            <w:pPr>
              <w:spacing w:after="0"/>
              <w:rPr>
                <w:sz w:val="23"/>
                <w:szCs w:val="23"/>
                <w:color w:val="auto"/>
              </w:rPr>
            </w:pPr>
          </w:p>
        </w:tc>
        <w:tc>
          <w:tcPr>
            <w:tcW w:w="192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880" w:type="dxa"/>
            <w:vAlign w:val="bottom"/>
            <w:shd w:val="clear" w:color="auto" w:fill="E4E4E4"/>
          </w:tcPr>
          <w:p>
            <w:pPr>
              <w:ind w:left="40"/>
              <w:spacing w:after="0" w:line="228" w:lineRule="exact"/>
              <w:rPr>
                <w:sz w:val="20"/>
                <w:szCs w:val="20"/>
                <w:color w:val="auto"/>
              </w:rPr>
            </w:pPr>
            <w:r>
              <w:rPr>
                <w:rFonts w:ascii="Arial" w:cs="Arial" w:eastAsia="Arial" w:hAnsi="Arial"/>
                <w:sz w:val="20"/>
                <w:szCs w:val="20"/>
                <w:color w:val="auto"/>
              </w:rPr>
              <w:t>January 4, 2026 through</w:t>
            </w:r>
          </w:p>
        </w:tc>
        <w:tc>
          <w:tcPr>
            <w:tcW w:w="18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1, 06,6 1</w:t>
            </w:r>
          </w:p>
        </w:tc>
        <w:tc>
          <w:tcPr>
            <w:tcW w:w="220" w:type="dxa"/>
            <w:vAlign w:val="bottom"/>
            <w:vMerge w:val="restart"/>
            <w:shd w:val="clear" w:color="auto" w:fill="E4E4E4"/>
          </w:tcPr>
          <w:p>
            <w:pPr>
              <w:ind w:left="60"/>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E4E4E4"/>
          </w:tcPr>
          <w:p>
            <w:pPr>
              <w:ind w:left="400"/>
              <w:spacing w:after="0"/>
              <w:rPr>
                <w:sz w:val="20"/>
                <w:szCs w:val="20"/>
                <w:color w:val="auto"/>
              </w:rPr>
            </w:pPr>
            <w:r>
              <w:rPr>
                <w:rFonts w:ascii="Arial" w:cs="Arial" w:eastAsia="Arial" w:hAnsi="Arial"/>
                <w:sz w:val="20"/>
                <w:szCs w:val="20"/>
                <w:color w:val="auto"/>
              </w:rPr>
              <w:t>154.0</w:t>
            </w:r>
          </w:p>
        </w:tc>
        <w:tc>
          <w:tcPr>
            <w:tcW w:w="2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1, 06,6 1</w:t>
            </w:r>
          </w:p>
        </w:tc>
        <w:tc>
          <w:tcPr>
            <w:tcW w:w="2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9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4,06 ,854,572</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January 31, 2026</w:t>
            </w:r>
          </w:p>
        </w:tc>
        <w:tc>
          <w:tcPr>
            <w:tcW w:w="1800" w:type="dxa"/>
            <w:vAlign w:val="bottom"/>
            <w:tcBorders>
              <w:bottom w:val="single" w:sz="8" w:color="auto"/>
            </w:tcBorders>
            <w:vMerge w:val="continue"/>
            <w:shd w:val="clear" w:color="auto" w:fill="E4E4E4"/>
          </w:tcPr>
          <w:p>
            <w:pPr>
              <w:spacing w:after="0"/>
              <w:rPr>
                <w:sz w:val="22"/>
                <w:szCs w:val="22"/>
                <w:color w:val="auto"/>
              </w:rPr>
            </w:pPr>
          </w:p>
        </w:tc>
        <w:tc>
          <w:tcPr>
            <w:tcW w:w="220" w:type="dxa"/>
            <w:vAlign w:val="bottom"/>
            <w:tcBorders>
              <w:bottom w:val="single" w:sz="8" w:color="auto"/>
            </w:tcBorders>
            <w:vMerge w:val="continue"/>
            <w:shd w:val="clear" w:color="auto" w:fill="E4E4E4"/>
          </w:tcPr>
          <w:p>
            <w:pPr>
              <w:spacing w:after="0"/>
              <w:rPr>
                <w:sz w:val="22"/>
                <w:szCs w:val="22"/>
                <w:color w:val="auto"/>
              </w:rPr>
            </w:pPr>
          </w:p>
        </w:tc>
        <w:tc>
          <w:tcPr>
            <w:tcW w:w="1080" w:type="dxa"/>
            <w:vAlign w:val="bottom"/>
            <w:tcBorders>
              <w:bottom w:val="single" w:sz="8" w:color="auto"/>
            </w:tcBorders>
            <w:vMerge w:val="continue"/>
            <w:shd w:val="clear" w:color="auto" w:fill="E4E4E4"/>
          </w:tcPr>
          <w:p>
            <w:pPr>
              <w:spacing w:after="0"/>
              <w:rPr>
                <w:sz w:val="22"/>
                <w:szCs w:val="22"/>
                <w:color w:val="auto"/>
              </w:rPr>
            </w:pPr>
          </w:p>
        </w:tc>
        <w:tc>
          <w:tcPr>
            <w:tcW w:w="2160" w:type="dxa"/>
            <w:vAlign w:val="bottom"/>
            <w:tcBorders>
              <w:bottom w:val="single" w:sz="8" w:color="auto"/>
            </w:tcBorders>
            <w:vMerge w:val="continue"/>
            <w:shd w:val="clear" w:color="auto" w:fill="E4E4E4"/>
          </w:tcPr>
          <w:p>
            <w:pPr>
              <w:spacing w:after="0"/>
              <w:rPr>
                <w:sz w:val="22"/>
                <w:szCs w:val="22"/>
                <w:color w:val="auto"/>
              </w:rPr>
            </w:pPr>
          </w:p>
        </w:tc>
        <w:tc>
          <w:tcPr>
            <w:tcW w:w="200" w:type="dxa"/>
            <w:vAlign w:val="bottom"/>
            <w:tcBorders>
              <w:bottom w:val="single" w:sz="8" w:color="auto"/>
            </w:tcBorders>
            <w:vMerge w:val="continue"/>
            <w:shd w:val="clear" w:color="auto" w:fill="E4E4E4"/>
          </w:tcPr>
          <w:p>
            <w:pPr>
              <w:spacing w:after="0"/>
              <w:rPr>
                <w:sz w:val="22"/>
                <w:szCs w:val="22"/>
                <w:color w:val="auto"/>
              </w:rPr>
            </w:pPr>
          </w:p>
        </w:tc>
        <w:tc>
          <w:tcPr>
            <w:tcW w:w="1920" w:type="dxa"/>
            <w:vAlign w:val="bottom"/>
            <w:tcBorders>
              <w:bottom w:val="single" w:sz="8" w:color="auto"/>
            </w:tcBorders>
            <w:vMerge w:val="continue"/>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80" w:type="dxa"/>
            <w:vAlign w:val="bottom"/>
            <w:tcBorders>
              <w:bottom w:val="single" w:sz="8" w:color="auto"/>
            </w:tcBorders>
            <w:shd w:val="clear" w:color="auto" w:fill="FEFEFE"/>
          </w:tcPr>
          <w:p>
            <w:pPr>
              <w:ind w:left="320"/>
              <w:spacing w:after="0"/>
              <w:rPr>
                <w:sz w:val="20"/>
                <w:szCs w:val="20"/>
                <w:color w:val="auto"/>
              </w:rPr>
            </w:pPr>
            <w:r>
              <w:rPr>
                <w:rFonts w:ascii="Arial" w:cs="Arial" w:eastAsia="Arial" w:hAnsi="Arial"/>
                <w:sz w:val="20"/>
                <w:szCs w:val="20"/>
                <w:color w:val="auto"/>
              </w:rPr>
              <w:t>otal</w:t>
            </w:r>
          </w:p>
        </w:tc>
        <w:tc>
          <w:tcPr>
            <w:tcW w:w="18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5,117,690</w:t>
            </w:r>
          </w:p>
        </w:tc>
        <w:tc>
          <w:tcPr>
            <w:tcW w:w="220" w:type="dxa"/>
            <w:vAlign w:val="bottom"/>
            <w:tcBorders>
              <w:bottom w:val="single" w:sz="8" w:color="auto"/>
            </w:tcBorders>
            <w:shd w:val="clear" w:color="auto" w:fill="FEFEFE"/>
          </w:tcPr>
          <w:p>
            <w:pPr>
              <w:spacing w:after="0"/>
              <w:rPr>
                <w:sz w:val="24"/>
                <w:szCs w:val="24"/>
                <w:color w:val="auto"/>
              </w:rPr>
            </w:pPr>
          </w:p>
        </w:tc>
        <w:tc>
          <w:tcPr>
            <w:tcW w:w="1080" w:type="dxa"/>
            <w:vAlign w:val="bottom"/>
            <w:tcBorders>
              <w:bottom w:val="single" w:sz="8" w:color="auto"/>
            </w:tcBorders>
            <w:shd w:val="clear" w:color="auto" w:fill="FEFEFE"/>
          </w:tcPr>
          <w:p>
            <w:pPr>
              <w:spacing w:after="0"/>
              <w:rPr>
                <w:sz w:val="24"/>
                <w:szCs w:val="24"/>
                <w:color w:val="auto"/>
              </w:rPr>
            </w:pPr>
          </w:p>
        </w:tc>
        <w:tc>
          <w:tcPr>
            <w:tcW w:w="2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5,117,690</w:t>
            </w:r>
          </w:p>
        </w:tc>
        <w:tc>
          <w:tcPr>
            <w:tcW w:w="200" w:type="dxa"/>
            <w:vAlign w:val="bottom"/>
            <w:tcBorders>
              <w:bottom w:val="single" w:sz="8" w:color="auto"/>
            </w:tcBorders>
            <w:shd w:val="clear" w:color="auto" w:fill="FEFEFE"/>
          </w:tcPr>
          <w:p>
            <w:pPr>
              <w:spacing w:after="0"/>
              <w:rPr>
                <w:sz w:val="24"/>
                <w:szCs w:val="24"/>
                <w:color w:val="auto"/>
              </w:rPr>
            </w:pPr>
          </w:p>
        </w:tc>
        <w:tc>
          <w:tcPr>
            <w:tcW w:w="192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70" w:hanging="370"/>
        <w:spacing w:after="0"/>
        <w:tabs>
          <w:tab w:leader="none" w:pos="3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shares repurchased under publicly announced stock repurchase programs.</w:t>
      </w:r>
    </w:p>
    <w:p>
      <w:pPr>
        <w:spacing w:after="0" w:line="68" w:lineRule="exact"/>
        <w:rPr>
          <w:rFonts w:ascii="Arial" w:cs="Arial" w:eastAsia="Arial" w:hAnsi="Arial"/>
          <w:sz w:val="16"/>
          <w:szCs w:val="16"/>
          <w:color w:val="auto"/>
        </w:rPr>
      </w:pPr>
    </w:p>
    <w:p>
      <w:pPr>
        <w:ind w:left="370" w:hanging="370"/>
        <w:spacing w:after="0"/>
        <w:tabs>
          <w:tab w:leader="none" w:pos="37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commissions for the shares repurchased under stock repurchase programs.</w:t>
      </w:r>
    </w:p>
    <w:p>
      <w:pPr>
        <w:spacing w:after="0" w:line="68" w:lineRule="exact"/>
        <w:rPr>
          <w:rFonts w:ascii="Arial" w:cs="Arial" w:eastAsia="Arial" w:hAnsi="Arial"/>
          <w:sz w:val="16"/>
          <w:szCs w:val="16"/>
          <w:color w:val="auto"/>
        </w:rPr>
      </w:pPr>
    </w:p>
    <w:p>
      <w:pPr>
        <w:ind w:left="370" w:right="80" w:hanging="370"/>
        <w:spacing w:after="0" w:line="266" w:lineRule="auto"/>
        <w:tabs>
          <w:tab w:leader="none" w:pos="37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February 2026, we announced that our Board of Directors had approved a new stock repurchase program that authori ed the repurchase of up to an additional $3 billion of our common stock from time to time. nder this program and previously announced programs, we had approximately $4.1 billion available for repurchase as of January 31, 2026.</w:t>
      </w:r>
    </w:p>
    <w:p>
      <w:pPr>
        <w:spacing w:after="0" w:line="303" w:lineRule="exact"/>
        <w:rPr>
          <w:sz w:val="20"/>
          <w:szCs w:val="20"/>
          <w:color w:val="auto"/>
        </w:rPr>
      </w:pPr>
    </w:p>
    <w:p>
      <w:pPr>
        <w:ind w:left="10"/>
        <w:spacing w:after="0"/>
        <w:tabs>
          <w:tab w:leader="none" w:pos="689" w:val="left"/>
          <w:tab w:leader="none" w:pos="1149"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6.</w:t>
      </w:r>
      <w:r>
        <w:rPr>
          <w:sz w:val="20"/>
          <w:szCs w:val="20"/>
          <w:color w:val="auto"/>
        </w:rPr>
        <w:tab/>
      </w:r>
      <w:r>
        <w:rPr>
          <w:rFonts w:ascii="Arial" w:cs="Arial" w:eastAsia="Arial" w:hAnsi="Arial"/>
          <w:sz w:val="23"/>
          <w:szCs w:val="23"/>
          <w:color w:val="auto"/>
        </w:rPr>
        <w:t>eser ed</w:t>
      </w:r>
    </w:p>
    <w:p>
      <w:pPr>
        <w:sectPr>
          <w:pgSz w:w="12240" w:h="15841" w:orient="portrait"/>
          <w:cols w:equalWidth="0" w:num="1">
            <w:col w:w="10270"/>
          </w:cols>
          <w:pgMar w:left="99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27</w:t>
      </w:r>
    </w:p>
    <w:p>
      <w:pPr>
        <w:sectPr>
          <w:pgSz w:w="12240" w:h="15841" w:orient="portrait"/>
          <w:cols w:equalWidth="0" w:num="1">
            <w:col w:w="10270"/>
          </w:cols>
          <w:pgMar w:left="990" w:top="771" w:right="981" w:bottom="0" w:gutter="0" w:footer="0" w:header="0"/>
          <w:type w:val="continuous"/>
        </w:sectPr>
      </w:pPr>
    </w:p>
    <w:bookmarkStart w:id="35" w:name="page36"/>
    <w:bookmarkEnd w:id="35"/>
    <w:p>
      <w:pPr>
        <w:spacing w:after="0"/>
        <w:tabs>
          <w:tab w:leader="none" w:pos="680" w:val="left"/>
          <w:tab w:leader="none" w:pos="1200" w:val="left"/>
          <w:tab w:leader="none" w:pos="2720" w:val="left"/>
          <w:tab w:leader="none" w:pos="4320" w:val="left"/>
          <w:tab w:leader="none" w:pos="806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r>
        <w:rPr>
          <w:sz w:val="20"/>
          <w:szCs w:val="20"/>
          <w:color w:val="auto"/>
        </w:rPr>
        <w:tab/>
      </w:r>
      <w:r>
        <w:rPr>
          <w:rFonts w:ascii="Arial" w:cs="Arial" w:eastAsia="Arial" w:hAnsi="Arial"/>
          <w:sz w:val="24"/>
          <w:szCs w:val="24"/>
          <w:color w:val="auto"/>
        </w:rPr>
        <w:t>7.</w:t>
        <w:tab/>
        <w:t>anagement s</w:t>
        <w:tab/>
        <w:t>iscussion and</w:t>
        <w:tab/>
        <w:t>nalysis of Financial Condition and</w:t>
      </w:r>
      <w:r>
        <w:rPr>
          <w:sz w:val="20"/>
          <w:szCs w:val="20"/>
          <w:color w:val="auto"/>
        </w:rPr>
        <w:tab/>
      </w:r>
      <w:r>
        <w:rPr>
          <w:rFonts w:ascii="Arial" w:cs="Arial" w:eastAsia="Arial" w:hAnsi="Arial"/>
          <w:sz w:val="22"/>
          <w:szCs w:val="22"/>
          <w:color w:val="auto"/>
        </w:rPr>
        <w:t>esults of Operations</w:t>
      </w:r>
    </w:p>
    <w:p>
      <w:pPr>
        <w:spacing w:after="0" w:line="153"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TJX provides projections and other forward-looking statements in the following discussions particularly relating to our future financial performance. These forward-looking statements are estimates based on information currently available to us and subject to the cautionary statements set forth on page 3 of this Form 10- . ur results are subject to risks, uncertainties and potentially inaccurate assumptions that could cause actual results to differ materially from those expressed or implied by any such forward-looking statements. Applicable risks and uncertainties include, among others, those described in Part I, Item 1A,</w:t>
      </w:r>
    </w:p>
    <w:p>
      <w:pPr>
        <w:spacing w:after="0" w:line="1" w:lineRule="exact"/>
        <w:rPr>
          <w:sz w:val="20"/>
          <w:szCs w:val="20"/>
          <w:color w:val="auto"/>
        </w:rPr>
      </w:pPr>
    </w:p>
    <w:p>
      <w:pPr>
        <w:ind w:right="140" w:firstLine="133"/>
        <w:spacing w:after="0" w:line="266" w:lineRule="auto"/>
        <w:rPr>
          <w:sz w:val="20"/>
          <w:szCs w:val="20"/>
          <w:color w:val="auto"/>
        </w:rPr>
      </w:pPr>
      <w:r>
        <w:rPr>
          <w:rFonts w:ascii="Arial" w:cs="Arial" w:eastAsia="Arial" w:hAnsi="Arial"/>
          <w:sz w:val="20"/>
          <w:szCs w:val="20"/>
          <w:color w:val="auto"/>
        </w:rPr>
        <w:t>isk Factors, as well as other information we file with the SEC. TJX undertakes no obligation to update or revise any forward-looking statements, even if experience or future changes make it clear that any projected results expressed or implied in such statements will not be reali ed.</w:t>
      </w:r>
    </w:p>
    <w:p>
      <w:pPr>
        <w:spacing w:after="0" w:line="75" w:lineRule="exact"/>
        <w:rPr>
          <w:sz w:val="20"/>
          <w:szCs w:val="20"/>
          <w:color w:val="auto"/>
        </w:rPr>
      </w:pPr>
    </w:p>
    <w:p>
      <w:pPr>
        <w:ind w:right="80"/>
        <w:spacing w:after="0" w:line="310" w:lineRule="auto"/>
        <w:rPr>
          <w:sz w:val="20"/>
          <w:szCs w:val="20"/>
          <w:color w:val="auto"/>
        </w:rPr>
      </w:pPr>
      <w:r>
        <w:rPr>
          <w:rFonts w:ascii="Arial" w:cs="Arial" w:eastAsia="Arial" w:hAnsi="Arial"/>
          <w:sz w:val="19"/>
          <w:szCs w:val="19"/>
          <w:color w:val="auto"/>
        </w:rPr>
        <w:t>The discussion that follows relates to our 52-week fiscal year ended January 31, 2026 (fiscal 2026) and our 52-week fiscal year ended February 1, 2025 (fiscal 2025) and our 52-week fiscal year ended January 30, 2027 (fiscal 2027).</w:t>
      </w:r>
    </w:p>
    <w:p>
      <w:pPr>
        <w:spacing w:after="0" w:line="3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following is a discussion of our consolidated operating results, followed by a discussion of our segment operating results. Discussions of fiscal 2024 items and year-to-year comparisons between fiscal 2025 and fiscal 2024 that are not included in this</w:t>
      </w:r>
    </w:p>
    <w:tbl>
      <w:tblPr>
        <w:tblLayout w:type="fixed"/>
        <w:tblInd w:w="0" w:type="dxa"/>
        <w:tblCellMar>
          <w:top w:w="0" w:type="dxa"/>
          <w:left w:w="0" w:type="dxa"/>
          <w:bottom w:w="0" w:type="dxa"/>
          <w:right w:w="0" w:type="dxa"/>
        </w:tblCellMar>
      </w:tblPr>
      <w:tr>
        <w:trPr>
          <w:trHeight w:val="240"/>
        </w:trPr>
        <w:tc>
          <w:tcPr>
            <w:tcW w:w="2260" w:type="dxa"/>
            <w:vAlign w:val="bottom"/>
            <w:gridSpan w:val="5"/>
          </w:tcPr>
          <w:p>
            <w:pPr>
              <w:spacing w:after="0"/>
              <w:rPr>
                <w:sz w:val="20"/>
                <w:szCs w:val="20"/>
                <w:color w:val="auto"/>
              </w:rPr>
            </w:pPr>
            <w:r>
              <w:rPr>
                <w:rFonts w:ascii="Arial" w:cs="Arial" w:eastAsia="Arial" w:hAnsi="Arial"/>
                <w:sz w:val="20"/>
                <w:szCs w:val="20"/>
                <w:color w:val="auto"/>
                <w:w w:val="97"/>
              </w:rPr>
              <w:t>Form 10-  can be found in</w:t>
            </w:r>
          </w:p>
        </w:tc>
        <w:tc>
          <w:tcPr>
            <w:tcW w:w="8000" w:type="dxa"/>
            <w:vAlign w:val="bottom"/>
            <w:gridSpan w:val="17"/>
          </w:tcPr>
          <w:p>
            <w:pPr>
              <w:ind w:left="220"/>
              <w:spacing w:after="0"/>
              <w:rPr>
                <w:sz w:val="20"/>
                <w:szCs w:val="20"/>
                <w:color w:val="auto"/>
              </w:rPr>
            </w:pPr>
            <w:r>
              <w:rPr>
                <w:rFonts w:ascii="Arial" w:cs="Arial" w:eastAsia="Arial" w:hAnsi="Arial"/>
                <w:sz w:val="20"/>
                <w:szCs w:val="20"/>
                <w:color w:val="auto"/>
                <w:w w:val="94"/>
              </w:rPr>
              <w:t>anagement s Discussion and Analysis of Financial Condition and  esults of  perations  in Part</w:t>
            </w:r>
          </w:p>
        </w:tc>
        <w:tc>
          <w:tcPr>
            <w:tcW w:w="0" w:type="dxa"/>
            <w:vAlign w:val="bottom"/>
          </w:tcPr>
          <w:p>
            <w:pPr>
              <w:spacing w:after="0"/>
              <w:rPr>
                <w:sz w:val="1"/>
                <w:szCs w:val="1"/>
                <w:color w:val="auto"/>
              </w:rPr>
            </w:pPr>
          </w:p>
        </w:tc>
      </w:tr>
      <w:tr>
        <w:trPr>
          <w:trHeight w:val="261"/>
        </w:trPr>
        <w:tc>
          <w:tcPr>
            <w:tcW w:w="3520" w:type="dxa"/>
            <w:vAlign w:val="bottom"/>
            <w:gridSpan w:val="8"/>
          </w:tcPr>
          <w:p>
            <w:pPr>
              <w:spacing w:after="0"/>
              <w:rPr>
                <w:sz w:val="20"/>
                <w:szCs w:val="20"/>
                <w:color w:val="auto"/>
              </w:rPr>
            </w:pPr>
            <w:r>
              <w:rPr>
                <w:rFonts w:ascii="Arial" w:cs="Arial" w:eastAsia="Arial" w:hAnsi="Arial"/>
                <w:sz w:val="20"/>
                <w:szCs w:val="20"/>
                <w:color w:val="auto"/>
                <w:w w:val="93"/>
              </w:rPr>
              <w:t>II, Item 7 of our annual report on Form 10-</w:t>
            </w:r>
          </w:p>
        </w:tc>
        <w:tc>
          <w:tcPr>
            <w:tcW w:w="3760" w:type="dxa"/>
            <w:vAlign w:val="bottom"/>
            <w:gridSpan w:val="5"/>
          </w:tcPr>
          <w:p>
            <w:pPr>
              <w:ind w:left="100"/>
              <w:spacing w:after="0"/>
              <w:rPr>
                <w:sz w:val="20"/>
                <w:szCs w:val="20"/>
                <w:color w:val="auto"/>
              </w:rPr>
            </w:pPr>
            <w:r>
              <w:rPr>
                <w:rFonts w:ascii="Arial" w:cs="Arial" w:eastAsia="Arial" w:hAnsi="Arial"/>
                <w:sz w:val="20"/>
                <w:szCs w:val="20"/>
                <w:color w:val="auto"/>
                <w:w w:val="96"/>
              </w:rPr>
              <w:t>for the fiscal year ended February 1, 2025.</w:t>
            </w:r>
          </w:p>
        </w:tc>
        <w:tc>
          <w:tcPr>
            <w:tcW w:w="1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620" w:type="dxa"/>
            <w:vAlign w:val="bottom"/>
            <w:gridSpan w:val="3"/>
          </w:tcPr>
          <w:p>
            <w:pPr>
              <w:spacing w:after="0"/>
              <w:rPr>
                <w:sz w:val="20"/>
                <w:szCs w:val="20"/>
                <w:color w:val="auto"/>
              </w:rPr>
            </w:pPr>
            <w:r>
              <w:rPr>
                <w:rFonts w:ascii="Arial" w:cs="Arial" w:eastAsia="Arial" w:hAnsi="Arial"/>
                <w:sz w:val="22"/>
                <w:szCs w:val="22"/>
                <w:color w:val="auto"/>
              </w:rPr>
              <w:t>O</w:t>
            </w:r>
          </w:p>
        </w:tc>
        <w:tc>
          <w:tcPr>
            <w:tcW w:w="800" w:type="dxa"/>
            <w:vAlign w:val="bottom"/>
          </w:tcPr>
          <w:p>
            <w:pPr>
              <w:ind w:left="160"/>
              <w:spacing w:after="0"/>
              <w:rPr>
                <w:sz w:val="20"/>
                <w:szCs w:val="20"/>
                <w:color w:val="auto"/>
              </w:rPr>
            </w:pPr>
            <w:r>
              <w:rPr>
                <w:rFonts w:ascii="Arial" w:cs="Arial" w:eastAsia="Arial" w:hAnsi="Arial"/>
                <w:sz w:val="22"/>
                <w:szCs w:val="22"/>
                <w:color w:val="auto"/>
              </w:rPr>
              <w:t>I</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spacing w:after="0"/>
              <w:rPr>
                <w:sz w:val="14"/>
                <w:szCs w:val="14"/>
                <w:color w:val="auto"/>
              </w:rPr>
            </w:pPr>
          </w:p>
        </w:tc>
        <w:tc>
          <w:tcPr>
            <w:tcW w:w="920" w:type="dxa"/>
            <w:vAlign w:val="bottom"/>
            <w:gridSpan w:val="2"/>
          </w:tcPr>
          <w:p>
            <w:pPr>
              <w:spacing w:after="0"/>
              <w:rPr>
                <w:sz w:val="14"/>
                <w:szCs w:val="14"/>
                <w:color w:val="auto"/>
              </w:rPr>
            </w:pPr>
          </w:p>
        </w:tc>
        <w:tc>
          <w:tcPr>
            <w:tcW w:w="2860" w:type="dxa"/>
            <w:vAlign w:val="bottom"/>
            <w:gridSpan w:val="3"/>
          </w:tcPr>
          <w:p>
            <w:pPr>
              <w:spacing w:after="0"/>
              <w:rPr>
                <w:sz w:val="14"/>
                <w:szCs w:val="14"/>
                <w:color w:val="auto"/>
              </w:rPr>
            </w:pPr>
          </w:p>
        </w:tc>
        <w:tc>
          <w:tcPr>
            <w:tcW w:w="92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60" w:type="dxa"/>
            <w:vAlign w:val="bottom"/>
            <w:gridSpan w:val="12"/>
            <w:shd w:val="clear" w:color="auto" w:fill="FEFEFE"/>
          </w:tcPr>
          <w:p>
            <w:pPr>
              <w:ind w:left="160"/>
              <w:spacing w:after="0" w:line="182" w:lineRule="exact"/>
              <w:rPr>
                <w:sz w:val="20"/>
                <w:szCs w:val="20"/>
                <w:color w:val="auto"/>
              </w:rPr>
            </w:pPr>
            <w:r>
              <w:rPr>
                <w:rFonts w:ascii="Arial" w:cs="Arial" w:eastAsia="Arial" w:hAnsi="Arial"/>
                <w:sz w:val="20"/>
                <w:szCs w:val="20"/>
                <w:color w:val="auto"/>
                <w:w w:val="92"/>
              </w:rPr>
              <w:t>e are the leading off-price apparel and home fashions retailer in the  .S. and worldwide.</w:t>
            </w:r>
          </w:p>
        </w:tc>
        <w:tc>
          <w:tcPr>
            <w:tcW w:w="2980" w:type="dxa"/>
            <w:vAlign w:val="bottom"/>
            <w:gridSpan w:val="9"/>
            <w:shd w:val="clear" w:color="auto" w:fill="FEFEFE"/>
          </w:tcPr>
          <w:p>
            <w:pPr>
              <w:ind w:left="160"/>
              <w:spacing w:after="0" w:line="182" w:lineRule="exact"/>
              <w:rPr>
                <w:sz w:val="20"/>
                <w:szCs w:val="20"/>
                <w:color w:val="auto"/>
              </w:rPr>
            </w:pPr>
            <w:r>
              <w:rPr>
                <w:rFonts w:ascii="Arial" w:cs="Arial" w:eastAsia="Arial" w:hAnsi="Arial"/>
                <w:sz w:val="20"/>
                <w:szCs w:val="20"/>
                <w:color w:val="auto"/>
                <w:w w:val="92"/>
              </w:rPr>
              <w:t>ur mission is to deliver great value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286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242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28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gridSpan w:val="4"/>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89"/>
              </w:rPr>
              <w:t>to our customers every day.</w:t>
            </w:r>
          </w:p>
        </w:tc>
        <w:tc>
          <w:tcPr>
            <w:tcW w:w="7120" w:type="dxa"/>
            <w:vAlign w:val="bottom"/>
            <w:gridSpan w:val="10"/>
            <w:shd w:val="clear" w:color="auto" w:fill="FEFEFE"/>
          </w:tcPr>
          <w:p>
            <w:pPr>
              <w:jc w:val="right"/>
              <w:spacing w:after="0" w:line="182" w:lineRule="exact"/>
              <w:rPr>
                <w:sz w:val="20"/>
                <w:szCs w:val="20"/>
                <w:color w:val="auto"/>
              </w:rPr>
            </w:pPr>
            <w:r>
              <w:rPr>
                <w:rFonts w:ascii="Arial" w:cs="Arial" w:eastAsia="Arial" w:hAnsi="Arial"/>
                <w:sz w:val="20"/>
                <w:szCs w:val="20"/>
                <w:color w:val="auto"/>
                <w:highlight w:val="white"/>
                <w:w w:val="92"/>
              </w:rPr>
              <w:t>e do this by selling a rapidly changing assortment of apparel, home fashions and other</w:t>
            </w: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gridSpan w:val="3"/>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2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2440" w:type="dxa"/>
            <w:vAlign w:val="bottom"/>
            <w:gridSpan w:val="4"/>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gridSpan w:val="5"/>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89"/>
              </w:rPr>
              <w:t>merchandise at prices generally 20</w:t>
            </w:r>
          </w:p>
        </w:tc>
        <w:tc>
          <w:tcPr>
            <w:tcW w:w="700" w:type="dxa"/>
            <w:vAlign w:val="bottom"/>
            <w:gridSpan w:val="2"/>
            <w:shd w:val="clear" w:color="auto" w:fill="FEFEFE"/>
          </w:tcPr>
          <w:p>
            <w:pPr>
              <w:ind w:left="160"/>
              <w:spacing w:after="0" w:line="182" w:lineRule="exact"/>
              <w:rPr>
                <w:sz w:val="20"/>
                <w:szCs w:val="20"/>
                <w:color w:val="auto"/>
              </w:rPr>
            </w:pPr>
            <w:r>
              <w:rPr>
                <w:rFonts w:ascii="Arial" w:cs="Arial" w:eastAsia="Arial" w:hAnsi="Arial"/>
                <w:sz w:val="20"/>
                <w:szCs w:val="20"/>
                <w:color w:val="auto"/>
                <w:highlight w:val="white"/>
              </w:rPr>
              <w:t>to 60</w:t>
            </w:r>
          </w:p>
        </w:tc>
        <w:tc>
          <w:tcPr>
            <w:tcW w:w="6260" w:type="dxa"/>
            <w:vAlign w:val="bottom"/>
            <w:gridSpan w:val="11"/>
            <w:shd w:val="clear" w:color="auto" w:fill="FEFEFE"/>
          </w:tcPr>
          <w:p>
            <w:pPr>
              <w:ind w:left="80"/>
              <w:spacing w:after="0" w:line="182" w:lineRule="exact"/>
              <w:rPr>
                <w:sz w:val="20"/>
                <w:szCs w:val="20"/>
                <w:color w:val="auto"/>
              </w:rPr>
            </w:pPr>
            <w:r>
              <w:rPr>
                <w:rFonts w:ascii="Arial" w:cs="Arial" w:eastAsia="Arial" w:hAnsi="Arial"/>
                <w:sz w:val="20"/>
                <w:szCs w:val="20"/>
                <w:color w:val="auto"/>
                <w:highlight w:val="white"/>
                <w:w w:val="93"/>
              </w:rPr>
              <w:t>below full-price retailers’ (including department, specialty, and major online</w:t>
            </w:r>
          </w:p>
        </w:tc>
        <w:tc>
          <w:tcPr>
            <w:tcW w:w="2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286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1880" w:type="dxa"/>
            <w:vAlign w:val="bottom"/>
            <w:gridSpan w:val="2"/>
          </w:tcPr>
          <w:p>
            <w:pPr>
              <w:spacing w:after="0"/>
              <w:rPr>
                <w:sz w:val="5"/>
                <w:szCs w:val="5"/>
                <w:color w:val="auto"/>
              </w:rPr>
            </w:pPr>
          </w:p>
        </w:tc>
        <w:tc>
          <w:tcPr>
            <w:tcW w:w="5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14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gridSpan w:val="13"/>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91"/>
              </w:rPr>
              <w:t>retailers) regular prices on comparable merchandise, every day through our stores and six e-commerce sites.</w:t>
            </w:r>
          </w:p>
        </w:tc>
        <w:tc>
          <w:tcPr>
            <w:tcW w:w="1220" w:type="dxa"/>
            <w:vAlign w:val="bottom"/>
            <w:gridSpan w:val="6"/>
            <w:shd w:val="clear" w:color="auto" w:fill="FEFEFE"/>
          </w:tcPr>
          <w:p>
            <w:pPr>
              <w:ind w:left="40"/>
              <w:spacing w:after="0" w:line="182" w:lineRule="exact"/>
              <w:rPr>
                <w:sz w:val="20"/>
                <w:szCs w:val="20"/>
                <w:color w:val="auto"/>
              </w:rPr>
            </w:pPr>
            <w:r>
              <w:rPr>
                <w:rFonts w:ascii="Arial" w:cs="Arial" w:eastAsia="Arial" w:hAnsi="Arial"/>
                <w:sz w:val="20"/>
                <w:szCs w:val="20"/>
                <w:color w:val="auto"/>
                <w:highlight w:val="white"/>
                <w:w w:val="89"/>
              </w:rPr>
              <w:t>e operate over</w:t>
            </w:r>
          </w:p>
        </w:tc>
        <w:tc>
          <w:tcPr>
            <w:tcW w:w="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20" w:type="dxa"/>
            <w:vAlign w:val="bottom"/>
            <w:vMerge w:val="restart"/>
          </w:tcPr>
          <w:p>
            <w:pPr>
              <w:spacing w:after="0"/>
              <w:rPr>
                <w:sz w:val="20"/>
                <w:szCs w:val="20"/>
                <w:color w:val="auto"/>
              </w:rPr>
            </w:pPr>
            <w:r>
              <w:rPr>
                <w:rFonts w:ascii="Arial" w:cs="Arial" w:eastAsia="Arial" w:hAnsi="Arial"/>
                <w:sz w:val="20"/>
                <w:szCs w:val="20"/>
                <w:color w:val="auto"/>
                <w:w w:val="79"/>
              </w:rPr>
              <w:t>5,200</w:t>
            </w:r>
          </w:p>
        </w:tc>
        <w:tc>
          <w:tcPr>
            <w:tcW w:w="1820" w:type="dxa"/>
            <w:vAlign w:val="bottom"/>
            <w:gridSpan w:val="3"/>
          </w:tcPr>
          <w:p>
            <w:pPr>
              <w:spacing w:after="0"/>
              <w:rPr>
                <w:sz w:val="5"/>
                <w:szCs w:val="5"/>
                <w:color w:val="auto"/>
              </w:rPr>
            </w:pPr>
          </w:p>
        </w:tc>
        <w:tc>
          <w:tcPr>
            <w:tcW w:w="920" w:type="dxa"/>
            <w:vAlign w:val="bottom"/>
            <w:gridSpan w:val="2"/>
            <w:vMerge w:val="restart"/>
          </w:tcPr>
          <w:p>
            <w:pPr>
              <w:spacing w:after="0"/>
              <w:rPr>
                <w:sz w:val="20"/>
                <w:szCs w:val="20"/>
                <w:color w:val="auto"/>
              </w:rPr>
            </w:pPr>
            <w:r>
              <w:rPr>
                <w:rFonts w:ascii="Arial" w:cs="Arial" w:eastAsia="Arial" w:hAnsi="Arial"/>
                <w:sz w:val="20"/>
                <w:szCs w:val="20"/>
                <w:color w:val="auto"/>
                <w:w w:val="86"/>
              </w:rPr>
              <w:t>r segments:</w:t>
            </w:r>
          </w:p>
        </w:tc>
        <w:tc>
          <w:tcPr>
            <w:tcW w:w="96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120" w:type="dxa"/>
            <w:vAlign w:val="bottom"/>
            <w:gridSpan w:val="3"/>
          </w:tcPr>
          <w:p>
            <w:pPr>
              <w:spacing w:after="0"/>
              <w:rPr>
                <w:sz w:val="5"/>
                <w:szCs w:val="5"/>
                <w:color w:val="auto"/>
              </w:rPr>
            </w:pPr>
          </w:p>
        </w:tc>
        <w:tc>
          <w:tcPr>
            <w:tcW w:w="16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440" w:type="dxa"/>
            <w:vAlign w:val="bottom"/>
            <w:gridSpan w:val="2"/>
            <w:vMerge w:val="restart"/>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820" w:type="dxa"/>
            <w:vAlign w:val="bottom"/>
            <w:gridSpan w:val="3"/>
            <w:shd w:val="clear" w:color="auto" w:fill="FEFEFE"/>
          </w:tcPr>
          <w:p>
            <w:pPr>
              <w:ind w:left="60"/>
              <w:spacing w:after="0" w:line="182" w:lineRule="exact"/>
              <w:rPr>
                <w:sz w:val="20"/>
                <w:szCs w:val="20"/>
                <w:color w:val="auto"/>
              </w:rPr>
            </w:pPr>
            <w:r>
              <w:rPr>
                <w:rFonts w:ascii="Arial" w:cs="Arial" w:eastAsia="Arial" w:hAnsi="Arial"/>
                <w:sz w:val="20"/>
                <w:szCs w:val="20"/>
                <w:color w:val="auto"/>
                <w:highlight w:val="white"/>
                <w:w w:val="88"/>
              </w:rPr>
              <w:t>stores through our fou</w:t>
            </w:r>
          </w:p>
        </w:tc>
        <w:tc>
          <w:tcPr>
            <w:tcW w:w="920" w:type="dxa"/>
            <w:vAlign w:val="bottom"/>
            <w:gridSpan w:val="2"/>
            <w:vMerge w:val="continue"/>
          </w:tcPr>
          <w:p>
            <w:pPr>
              <w:spacing w:after="0"/>
              <w:rPr>
                <w:sz w:val="15"/>
                <w:szCs w:val="15"/>
                <w:color w:val="auto"/>
              </w:rPr>
            </w:pPr>
          </w:p>
        </w:tc>
        <w:tc>
          <w:tcPr>
            <w:tcW w:w="960" w:type="dxa"/>
            <w:vAlign w:val="bottom"/>
            <w:gridSpan w:val="2"/>
            <w:shd w:val="clear" w:color="auto" w:fill="FEFEFE"/>
          </w:tcPr>
          <w:p>
            <w:pPr>
              <w:ind w:left="40"/>
              <w:spacing w:after="0" w:line="182" w:lineRule="exact"/>
              <w:rPr>
                <w:sz w:val="20"/>
                <w:szCs w:val="20"/>
                <w:color w:val="auto"/>
              </w:rPr>
            </w:pPr>
            <w:r>
              <w:rPr>
                <w:rFonts w:ascii="Arial" w:cs="Arial" w:eastAsia="Arial" w:hAnsi="Arial"/>
                <w:sz w:val="20"/>
                <w:szCs w:val="20"/>
                <w:color w:val="auto"/>
                <w:w w:val="99"/>
              </w:rPr>
              <w:t>in the  .S.,</w:t>
            </w:r>
          </w:p>
        </w:tc>
        <w:tc>
          <w:tcPr>
            <w:tcW w:w="2400" w:type="dxa"/>
            <w:vAlign w:val="bottom"/>
            <w:gridSpan w:val="2"/>
            <w:shd w:val="clear" w:color="auto" w:fill="FEFEFE"/>
          </w:tcPr>
          <w:p>
            <w:pPr>
              <w:jc w:val="right"/>
              <w:spacing w:after="0" w:line="182" w:lineRule="exact"/>
              <w:rPr>
                <w:sz w:val="20"/>
                <w:szCs w:val="20"/>
                <w:color w:val="auto"/>
              </w:rPr>
            </w:pPr>
            <w:r>
              <w:rPr>
                <w:rFonts w:ascii="Arial" w:cs="Arial" w:eastAsia="Arial" w:hAnsi="Arial"/>
                <w:sz w:val="20"/>
                <w:szCs w:val="20"/>
                <w:color w:val="auto"/>
                <w:w w:val="98"/>
              </w:rPr>
              <w:t>armaxx (which operates TJ</w:t>
            </w:r>
          </w:p>
        </w:tc>
        <w:tc>
          <w:tcPr>
            <w:tcW w:w="740" w:type="dxa"/>
            <w:vAlign w:val="bottom"/>
            <w:gridSpan w:val="2"/>
            <w:shd w:val="clear" w:color="auto" w:fill="FEFEFE"/>
          </w:tcPr>
          <w:p>
            <w:pPr>
              <w:ind w:left="220"/>
              <w:spacing w:after="0" w:line="182" w:lineRule="exact"/>
              <w:rPr>
                <w:sz w:val="20"/>
                <w:szCs w:val="20"/>
                <w:color w:val="auto"/>
              </w:rPr>
            </w:pPr>
            <w:r>
              <w:rPr>
                <w:rFonts w:ascii="Arial" w:cs="Arial" w:eastAsia="Arial" w:hAnsi="Arial"/>
                <w:sz w:val="20"/>
                <w:szCs w:val="20"/>
                <w:color w:val="auto"/>
              </w:rPr>
              <w:t>axx,</w:t>
            </w:r>
          </w:p>
        </w:tc>
        <w:tc>
          <w:tcPr>
            <w:tcW w:w="2120" w:type="dxa"/>
            <w:vAlign w:val="bottom"/>
            <w:gridSpan w:val="3"/>
            <w:shd w:val="clear" w:color="auto" w:fill="FEFEFE"/>
          </w:tcPr>
          <w:p>
            <w:pPr>
              <w:jc w:val="right"/>
              <w:ind w:right="80"/>
              <w:spacing w:after="0" w:line="182" w:lineRule="exact"/>
              <w:rPr>
                <w:sz w:val="20"/>
                <w:szCs w:val="20"/>
                <w:color w:val="auto"/>
              </w:rPr>
            </w:pPr>
            <w:r>
              <w:rPr>
                <w:rFonts w:ascii="Arial" w:cs="Arial" w:eastAsia="Arial" w:hAnsi="Arial"/>
                <w:sz w:val="20"/>
                <w:szCs w:val="20"/>
                <w:color w:val="auto"/>
                <w:w w:val="91"/>
              </w:rPr>
              <w:t>arshalls, tjmaxx.com and</w:t>
            </w:r>
          </w:p>
        </w:tc>
        <w:tc>
          <w:tcPr>
            <w:tcW w:w="1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2240" w:type="dxa"/>
            <w:vAlign w:val="bottom"/>
            <w:gridSpan w:val="4"/>
          </w:tcPr>
          <w:p>
            <w:pPr>
              <w:spacing w:after="0"/>
              <w:rPr>
                <w:sz w:val="5"/>
                <w:szCs w:val="5"/>
                <w:color w:val="auto"/>
              </w:rPr>
            </w:pPr>
          </w:p>
        </w:tc>
        <w:tc>
          <w:tcPr>
            <w:tcW w:w="920" w:type="dxa"/>
            <w:vAlign w:val="bottom"/>
            <w:gridSpan w:val="2"/>
          </w:tcPr>
          <w:p>
            <w:pPr>
              <w:spacing w:after="0"/>
              <w:rPr>
                <w:sz w:val="5"/>
                <w:szCs w:val="5"/>
                <w:color w:val="auto"/>
              </w:rPr>
            </w:pPr>
          </w:p>
        </w:tc>
        <w:tc>
          <w:tcPr>
            <w:tcW w:w="96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1880" w:type="dxa"/>
            <w:vAlign w:val="bottom"/>
            <w:gridSpan w:val="2"/>
          </w:tcPr>
          <w:p>
            <w:pPr>
              <w:spacing w:after="0"/>
              <w:rPr>
                <w:sz w:val="5"/>
                <w:szCs w:val="5"/>
                <w:color w:val="auto"/>
              </w:rPr>
            </w:pPr>
          </w:p>
        </w:tc>
        <w:tc>
          <w:tcPr>
            <w:tcW w:w="72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240" w:type="dxa"/>
            <w:vAlign w:val="bottom"/>
            <w:gridSpan w:val="4"/>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98"/>
              </w:rPr>
              <w:t>marshalls.com) and  ome</w:t>
            </w:r>
          </w:p>
        </w:tc>
        <w:tc>
          <w:tcPr>
            <w:tcW w:w="920" w:type="dxa"/>
            <w:vAlign w:val="bottom"/>
            <w:gridSpan w:val="2"/>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84"/>
              </w:rPr>
              <w:t>oods (which</w:t>
            </w:r>
          </w:p>
        </w:tc>
        <w:tc>
          <w:tcPr>
            <w:tcW w:w="960" w:type="dxa"/>
            <w:vAlign w:val="bottom"/>
            <w:gridSpan w:val="2"/>
            <w:shd w:val="clear" w:color="auto" w:fill="FEFEFE"/>
          </w:tcPr>
          <w:p>
            <w:pPr>
              <w:ind w:left="100"/>
              <w:spacing w:after="0" w:line="182" w:lineRule="exact"/>
              <w:rPr>
                <w:sz w:val="20"/>
                <w:szCs w:val="20"/>
                <w:color w:val="auto"/>
              </w:rPr>
            </w:pPr>
            <w:r>
              <w:rPr>
                <w:rFonts w:ascii="Arial" w:cs="Arial" w:eastAsia="Arial" w:hAnsi="Arial"/>
                <w:sz w:val="20"/>
                <w:szCs w:val="20"/>
                <w:color w:val="auto"/>
                <w:highlight w:val="white"/>
              </w:rPr>
              <w:t>operates</w:t>
            </w:r>
          </w:p>
        </w:tc>
        <w:tc>
          <w:tcPr>
            <w:tcW w:w="4700" w:type="dxa"/>
            <w:vAlign w:val="bottom"/>
            <w:gridSpan w:val="5"/>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92"/>
              </w:rPr>
              <w:t>ome  oods and  omesense) TJX Canada (which operates</w:t>
            </w:r>
          </w:p>
        </w:tc>
        <w:tc>
          <w:tcPr>
            <w:tcW w:w="780" w:type="dxa"/>
            <w:vAlign w:val="bottom"/>
            <w:gridSpan w:val="4"/>
            <w:shd w:val="clear" w:color="auto" w:fill="FEFEFE"/>
          </w:tcPr>
          <w:p>
            <w:pPr>
              <w:ind w:left="200"/>
              <w:spacing w:after="0" w:line="182" w:lineRule="exact"/>
              <w:rPr>
                <w:sz w:val="20"/>
                <w:szCs w:val="20"/>
                <w:color w:val="auto"/>
              </w:rPr>
            </w:pPr>
            <w:r>
              <w:rPr>
                <w:rFonts w:ascii="Arial" w:cs="Arial" w:eastAsia="Arial" w:hAnsi="Arial"/>
                <w:sz w:val="20"/>
                <w:szCs w:val="20"/>
                <w:color w:val="auto"/>
                <w:highlight w:val="white"/>
                <w:w w:val="93"/>
              </w:rPr>
              <w:t>inners,</w:t>
            </w:r>
          </w:p>
        </w:tc>
        <w:tc>
          <w:tcPr>
            <w:tcW w:w="58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0" w:type="dxa"/>
            <w:vAlign w:val="bottom"/>
            <w:gridSpan w:val="3"/>
          </w:tcPr>
          <w:p>
            <w:pPr>
              <w:spacing w:after="0"/>
              <w:rPr>
                <w:sz w:val="5"/>
                <w:szCs w:val="5"/>
                <w:color w:val="auto"/>
              </w:rPr>
            </w:pPr>
          </w:p>
        </w:tc>
        <w:tc>
          <w:tcPr>
            <w:tcW w:w="4620" w:type="dxa"/>
            <w:vAlign w:val="bottom"/>
            <w:gridSpan w:val="6"/>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4"/>
          </w:tcPr>
          <w:p>
            <w:pPr>
              <w:spacing w:after="0"/>
              <w:rPr>
                <w:sz w:val="5"/>
                <w:szCs w:val="5"/>
                <w:color w:val="auto"/>
              </w:rPr>
            </w:pPr>
          </w:p>
        </w:tc>
        <w:tc>
          <w:tcPr>
            <w:tcW w:w="640" w:type="dxa"/>
            <w:vAlign w:val="bottom"/>
            <w:gridSpan w:val="4"/>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3"/>
            <w:shd w:val="clear" w:color="auto" w:fill="FEFEFE"/>
          </w:tcPr>
          <w:p>
            <w:pPr>
              <w:ind w:left="120"/>
              <w:spacing w:after="0" w:line="182" w:lineRule="exact"/>
              <w:rPr>
                <w:sz w:val="20"/>
                <w:szCs w:val="20"/>
                <w:color w:val="auto"/>
              </w:rPr>
            </w:pPr>
            <w:r>
              <w:rPr>
                <w:rFonts w:ascii="Arial" w:cs="Arial" w:eastAsia="Arial" w:hAnsi="Arial"/>
                <w:sz w:val="20"/>
                <w:szCs w:val="20"/>
                <w:color w:val="auto"/>
                <w:w w:val="93"/>
              </w:rPr>
              <w:t>omeSense and</w:t>
            </w:r>
          </w:p>
        </w:tc>
        <w:tc>
          <w:tcPr>
            <w:tcW w:w="5120" w:type="dxa"/>
            <w:vAlign w:val="bottom"/>
            <w:gridSpan w:val="7"/>
            <w:shd w:val="clear" w:color="auto" w:fill="FEFEFE"/>
          </w:tcPr>
          <w:p>
            <w:pPr>
              <w:jc w:val="right"/>
              <w:ind w:right="40"/>
              <w:spacing w:after="0" w:line="182" w:lineRule="exact"/>
              <w:rPr>
                <w:sz w:val="20"/>
                <w:szCs w:val="20"/>
                <w:color w:val="auto"/>
              </w:rPr>
            </w:pPr>
            <w:r>
              <w:rPr>
                <w:rFonts w:ascii="Arial" w:cs="Arial" w:eastAsia="Arial" w:hAnsi="Arial"/>
                <w:sz w:val="20"/>
                <w:szCs w:val="20"/>
                <w:color w:val="auto"/>
                <w:w w:val="93"/>
              </w:rPr>
              <w:t>arshalls in Canada) and TJX International (which operates T</w:t>
            </w:r>
          </w:p>
        </w:tc>
        <w:tc>
          <w:tcPr>
            <w:tcW w:w="740" w:type="dxa"/>
            <w:vAlign w:val="bottom"/>
            <w:gridSpan w:val="2"/>
            <w:shd w:val="clear" w:color="auto" w:fill="FEFEFE"/>
          </w:tcPr>
          <w:p>
            <w:pPr>
              <w:ind w:left="220"/>
              <w:spacing w:after="0" w:line="182" w:lineRule="exact"/>
              <w:rPr>
                <w:sz w:val="20"/>
                <w:szCs w:val="20"/>
                <w:color w:val="auto"/>
              </w:rPr>
            </w:pPr>
            <w:r>
              <w:rPr>
                <w:rFonts w:ascii="Arial" w:cs="Arial" w:eastAsia="Arial" w:hAnsi="Arial"/>
                <w:sz w:val="20"/>
                <w:szCs w:val="20"/>
                <w:color w:val="auto"/>
              </w:rPr>
              <w:t>axx,</w:t>
            </w:r>
          </w:p>
        </w:tc>
        <w:tc>
          <w:tcPr>
            <w:tcW w:w="2920" w:type="dxa"/>
            <w:vAlign w:val="bottom"/>
            <w:gridSpan w:val="8"/>
            <w:shd w:val="clear" w:color="auto" w:fill="FEFEFE"/>
          </w:tcPr>
          <w:p>
            <w:pPr>
              <w:ind w:left="20"/>
              <w:spacing w:after="0" w:line="182" w:lineRule="exact"/>
              <w:rPr>
                <w:sz w:val="20"/>
                <w:szCs w:val="20"/>
                <w:color w:val="auto"/>
              </w:rPr>
            </w:pPr>
            <w:r>
              <w:rPr>
                <w:rFonts w:ascii="Arial" w:cs="Arial" w:eastAsia="Arial" w:hAnsi="Arial"/>
                <w:sz w:val="20"/>
                <w:szCs w:val="20"/>
                <w:color w:val="auto"/>
                <w:w w:val="90"/>
              </w:rPr>
              <w:t>omesense, tkmaxx.com, tkmaxx.de,</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800" w:type="dxa"/>
            <w:vAlign w:val="bottom"/>
            <w:gridSpan w:val="5"/>
          </w:tcPr>
          <w:p>
            <w:pPr>
              <w:spacing w:after="0"/>
              <w:rPr>
                <w:sz w:val="5"/>
                <w:szCs w:val="5"/>
                <w:color w:val="auto"/>
              </w:rPr>
            </w:pPr>
          </w:p>
        </w:tc>
        <w:tc>
          <w:tcPr>
            <w:tcW w:w="3220" w:type="dxa"/>
            <w:vAlign w:val="bottom"/>
            <w:gridSpan w:val="4"/>
          </w:tcPr>
          <w:p>
            <w:pPr>
              <w:spacing w:after="0"/>
              <w:rPr>
                <w:sz w:val="5"/>
                <w:szCs w:val="5"/>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20"/>
                <w:szCs w:val="20"/>
                <w:color w:val="auto"/>
                <w:w w:val="84"/>
              </w:rPr>
              <w:t>segments,</w:t>
            </w:r>
          </w:p>
        </w:tc>
        <w:tc>
          <w:tcPr>
            <w:tcW w:w="2600" w:type="dxa"/>
            <w:vAlign w:val="bottom"/>
            <w:gridSpan w:val="5"/>
          </w:tcPr>
          <w:p>
            <w:pPr>
              <w:spacing w:after="0"/>
              <w:rPr>
                <w:sz w:val="5"/>
                <w:szCs w:val="5"/>
                <w:color w:val="auto"/>
              </w:rPr>
            </w:pPr>
          </w:p>
        </w:tc>
        <w:tc>
          <w:tcPr>
            <w:tcW w:w="640" w:type="dxa"/>
            <w:vAlign w:val="bottom"/>
            <w:gridSpan w:val="4"/>
            <w:vMerge w:val="restart"/>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gridSpan w:val="5"/>
            <w:shd w:val="clear" w:color="auto" w:fill="FEFEFE"/>
          </w:tcPr>
          <w:p>
            <w:pPr>
              <w:spacing w:after="0" w:line="182" w:lineRule="exact"/>
              <w:rPr>
                <w:sz w:val="20"/>
                <w:szCs w:val="20"/>
                <w:color w:val="auto"/>
              </w:rPr>
            </w:pPr>
            <w:r>
              <w:rPr>
                <w:rFonts w:ascii="Arial" w:cs="Arial" w:eastAsia="Arial" w:hAnsi="Arial"/>
                <w:sz w:val="20"/>
                <w:szCs w:val="20"/>
                <w:color w:val="auto"/>
              </w:rPr>
              <w:t>and tkmaxx.at in Europe, and T</w:t>
            </w:r>
          </w:p>
        </w:tc>
        <w:tc>
          <w:tcPr>
            <w:tcW w:w="3220" w:type="dxa"/>
            <w:vAlign w:val="bottom"/>
            <w:gridSpan w:val="4"/>
            <w:shd w:val="clear" w:color="auto" w:fill="FEFEFE"/>
          </w:tcPr>
          <w:p>
            <w:pPr>
              <w:ind w:left="60"/>
              <w:spacing w:after="0" w:line="182" w:lineRule="exact"/>
              <w:rPr>
                <w:sz w:val="20"/>
                <w:szCs w:val="20"/>
                <w:color w:val="auto"/>
              </w:rPr>
            </w:pPr>
            <w:r>
              <w:rPr>
                <w:rFonts w:ascii="Arial" w:cs="Arial" w:eastAsia="Arial" w:hAnsi="Arial"/>
                <w:sz w:val="20"/>
                <w:szCs w:val="20"/>
                <w:color w:val="auto"/>
                <w:w w:val="91"/>
              </w:rPr>
              <w:t>axx in Australia). In addition to our four</w:t>
            </w:r>
          </w:p>
        </w:tc>
        <w:tc>
          <w:tcPr>
            <w:tcW w:w="920" w:type="dxa"/>
            <w:vAlign w:val="bottom"/>
            <w:gridSpan w:val="2"/>
            <w:vMerge w:val="continue"/>
          </w:tcPr>
          <w:p>
            <w:pPr>
              <w:spacing w:after="0"/>
              <w:rPr>
                <w:sz w:val="15"/>
                <w:szCs w:val="15"/>
                <w:color w:val="auto"/>
              </w:rPr>
            </w:pPr>
          </w:p>
        </w:tc>
        <w:tc>
          <w:tcPr>
            <w:tcW w:w="2600" w:type="dxa"/>
            <w:vAlign w:val="bottom"/>
            <w:gridSpan w:val="5"/>
            <w:shd w:val="clear" w:color="auto" w:fill="FEFEFE"/>
          </w:tcPr>
          <w:p>
            <w:pPr>
              <w:ind w:left="40"/>
              <w:spacing w:after="0" w:line="182" w:lineRule="exact"/>
              <w:rPr>
                <w:sz w:val="20"/>
                <w:szCs w:val="20"/>
                <w:color w:val="auto"/>
              </w:rPr>
            </w:pPr>
            <w:r>
              <w:rPr>
                <w:rFonts w:ascii="Arial" w:cs="Arial" w:eastAsia="Arial" w:hAnsi="Arial"/>
                <w:sz w:val="20"/>
                <w:szCs w:val="20"/>
                <w:color w:val="auto"/>
                <w:highlight w:val="white"/>
                <w:w w:val="89"/>
              </w:rPr>
              <w:t>Sierra operates retail stores and</w:t>
            </w:r>
          </w:p>
        </w:tc>
        <w:tc>
          <w:tcPr>
            <w:tcW w:w="6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0" w:type="dxa"/>
            <w:vAlign w:val="bottom"/>
            <w:gridSpan w:val="3"/>
          </w:tcPr>
          <w:p>
            <w:pPr>
              <w:spacing w:after="0"/>
              <w:rPr>
                <w:sz w:val="5"/>
                <w:szCs w:val="5"/>
                <w:color w:val="auto"/>
              </w:rPr>
            </w:pPr>
          </w:p>
        </w:tc>
        <w:tc>
          <w:tcPr>
            <w:tcW w:w="5120" w:type="dxa"/>
            <w:vAlign w:val="bottom"/>
            <w:gridSpan w:val="7"/>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3"/>
            <w:shd w:val="clear" w:color="auto" w:fill="FEFEFE"/>
          </w:tcPr>
          <w:p>
            <w:pPr>
              <w:spacing w:after="0" w:line="182" w:lineRule="exact"/>
              <w:rPr>
                <w:sz w:val="20"/>
                <w:szCs w:val="20"/>
                <w:color w:val="auto"/>
              </w:rPr>
            </w:pPr>
            <w:r>
              <w:rPr>
                <w:rFonts w:ascii="Arial" w:cs="Arial" w:eastAsia="Arial" w:hAnsi="Arial"/>
                <w:sz w:val="20"/>
                <w:szCs w:val="20"/>
                <w:color w:val="auto"/>
                <w:highlight w:val="white"/>
                <w:w w:val="93"/>
              </w:rPr>
              <w:t>sierra.com in the</w:t>
            </w:r>
          </w:p>
        </w:tc>
        <w:tc>
          <w:tcPr>
            <w:tcW w:w="5120" w:type="dxa"/>
            <w:vAlign w:val="bottom"/>
            <w:gridSpan w:val="7"/>
            <w:shd w:val="clear" w:color="auto" w:fill="FEFEFE"/>
          </w:tcPr>
          <w:p>
            <w:pPr>
              <w:jc w:val="right"/>
              <w:spacing w:after="0" w:line="182" w:lineRule="exact"/>
              <w:rPr>
                <w:sz w:val="20"/>
                <w:szCs w:val="20"/>
                <w:color w:val="auto"/>
              </w:rPr>
            </w:pPr>
            <w:r>
              <w:rPr>
                <w:rFonts w:ascii="Arial" w:cs="Arial" w:eastAsia="Arial" w:hAnsi="Arial"/>
                <w:sz w:val="20"/>
                <w:szCs w:val="20"/>
                <w:color w:val="auto"/>
                <w:highlight w:val="white"/>
                <w:w w:val="93"/>
              </w:rPr>
              <w:t>.S. The results of Sierra are included in the  armaxx segment.</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Arial" w:cs="Arial" w:eastAsia="Arial" w:hAnsi="Arial"/>
                <w:sz w:val="24"/>
                <w:szCs w:val="24"/>
                <w:color w:val="auto"/>
              </w:rPr>
              <w:t>S</w:t>
            </w:r>
          </w:p>
        </w:tc>
        <w:tc>
          <w:tcPr>
            <w:tcW w:w="1640" w:type="dxa"/>
            <w:vAlign w:val="bottom"/>
            <w:gridSpan w:val="2"/>
          </w:tcPr>
          <w:p>
            <w:pPr>
              <w:ind w:left="340"/>
              <w:spacing w:after="0"/>
              <w:rPr>
                <w:sz w:val="20"/>
                <w:szCs w:val="20"/>
                <w:color w:val="auto"/>
              </w:rPr>
            </w:pPr>
            <w:r>
              <w:rPr>
                <w:rFonts w:ascii="Arial" w:cs="Arial" w:eastAsia="Arial" w:hAnsi="Arial"/>
                <w:sz w:val="24"/>
                <w:szCs w:val="24"/>
                <w:color w:val="auto"/>
              </w:rPr>
              <w:t>S OF O</w:t>
            </w:r>
          </w:p>
        </w:tc>
        <w:tc>
          <w:tcPr>
            <w:tcW w:w="1260" w:type="dxa"/>
            <w:vAlign w:val="bottom"/>
            <w:gridSpan w:val="3"/>
          </w:tcPr>
          <w:p>
            <w:pPr>
              <w:ind w:left="280"/>
              <w:spacing w:after="0"/>
              <w:rPr>
                <w:sz w:val="20"/>
                <w:szCs w:val="20"/>
                <w:color w:val="auto"/>
              </w:rPr>
            </w:pPr>
            <w:r>
              <w:rPr>
                <w:rFonts w:ascii="Arial" w:cs="Arial" w:eastAsia="Arial" w:hAnsi="Arial"/>
                <w:sz w:val="24"/>
                <w:szCs w:val="24"/>
                <w:color w:val="auto"/>
              </w:rPr>
              <w:t>IONS</w:t>
            </w: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ighlights of our financial performance for fiscal 2026 include the following:</w:t>
      </w:r>
    </w:p>
    <w:p>
      <w:pPr>
        <w:spacing w:after="0" w:line="140" w:lineRule="exact"/>
        <w:rPr>
          <w:sz w:val="20"/>
          <w:szCs w:val="20"/>
          <w:color w:val="auto"/>
        </w:rPr>
      </w:pPr>
    </w:p>
    <w:p>
      <w:pPr>
        <w:ind w:left="720" w:right="60"/>
        <w:spacing w:after="0" w:line="291" w:lineRule="auto"/>
        <w:rPr>
          <w:sz w:val="20"/>
          <w:szCs w:val="20"/>
          <w:color w:val="auto"/>
        </w:rPr>
      </w:pPr>
      <w:r>
        <w:rPr>
          <w:rFonts w:ascii="Arial" w:cs="Arial" w:eastAsia="Arial" w:hAnsi="Arial"/>
          <w:sz w:val="20"/>
          <w:szCs w:val="20"/>
          <w:color w:val="auto"/>
        </w:rPr>
        <w:t>Net sales increased 7 to $60.4 billion for fiscal 2026 versus $56.4 billion for fiscal 2025. As of January 31, 2026, both the number of stores in operation and the selling s uare footage increased approximately 3 compared to the end of fiscal 2025.</w:t>
      </w:r>
    </w:p>
    <w:p>
      <w:pPr>
        <w:spacing w:after="0" w:line="45" w:lineRule="exact"/>
        <w:rPr>
          <w:sz w:val="20"/>
          <w:szCs w:val="20"/>
          <w:color w:val="auto"/>
        </w:rPr>
      </w:pPr>
    </w:p>
    <w:p>
      <w:pPr>
        <w:ind w:left="720"/>
        <w:spacing w:after="0"/>
        <w:tabs>
          <w:tab w:leader="none" w:pos="3840" w:val="left"/>
        </w:tabs>
        <w:rPr>
          <w:sz w:val="20"/>
          <w:szCs w:val="20"/>
          <w:color w:val="auto"/>
        </w:rPr>
      </w:pPr>
      <w:r>
        <w:rPr>
          <w:rFonts w:ascii="Arial" w:cs="Arial" w:eastAsia="Arial" w:hAnsi="Arial"/>
          <w:sz w:val="20"/>
          <w:szCs w:val="20"/>
          <w:color w:val="auto"/>
        </w:rPr>
        <w:t>Consolidated comp sales increased 5</w:t>
      </w:r>
      <w:r>
        <w:rPr>
          <w:sz w:val="20"/>
          <w:szCs w:val="20"/>
          <w:color w:val="auto"/>
        </w:rPr>
        <w:tab/>
      </w:r>
      <w:r>
        <w:rPr>
          <w:rFonts w:ascii="Arial" w:cs="Arial" w:eastAsia="Arial" w:hAnsi="Arial"/>
          <w:sz w:val="18"/>
          <w:szCs w:val="18"/>
          <w:color w:val="auto"/>
        </w:rPr>
        <w:t>in fiscal 2026. See Net Sales below for the definition of comp sales.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Diluted earnings per share were $4.87 for fiscal 2026, compared to $4.26 for fiscal 2025.</w:t>
      </w:r>
    </w:p>
    <w:p>
      <w:pPr>
        <w:spacing w:after="0" w:line="124" w:lineRule="exact"/>
        <w:rPr>
          <w:sz w:val="20"/>
          <w:szCs w:val="20"/>
          <w:color w:val="auto"/>
        </w:rPr>
      </w:pPr>
    </w:p>
    <w:p>
      <w:pPr>
        <w:ind w:left="720" w:right="300"/>
        <w:spacing w:after="0" w:line="308" w:lineRule="auto"/>
        <w:rPr>
          <w:sz w:val="20"/>
          <w:szCs w:val="20"/>
          <w:color w:val="auto"/>
        </w:rPr>
      </w:pPr>
      <w:r>
        <w:rPr>
          <w:rFonts w:ascii="Arial" w:cs="Arial" w:eastAsia="Arial" w:hAnsi="Arial"/>
          <w:sz w:val="20"/>
          <w:szCs w:val="20"/>
          <w:color w:val="auto"/>
        </w:rPr>
        <w:t>Pre-tax profit margin (the ratio of pre-tax income to net sales) for fiscal 2026 was 12.1 . This was a 0.6 percentage point increase compared to 11.5 for fiscal 2025.</w:t>
      </w:r>
    </w:p>
    <w:p>
      <w:pPr>
        <w:spacing w:after="0" w:line="28" w:lineRule="exact"/>
        <w:rPr>
          <w:sz w:val="20"/>
          <w:szCs w:val="20"/>
          <w:color w:val="auto"/>
        </w:rPr>
      </w:pPr>
    </w:p>
    <w:p>
      <w:pPr>
        <w:ind w:left="720" w:right="580" w:firstLine="145"/>
        <w:spacing w:after="0" w:line="308" w:lineRule="auto"/>
        <w:rPr>
          <w:sz w:val="20"/>
          <w:szCs w:val="20"/>
          <w:color w:val="auto"/>
        </w:rPr>
      </w:pPr>
      <w:r>
        <w:rPr>
          <w:rFonts w:ascii="Arial" w:cs="Arial" w:eastAsia="Arial" w:hAnsi="Arial"/>
          <w:sz w:val="20"/>
          <w:szCs w:val="20"/>
          <w:color w:val="auto"/>
        </w:rPr>
        <w:t>ur cost of sales, including buying and occupancy costs, ratio for fiscal 2026 was 6 .0 , a 0.4 percentage point decrease compared to 6 .4 for fiscal 2025.</w:t>
      </w:r>
    </w:p>
    <w:p>
      <w:pPr>
        <w:spacing w:after="0" w:line="28" w:lineRule="exact"/>
        <w:rPr>
          <w:sz w:val="20"/>
          <w:szCs w:val="20"/>
          <w:color w:val="auto"/>
        </w:rPr>
      </w:pPr>
    </w:p>
    <w:p>
      <w:pPr>
        <w:ind w:left="720" w:right="400" w:firstLine="145"/>
        <w:spacing w:after="0" w:line="308" w:lineRule="auto"/>
        <w:rPr>
          <w:sz w:val="20"/>
          <w:szCs w:val="20"/>
          <w:color w:val="auto"/>
        </w:rPr>
      </w:pPr>
      <w:r>
        <w:rPr>
          <w:rFonts w:ascii="Arial" w:cs="Arial" w:eastAsia="Arial" w:hAnsi="Arial"/>
          <w:sz w:val="20"/>
          <w:szCs w:val="20"/>
          <w:color w:val="auto"/>
        </w:rPr>
        <w:t>ur selling, general and administrative ( S A ) expense ratio for fiscal 2026 was 1 .1 , a 0.3 percentage point decrease compared to 1 .4 for fiscal 2025.</w:t>
      </w:r>
    </w:p>
    <w:p>
      <w:pPr>
        <w:spacing w:after="0" w:line="58" w:lineRule="exact"/>
        <w:rPr>
          <w:sz w:val="20"/>
          <w:szCs w:val="20"/>
          <w:color w:val="auto"/>
        </w:rPr>
      </w:pPr>
    </w:p>
    <w:p>
      <w:pPr>
        <w:ind w:left="720" w:right="20" w:firstLine="145"/>
        <w:spacing w:after="0" w:line="286" w:lineRule="auto"/>
        <w:rPr>
          <w:sz w:val="20"/>
          <w:szCs w:val="20"/>
          <w:color w:val="auto"/>
        </w:rPr>
      </w:pPr>
      <w:r>
        <w:rPr>
          <w:rFonts w:ascii="Arial" w:cs="Arial" w:eastAsia="Arial" w:hAnsi="Arial"/>
          <w:sz w:val="20"/>
          <w:szCs w:val="20"/>
          <w:color w:val="auto"/>
        </w:rPr>
        <w:t>ur consolidated average per store inventories, including inventory on hand at our distribution centers (which excludes inventory in transit) and excluding our e-commerce sites, were up 10 at the end of fiscal 2026 as compared to the prior year. Starting in the first uarter of fiscal 2026, Sierra stores are included in the consolidated average per store inventories.</w:t>
      </w:r>
    </w:p>
    <w:p>
      <w:pPr>
        <w:spacing w:after="0" w:line="80" w:lineRule="exact"/>
        <w:rPr>
          <w:sz w:val="20"/>
          <w:szCs w:val="20"/>
          <w:color w:val="auto"/>
        </w:rPr>
      </w:pPr>
    </w:p>
    <w:p>
      <w:pPr>
        <w:ind w:left="720" w:right="160"/>
        <w:spacing w:after="0" w:line="308" w:lineRule="auto"/>
        <w:rPr>
          <w:sz w:val="20"/>
          <w:szCs w:val="20"/>
          <w:color w:val="auto"/>
        </w:rPr>
      </w:pPr>
      <w:r>
        <w:rPr>
          <w:rFonts w:ascii="Arial" w:cs="Arial" w:eastAsia="Arial" w:hAnsi="Arial"/>
          <w:sz w:val="20"/>
          <w:szCs w:val="20"/>
          <w:color w:val="auto"/>
        </w:rPr>
        <w:t>During fiscal 2026, we returned $4.3 billion to our shareholders through share repurchases and dividends. A dividend of $0.425 per share was declared in the fourth uarter of fiscal 2026 and paid in arch 2026.</w:t>
      </w:r>
    </w:p>
    <w:p>
      <w:pPr>
        <w:sectPr>
          <w:pgSz w:w="12240" w:h="15841" w:orient="portrait"/>
          <w:cols w:equalWidth="0" w:num="1">
            <w:col w:w="10260"/>
          </w:cols>
          <w:pgMar w:left="100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2240" w:h="15841" w:orient="portrait"/>
          <w:cols w:equalWidth="0" w:num="1">
            <w:col w:w="10260"/>
          </w:cols>
          <w:pgMar w:left="1000" w:top="771" w:right="981" w:bottom="0" w:gutter="0" w:footer="0" w:header="0"/>
          <w:type w:val="continuous"/>
        </w:sectPr>
      </w:pPr>
    </w:p>
    <w:bookmarkStart w:id="36" w:name="page37"/>
    <w:bookmarkEnd w:id="36"/>
    <w:p>
      <w:pPr>
        <w:spacing w:after="0"/>
        <w:tabs>
          <w:tab w:leader="none" w:pos="1080" w:val="left"/>
          <w:tab w:leader="none" w:pos="2200" w:val="left"/>
          <w:tab w:leader="none" w:pos="3540" w:val="left"/>
          <w:tab w:leader="none" w:pos="388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O erating</w:t>
        <w:tab/>
        <w:t>esults as a</w:t>
        <w:tab/>
        <w:t>ercentage of</w:t>
        <w:tab/>
        <w:t>et</w:t>
      </w:r>
      <w:r>
        <w:rPr>
          <w:sz w:val="20"/>
          <w:szCs w:val="20"/>
          <w:color w:val="auto"/>
        </w:rPr>
        <w:tab/>
      </w:r>
      <w:r>
        <w:rPr>
          <w:rFonts w:ascii="Arial" w:cs="Arial" w:eastAsia="Arial" w:hAnsi="Arial"/>
          <w:sz w:val="18"/>
          <w:szCs w:val="18"/>
          <w:i w:val="1"/>
          <w:iCs w:val="1"/>
          <w:color w:val="auto"/>
        </w:rPr>
        <w:t>ales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20" w:type="dxa"/>
            <w:vAlign w:val="bottom"/>
          </w:tcPr>
          <w:p>
            <w:pPr>
              <w:spacing w:after="0"/>
              <w:rPr>
                <w:sz w:val="20"/>
                <w:szCs w:val="20"/>
                <w:color w:val="auto"/>
              </w:rPr>
            </w:pPr>
            <w:r>
              <w:rPr>
                <w:rFonts w:ascii="Arial" w:cs="Arial" w:eastAsia="Arial" w:hAnsi="Arial"/>
                <w:sz w:val="20"/>
                <w:szCs w:val="20"/>
                <w:color w:val="auto"/>
                <w:w w:val="92"/>
              </w:rPr>
              <w:t>The following table sets forth our consolidated operating results as a percentage of net sales.</w:t>
            </w:r>
          </w:p>
        </w:tc>
        <w:tc>
          <w:tcPr>
            <w:tcW w:w="1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86"/>
        </w:trPr>
        <w:tc>
          <w:tcPr>
            <w:tcW w:w="762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20"/>
                <w:szCs w:val="20"/>
                <w:color w:val="auto"/>
              </w:rPr>
              <w:t>Percentage of Net Sales</w:t>
            </w:r>
          </w:p>
        </w:tc>
      </w:tr>
      <w:tr>
        <w:trPr>
          <w:trHeight w:val="265"/>
        </w:trPr>
        <w:tc>
          <w:tcPr>
            <w:tcW w:w="76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Fiscal 2026</w:t>
            </w: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Fiscal 2025</w:t>
            </w:r>
          </w:p>
        </w:tc>
      </w:tr>
      <w:tr>
        <w:trPr>
          <w:trHeight w:val="265"/>
        </w:trPr>
        <w:tc>
          <w:tcPr>
            <w:tcW w:w="76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Net sales</w:t>
            </w:r>
          </w:p>
        </w:tc>
        <w:tc>
          <w:tcPr>
            <w:tcW w:w="1320" w:type="dxa"/>
            <w:vAlign w:val="bottom"/>
            <w:tcBorders>
              <w:bottom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100.0</w:t>
            </w:r>
          </w:p>
        </w:tc>
        <w:tc>
          <w:tcPr>
            <w:tcW w:w="1320" w:type="dxa"/>
            <w:vAlign w:val="bottom"/>
            <w:tcBorders>
              <w:bottom w:val="single" w:sz="8" w:color="auto"/>
            </w:tcBorders>
            <w:gridSpan w:val="2"/>
            <w:shd w:val="clear" w:color="auto" w:fill="E4E4E4"/>
          </w:tcPr>
          <w:p>
            <w:pPr>
              <w:jc w:val="right"/>
              <w:ind w:right="160"/>
              <w:spacing w:after="0"/>
              <w:rPr>
                <w:sz w:val="20"/>
                <w:szCs w:val="20"/>
                <w:color w:val="auto"/>
              </w:rPr>
            </w:pPr>
            <w:r>
              <w:rPr>
                <w:rFonts w:ascii="Arial" w:cs="Arial" w:eastAsia="Arial" w:hAnsi="Arial"/>
                <w:sz w:val="20"/>
                <w:szCs w:val="20"/>
                <w:color w:val="auto"/>
              </w:rPr>
              <w:t>100.0</w:t>
            </w:r>
          </w:p>
        </w:tc>
      </w:tr>
      <w:tr>
        <w:trPr>
          <w:trHeight w:val="270"/>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Cost of sales, including buying and occupancy costs</w:t>
            </w:r>
          </w:p>
        </w:tc>
        <w:tc>
          <w:tcPr>
            <w:tcW w:w="132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69.0</w:t>
            </w:r>
          </w:p>
        </w:tc>
        <w:tc>
          <w:tcPr>
            <w:tcW w:w="8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w:t>
            </w:r>
          </w:p>
        </w:tc>
        <w:tc>
          <w:tcPr>
            <w:tcW w:w="46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w:t>
            </w:r>
          </w:p>
        </w:tc>
      </w:tr>
      <w:tr>
        <w:trPr>
          <w:trHeight w:val="290"/>
        </w:trPr>
        <w:tc>
          <w:tcPr>
            <w:tcW w:w="7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Selling, general and administrative expenses</w:t>
            </w:r>
          </w:p>
        </w:tc>
        <w:tc>
          <w:tcPr>
            <w:tcW w:w="132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19.1</w:t>
            </w: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w:t>
            </w:r>
          </w:p>
        </w:tc>
        <w:tc>
          <w:tcPr>
            <w:tcW w:w="46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.4</w:t>
            </w:r>
          </w:p>
        </w:tc>
      </w:tr>
      <w:tr>
        <w:trPr>
          <w:trHeight w:val="275"/>
        </w:trPr>
        <w:tc>
          <w:tcPr>
            <w:tcW w:w="76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Interest (income) expense, net</w:t>
            </w:r>
          </w:p>
        </w:tc>
        <w:tc>
          <w:tcPr>
            <w:tcW w:w="1320" w:type="dxa"/>
            <w:vAlign w:val="bottom"/>
            <w:tcBorders>
              <w:bottom w:val="single" w:sz="8" w:color="auto"/>
            </w:tcBorders>
            <w:shd w:val="clear" w:color="auto" w:fill="FEFEFE"/>
          </w:tcPr>
          <w:p>
            <w:pPr>
              <w:jc w:val="right"/>
              <w:ind w:right="200"/>
              <w:spacing w:after="0"/>
              <w:rPr>
                <w:sz w:val="20"/>
                <w:szCs w:val="20"/>
                <w:color w:val="auto"/>
              </w:rPr>
            </w:pPr>
            <w:r>
              <w:rPr>
                <w:rFonts w:ascii="Arial" w:cs="Arial" w:eastAsia="Arial" w:hAnsi="Arial"/>
                <w:sz w:val="20"/>
                <w:szCs w:val="20"/>
                <w:color w:val="auto"/>
              </w:rPr>
              <w:t>0.2</w:t>
            </w:r>
          </w:p>
        </w:tc>
        <w:tc>
          <w:tcPr>
            <w:tcW w:w="1320" w:type="dxa"/>
            <w:vAlign w:val="bottom"/>
            <w:tcBorders>
              <w:bottom w:val="single" w:sz="8" w:color="auto"/>
            </w:tcBorders>
            <w:gridSpan w:val="2"/>
            <w:shd w:val="clear" w:color="auto" w:fill="FEFEFE"/>
          </w:tcPr>
          <w:p>
            <w:pPr>
              <w:jc w:val="right"/>
              <w:ind w:right="100"/>
              <w:spacing w:after="0"/>
              <w:rPr>
                <w:sz w:val="20"/>
                <w:szCs w:val="20"/>
                <w:color w:val="auto"/>
              </w:rPr>
            </w:pPr>
            <w:r>
              <w:rPr>
                <w:rFonts w:ascii="Arial" w:cs="Arial" w:eastAsia="Arial" w:hAnsi="Arial"/>
                <w:sz w:val="20"/>
                <w:szCs w:val="20"/>
                <w:color w:val="auto"/>
              </w:rPr>
              <w:t>(0.3)</w:t>
            </w:r>
          </w:p>
        </w:tc>
      </w:tr>
      <w:tr>
        <w:trPr>
          <w:trHeight w:val="265"/>
        </w:trPr>
        <w:tc>
          <w:tcPr>
            <w:tcW w:w="76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Income before income taxes</w:t>
            </w:r>
          </w:p>
        </w:tc>
        <w:tc>
          <w:tcPr>
            <w:tcW w:w="1320" w:type="dxa"/>
            <w:vAlign w:val="bottom"/>
            <w:tcBorders>
              <w:bottom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12.1</w:t>
            </w:r>
          </w:p>
        </w:tc>
        <w:tc>
          <w:tcPr>
            <w:tcW w:w="1320" w:type="dxa"/>
            <w:vAlign w:val="bottom"/>
            <w:tcBorders>
              <w:bottom w:val="single" w:sz="8" w:color="auto"/>
            </w:tcBorders>
            <w:gridSpan w:val="2"/>
            <w:shd w:val="clear" w:color="auto" w:fill="E4E4E4"/>
          </w:tcPr>
          <w:p>
            <w:pPr>
              <w:jc w:val="right"/>
              <w:ind w:right="160"/>
              <w:spacing w:after="0"/>
              <w:rPr>
                <w:sz w:val="20"/>
                <w:szCs w:val="20"/>
                <w:color w:val="auto"/>
              </w:rPr>
            </w:pPr>
            <w:r>
              <w:rPr>
                <w:rFonts w:ascii="Arial" w:cs="Arial" w:eastAsia="Arial" w:hAnsi="Arial"/>
                <w:sz w:val="20"/>
                <w:szCs w:val="20"/>
                <w:color w:val="auto"/>
              </w:rPr>
              <w:t>11.5</w:t>
            </w:r>
          </w:p>
        </w:tc>
      </w:tr>
    </w:tbl>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Figures may not foot due to rounding.</w:t>
      </w:r>
    </w:p>
    <w:p>
      <w:pPr>
        <w:spacing w:after="0" w:line="100" w:lineRule="exact"/>
        <w:rPr>
          <w:sz w:val="20"/>
          <w:szCs w:val="20"/>
          <w:color w:val="auto"/>
        </w:rPr>
      </w:pPr>
    </w:p>
    <w:p>
      <w:pPr>
        <w:ind w:left="140"/>
        <w:spacing w:after="0"/>
        <w:tabs>
          <w:tab w:leader="none" w:pos="900" w:val="left"/>
          <w:tab w:leader="none" w:pos="1840" w:val="left"/>
        </w:tabs>
        <w:rPr>
          <w:sz w:val="20"/>
          <w:szCs w:val="20"/>
          <w:color w:val="auto"/>
        </w:rPr>
      </w:pPr>
      <w:r>
        <w:rPr>
          <w:rFonts w:ascii="Arial" w:cs="Arial" w:eastAsia="Arial" w:hAnsi="Arial"/>
          <w:sz w:val="22"/>
          <w:szCs w:val="22"/>
          <w:i w:val="1"/>
          <w:iCs w:val="1"/>
          <w:color w:val="auto"/>
        </w:rPr>
        <w:t>ecent</w:t>
        <w:tab/>
        <w:t>ents and</w:t>
      </w:r>
      <w:r>
        <w:rPr>
          <w:sz w:val="20"/>
          <w:szCs w:val="20"/>
          <w:color w:val="auto"/>
        </w:rPr>
        <w:tab/>
      </w:r>
      <w:r>
        <w:rPr>
          <w:rFonts w:ascii="Arial" w:cs="Arial" w:eastAsia="Arial" w:hAnsi="Arial"/>
          <w:sz w:val="19"/>
          <w:szCs w:val="19"/>
          <w:i w:val="1"/>
          <w:iCs w:val="1"/>
          <w:color w:val="auto"/>
        </w:rPr>
        <w:t>rends</w:t>
      </w:r>
    </w:p>
    <w:p>
      <w:pPr>
        <w:spacing w:after="0" w:line="137" w:lineRule="exact"/>
        <w:rPr>
          <w:sz w:val="20"/>
          <w:szCs w:val="20"/>
          <w:color w:val="auto"/>
        </w:rPr>
      </w:pPr>
    </w:p>
    <w:p>
      <w:pPr>
        <w:ind w:left="140"/>
        <w:spacing w:after="0"/>
        <w:tabs>
          <w:tab w:leader="none" w:pos="420" w:val="left"/>
          <w:tab w:leader="none" w:pos="780" w:val="left"/>
          <w:tab w:leader="none" w:pos="1360" w:val="left"/>
          <w:tab w:leader="none" w:pos="3100" w:val="left"/>
        </w:tabs>
        <w:rPr>
          <w:sz w:val="20"/>
          <w:szCs w:val="20"/>
          <w:color w:val="auto"/>
        </w:rPr>
      </w:pPr>
      <w:r>
        <w:rPr>
          <w:rFonts w:ascii="Arial" w:cs="Arial" w:eastAsia="Arial" w:hAnsi="Arial"/>
          <w:sz w:val="22"/>
          <w:szCs w:val="22"/>
          <w:i w:val="1"/>
          <w:iCs w:val="1"/>
          <w:color w:val="auto"/>
        </w:rPr>
        <w:t>l</w:t>
        <w:tab/>
        <w:t>al</w:t>
        <w:tab/>
        <w:t>c n</w:t>
        <w:tab/>
        <w:t>ic C nditi ns and</w:t>
        <w:tab/>
        <w:t>ari s</w:t>
      </w:r>
    </w:p>
    <w:p>
      <w:pPr>
        <w:spacing w:after="0" w:line="141" w:lineRule="exact"/>
        <w:rPr>
          <w:sz w:val="20"/>
          <w:szCs w:val="20"/>
          <w:color w:val="auto"/>
        </w:rPr>
      </w:pPr>
    </w:p>
    <w:p>
      <w:pPr>
        <w:ind w:right="200" w:firstLine="189"/>
        <w:spacing w:after="0" w:line="299" w:lineRule="auto"/>
        <w:rPr>
          <w:sz w:val="20"/>
          <w:szCs w:val="20"/>
          <w:color w:val="auto"/>
        </w:rPr>
      </w:pPr>
      <w:r>
        <w:rPr>
          <w:rFonts w:ascii="Arial" w:cs="Arial" w:eastAsia="Arial" w:hAnsi="Arial"/>
          <w:sz w:val="18"/>
          <w:szCs w:val="18"/>
          <w:color w:val="auto"/>
        </w:rPr>
        <w:t>e continue to closely monitor changes in international trade relations, economic and monetary policies, and legislation and regulations including those related to tariffs on imports from China and other countries. hile we have been, and believe we can continue to be, successful in mitigating tariff pressures, tariffs have led to significant volatility in the global economy. e are continuing to implement and consider additional measures that seek to mitigate the impact of tariffs.</w:t>
      </w:r>
    </w:p>
    <w:p>
      <w:pPr>
        <w:spacing w:after="0" w:line="49" w:lineRule="exact"/>
        <w:rPr>
          <w:sz w:val="20"/>
          <w:szCs w:val="20"/>
          <w:color w:val="auto"/>
        </w:rPr>
      </w:pPr>
    </w:p>
    <w:p>
      <w:pPr>
        <w:ind w:right="60" w:firstLine="145"/>
        <w:spacing w:after="0" w:line="275" w:lineRule="auto"/>
        <w:rPr>
          <w:sz w:val="20"/>
          <w:szCs w:val="20"/>
          <w:color w:val="auto"/>
        </w:rPr>
      </w:pPr>
      <w:r>
        <w:rPr>
          <w:rFonts w:ascii="Arial" w:cs="Arial" w:eastAsia="Arial" w:hAnsi="Arial"/>
          <w:sz w:val="19"/>
          <w:szCs w:val="19"/>
          <w:color w:val="auto"/>
        </w:rPr>
        <w:t>n February 20, 2026, the .S. Supreme Court issued a decision invalidating tariffs imposed under the International Emergency Economic Powers Act ( IEEPA ). This ruling may allow for the recovery of IEEPA tariff amounts previously paid. The ruling leaves uncertainties regarding the timing and administration of any potential IEEPA tariff refunds by the .S. government, and may be subject to further legal and regulatory developments. Following the .S. Supreme Court ruling, an executive order was issued imposing a new global tariff, in addition to any existing non-IEEPA tariffs.</w:t>
      </w:r>
    </w:p>
    <w:p>
      <w:pPr>
        <w:spacing w:after="0" w:line="6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The extent and duration of the tariffs and the resulting impact on general economic conditions and on our business, including potential IEEPA tariff refunds, continues to be uncertain. ur buying organi ation’s ability to execute our merchandise sourcing model to offset the effects of the tariffs is a key factor. owever, the overall impact depends on a range of factors, including trade negotiations between the .S. and other countries, responses of other countries, judicial review, exceptions that could be granted and cost of alternative sources of merchandise.</w:t>
      </w:r>
    </w:p>
    <w:p>
      <w:pPr>
        <w:spacing w:after="0" w:line="84" w:lineRule="exact"/>
        <w:rPr>
          <w:sz w:val="20"/>
          <w:szCs w:val="20"/>
          <w:color w:val="auto"/>
        </w:rPr>
      </w:pPr>
    </w:p>
    <w:p>
      <w:pPr>
        <w:jc w:val="both"/>
        <w:ind w:right="420" w:firstLine="145"/>
        <w:spacing w:after="0" w:line="287" w:lineRule="auto"/>
        <w:rPr>
          <w:sz w:val="20"/>
          <w:szCs w:val="20"/>
          <w:color w:val="auto"/>
        </w:rPr>
      </w:pPr>
      <w:r>
        <w:rPr>
          <w:rFonts w:ascii="Arial" w:cs="Arial" w:eastAsia="Arial" w:hAnsi="Arial"/>
          <w:sz w:val="19"/>
          <w:szCs w:val="19"/>
          <w:color w:val="auto"/>
        </w:rPr>
        <w:t>ncertainty remains regarding the continued impact on our direct imports, indirect imports, vendor and competitor pricing, consumer demand, tariff pass-throughs and retaliatory tariffs. e will continue to closely monitor developments related to tariffs and evaluate any updates for their potential impact on our business and financial condition.</w:t>
      </w:r>
    </w:p>
    <w:p>
      <w:pPr>
        <w:spacing w:after="0" w:line="47" w:lineRule="exact"/>
        <w:rPr>
          <w:sz w:val="20"/>
          <w:szCs w:val="20"/>
          <w:color w:val="auto"/>
        </w:rPr>
      </w:pPr>
    </w:p>
    <w:p>
      <w:pPr>
        <w:ind w:left="120"/>
        <w:spacing w:after="0"/>
        <w:tabs>
          <w:tab w:leader="none" w:pos="2000" w:val="left"/>
          <w:tab w:leader="none" w:pos="5200" w:val="left"/>
          <w:tab w:leader="none" w:pos="6060" w:val="left"/>
          <w:tab w:leader="none" w:pos="6880" w:val="left"/>
        </w:tabs>
        <w:rPr>
          <w:sz w:val="20"/>
          <w:szCs w:val="20"/>
          <w:color w:val="auto"/>
        </w:rPr>
      </w:pPr>
      <w:r>
        <w:rPr>
          <w:rFonts w:ascii="Arial" w:cs="Arial" w:eastAsia="Arial" w:hAnsi="Arial"/>
          <w:sz w:val="22"/>
          <w:szCs w:val="22"/>
          <w:i w:val="1"/>
          <w:iCs w:val="1"/>
          <w:color w:val="auto"/>
        </w:rPr>
        <w:t>itigati n  ettle  ent</w:t>
        <w:tab/>
        <w:t>elated t  Credit Card nterchange</w:t>
        <w:tab/>
        <w:t>ees and</w:t>
        <w:tab/>
        <w:t>elated</w:t>
      </w:r>
      <w:r>
        <w:rPr>
          <w:sz w:val="20"/>
          <w:szCs w:val="20"/>
          <w:color w:val="auto"/>
        </w:rPr>
        <w:tab/>
      </w:r>
      <w:r>
        <w:rPr>
          <w:rFonts w:ascii="Arial" w:cs="Arial" w:eastAsia="Arial" w:hAnsi="Arial"/>
          <w:sz w:val="17"/>
          <w:szCs w:val="17"/>
          <w:i w:val="1"/>
          <w:iCs w:val="1"/>
          <w:color w:val="auto"/>
        </w:rPr>
        <w:t>penses</w:t>
      </w:r>
    </w:p>
    <w:p>
      <w:pPr>
        <w:spacing w:after="0" w:line="14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During the fourth uarter of fiscal 2026, we entered into a settlement agreement to resolve litigation related to credit card interchange fees in which we were a plaintiff. The settlement resulted in a gain of $41 million, net of $51 million of legal expenses, which was recogni ed within S A expenses. e incurred additional non-recurring settlement-related expenses that consisted of $116 million related to a portion of incentive compensation expense globally and $82 million related to a discretionary bonus for eligible non-bonus plan Associates globally. The gain from the litigation settlement benefitted the segment profit of our .S. segments and the related expenses impacted the segment profit of each of our segments.</w:t>
      </w:r>
    </w:p>
    <w:p>
      <w:pPr>
        <w:spacing w:after="0" w:line="5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22"/>
          <w:szCs w:val="22"/>
          <w:i w:val="1"/>
          <w:iCs w:val="1"/>
          <w:color w:val="auto"/>
        </w:rPr>
        <w:t>et</w:t>
      </w:r>
      <w:r>
        <w:rPr>
          <w:sz w:val="20"/>
          <w:szCs w:val="20"/>
          <w:color w:val="auto"/>
        </w:rPr>
        <w:tab/>
      </w:r>
      <w:r>
        <w:rPr>
          <w:rFonts w:ascii="Arial" w:cs="Arial" w:eastAsia="Arial" w:hAnsi="Arial"/>
          <w:sz w:val="19"/>
          <w:szCs w:val="19"/>
          <w:i w:val="1"/>
          <w:iCs w:val="1"/>
          <w:color w:val="auto"/>
        </w:rPr>
        <w:t>ales</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Net sales for fiscal 2026 totaled $60.4 billion, a 7 increase versus net sales of $56.4 billion for fiscal 2025. The increase includes a 5 increase in comp sales, a 2 increase from non-comp sales, and a neutral impact from foreign currency exchange rates. Net sales from our e-commerce sites combined amounted to approximately 2 of total sales for both fiscal 2026 and fiscal 2025.</w:t>
      </w:r>
    </w:p>
    <w:p>
      <w:pPr>
        <w:spacing w:after="0" w:line="80" w:lineRule="exact"/>
        <w:rPr>
          <w:sz w:val="20"/>
          <w:szCs w:val="20"/>
          <w:color w:val="auto"/>
        </w:rPr>
      </w:pPr>
    </w:p>
    <w:p>
      <w:pPr>
        <w:ind w:right="140"/>
        <w:spacing w:after="0" w:line="309" w:lineRule="auto"/>
        <w:rPr>
          <w:sz w:val="20"/>
          <w:szCs w:val="20"/>
          <w:color w:val="auto"/>
        </w:rPr>
      </w:pPr>
      <w:r>
        <w:rPr>
          <w:rFonts w:ascii="Arial" w:cs="Arial" w:eastAsia="Arial" w:hAnsi="Arial"/>
          <w:sz w:val="18"/>
          <w:szCs w:val="18"/>
          <w:color w:val="auto"/>
        </w:rPr>
        <w:t>Comp sales increased 5 for fiscal 2026 and increased 4 for fiscal 2025. Comp sales for fiscal 2026 were driven by a higher average basket and an increase in customer transactions. Both home comp sales growth (as defined below) and apparel comp sales growth (as defined below) generally performed in line with the overall comp sales increase for fiscal 2026.</w:t>
      </w:r>
    </w:p>
    <w:p>
      <w:pPr>
        <w:spacing w:after="0" w:line="41"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As of January 31, 2026, both our store count and selling s uare footage increased approximately 3 compared to the same period last year.</w:t>
      </w:r>
    </w:p>
    <w:p>
      <w:pPr>
        <w:sectPr>
          <w:pgSz w:w="12240" w:h="15841" w:orient="portrait"/>
          <w:cols w:equalWidth="0" w:num="1">
            <w:col w:w="10260"/>
          </w:cols>
          <w:pgMar w:left="100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2</w:t>
      </w:r>
    </w:p>
    <w:p>
      <w:pPr>
        <w:sectPr>
          <w:pgSz w:w="12240" w:h="15841" w:orient="portrait"/>
          <w:cols w:equalWidth="0" w:num="1">
            <w:col w:w="10260"/>
          </w:cols>
          <w:pgMar w:left="1000" w:top="777" w:right="981" w:bottom="0" w:gutter="0" w:footer="0" w:header="0"/>
          <w:type w:val="continuous"/>
        </w:sectPr>
      </w:pPr>
    </w:p>
    <w:bookmarkStart w:id="37" w:name="page38"/>
    <w:bookmarkEnd w:id="37"/>
    <w:p>
      <w:pPr>
        <w:spacing w:after="0"/>
        <w:tabs>
          <w:tab w:leader="none" w:pos="1140" w:val="left"/>
          <w:tab w:leader="none" w:pos="156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De initi n</w:t>
        <w:tab/>
        <w:t>C</w:t>
        <w:tab/>
        <w:t>para le  ales</w:t>
      </w:r>
    </w:p>
    <w:p>
      <w:pPr>
        <w:spacing w:after="0" w:line="141" w:lineRule="exact"/>
        <w:rPr>
          <w:sz w:val="20"/>
          <w:szCs w:val="20"/>
          <w:color w:val="auto"/>
        </w:rPr>
      </w:pPr>
    </w:p>
    <w:p>
      <w:pPr>
        <w:ind w:right="80" w:firstLine="189"/>
        <w:spacing w:after="0" w:line="271" w:lineRule="auto"/>
        <w:rPr>
          <w:sz w:val="20"/>
          <w:szCs w:val="20"/>
          <w:color w:val="auto"/>
        </w:rPr>
      </w:pPr>
      <w:r>
        <w:rPr>
          <w:rFonts w:ascii="Arial" w:cs="Arial" w:eastAsia="Arial" w:hAnsi="Arial"/>
          <w:sz w:val="19"/>
          <w:szCs w:val="19"/>
          <w:color w:val="auto"/>
        </w:rPr>
        <w:t>e define comparable sales, or comp sales, to be sales of stores and e-commerce sites that have been in operation for all or a portion of two consecutive fiscal years, or, in other words, stores or e-commerce sites that are starting their third fiscal year of operation. In any given fiscal year, we calculate comp sales on a 52-week basis by comparing the current and prior year weekly periods that are most closely aligned. elocated stores and stores that have changed in si e are generally classified in the same way as the original store, and we believe that the impact of these stores on the consolidated comp sales percentage is immaterial. Starting in fiscal 2026, sales from e-commerce sites are included in comp sales, and the impact of such sales on the consolidated comp sales percentage is immaterial.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Sales excluded from comp sales ( non-comp sales ) consist of sales from:</w:t>
      </w:r>
    </w:p>
    <w:p>
      <w:pPr>
        <w:spacing w:after="0" w:line="130" w:lineRule="exact"/>
        <w:rPr>
          <w:sz w:val="20"/>
          <w:szCs w:val="20"/>
          <w:color w:val="auto"/>
        </w:rPr>
      </w:pPr>
    </w:p>
    <w:p>
      <w:pPr>
        <w:ind w:left="720" w:right="580"/>
        <w:spacing w:after="0" w:line="283" w:lineRule="auto"/>
        <w:rPr>
          <w:sz w:val="20"/>
          <w:szCs w:val="20"/>
          <w:color w:val="auto"/>
        </w:rPr>
      </w:pPr>
      <w:r>
        <w:rPr>
          <w:rFonts w:ascii="Arial" w:cs="Arial" w:eastAsia="Arial" w:hAnsi="Arial"/>
          <w:sz w:val="20"/>
          <w:szCs w:val="20"/>
          <w:color w:val="auto"/>
        </w:rPr>
        <w:t>New stores or e-commerce sites - stores or sites that have not yet met the comp sales criteria, which represents a substantial majority of non-comp sales</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Stores or e-commerce sites that are closed permanently or for an extended period of time</w:t>
      </w:r>
    </w:p>
    <w:p>
      <w:pPr>
        <w:spacing w:after="0" w:line="130" w:lineRule="exact"/>
        <w:rPr>
          <w:sz w:val="20"/>
          <w:szCs w:val="20"/>
          <w:color w:val="auto"/>
        </w:rPr>
      </w:pPr>
    </w:p>
    <w:p>
      <w:pPr>
        <w:ind w:right="300" w:firstLine="189"/>
        <w:spacing w:after="0" w:line="266" w:lineRule="auto"/>
        <w:rPr>
          <w:sz w:val="20"/>
          <w:szCs w:val="20"/>
          <w:color w:val="auto"/>
        </w:rPr>
      </w:pPr>
      <w:r>
        <w:rPr>
          <w:rFonts w:ascii="Arial" w:cs="Arial" w:eastAsia="Arial" w:hAnsi="Arial"/>
          <w:sz w:val="20"/>
          <w:szCs w:val="20"/>
          <w:color w:val="auto"/>
        </w:rPr>
        <w:t>e determine which stores and e-commerce sites are included in the comp sales calculation at the beginning of a fiscal year, and the classification remains constant throughout that year unless a store is closed permanently or for an extended period during that fiscal year.</w:t>
      </w:r>
    </w:p>
    <w:p>
      <w:pPr>
        <w:spacing w:after="0" w:line="75" w:lineRule="exact"/>
        <w:rPr>
          <w:sz w:val="20"/>
          <w:szCs w:val="20"/>
          <w:color w:val="auto"/>
        </w:rPr>
      </w:pPr>
    </w:p>
    <w:p>
      <w:pPr>
        <w:ind w:right="580"/>
        <w:spacing w:after="0" w:line="266" w:lineRule="auto"/>
        <w:rPr>
          <w:sz w:val="20"/>
          <w:szCs w:val="20"/>
          <w:color w:val="auto"/>
        </w:rPr>
      </w:pPr>
      <w:r>
        <w:rPr>
          <w:rFonts w:ascii="Arial" w:cs="Arial" w:eastAsia="Arial" w:hAnsi="Arial"/>
          <w:sz w:val="20"/>
          <w:szCs w:val="20"/>
          <w:color w:val="auto"/>
        </w:rPr>
        <w:t>Comp sales of our foreign segments are calculated on a constant currency basis. e define constant currency basis as translating the current year’s results using the prior year’s exchange rates. This removes the effect of changes in currency exchange rates, which we believe is a more appropriate measure of performance.</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Comp sales may be referred to as same store sales by other retail companies. The method for calculating comp sales varies across the retail industry therefore, our measure of comp sales may not be comparable to that of other retail companies. Comparable sales for a category such as home or apparel include sales from merchandise within such category combined across all divisions that fall within the Company’s definition of comparable sales for such period.</w:t>
      </w:r>
    </w:p>
    <w:p>
      <w:pPr>
        <w:spacing w:after="0" w:line="64" w:lineRule="exact"/>
        <w:rPr>
          <w:sz w:val="20"/>
          <w:szCs w:val="20"/>
          <w:color w:val="auto"/>
        </w:rPr>
      </w:pPr>
    </w:p>
    <w:p>
      <w:pPr>
        <w:jc w:val="both"/>
        <w:ind w:right="80" w:firstLine="189"/>
        <w:spacing w:after="0" w:line="266" w:lineRule="auto"/>
        <w:rPr>
          <w:sz w:val="20"/>
          <w:szCs w:val="20"/>
          <w:color w:val="auto"/>
        </w:rPr>
      </w:pPr>
      <w:r>
        <w:rPr>
          <w:rFonts w:ascii="Arial" w:cs="Arial" w:eastAsia="Arial" w:hAnsi="Arial"/>
          <w:sz w:val="20"/>
          <w:szCs w:val="20"/>
          <w:color w:val="auto"/>
        </w:rPr>
        <w:t>e define customer transactions to be the number of transactions in stores or online included in the comp sales calculation. e define average ticket to be the average retail price of the units sold. e define average basket to be the average dollar value of transactions.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1060" w:type="dxa"/>
            <w:vAlign w:val="bottom"/>
          </w:tcPr>
          <w:p>
            <w:pPr>
              <w:ind w:left="140"/>
              <w:spacing w:after="0"/>
              <w:rPr>
                <w:sz w:val="20"/>
                <w:szCs w:val="20"/>
                <w:color w:val="auto"/>
              </w:rPr>
            </w:pPr>
            <w:r>
              <w:rPr>
                <w:rFonts w:ascii="Arial" w:cs="Arial" w:eastAsia="Arial" w:hAnsi="Arial"/>
                <w:sz w:val="22"/>
                <w:szCs w:val="22"/>
                <w:i w:val="1"/>
                <w:iCs w:val="1"/>
                <w:color w:val="auto"/>
                <w:w w:val="93"/>
              </w:rPr>
              <w:t>e enues b</w:t>
            </w:r>
          </w:p>
        </w:tc>
        <w:tc>
          <w:tcPr>
            <w:tcW w:w="1720" w:type="dxa"/>
            <w:vAlign w:val="bottom"/>
          </w:tcPr>
          <w:p>
            <w:pPr>
              <w:ind w:left="280"/>
              <w:spacing w:after="0"/>
              <w:rPr>
                <w:sz w:val="20"/>
                <w:szCs w:val="20"/>
                <w:color w:val="auto"/>
              </w:rPr>
            </w:pPr>
            <w:r>
              <w:rPr>
                <w:rFonts w:ascii="Arial" w:cs="Arial" w:eastAsia="Arial" w:hAnsi="Arial"/>
                <w:sz w:val="22"/>
                <w:szCs w:val="22"/>
                <w:i w:val="1"/>
                <w:iCs w:val="1"/>
                <w:color w:val="auto"/>
              </w:rPr>
              <w:t>eogra</w:t>
            </w:r>
          </w:p>
        </w:tc>
        <w:tc>
          <w:tcPr>
            <w:tcW w:w="6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8"/>
        </w:trPr>
        <w:tc>
          <w:tcPr>
            <w:tcW w:w="8940" w:type="dxa"/>
            <w:vAlign w:val="bottom"/>
            <w:gridSpan w:val="3"/>
          </w:tcPr>
          <w:p>
            <w:pPr>
              <w:jc w:val="right"/>
              <w:ind w:right="619"/>
              <w:spacing w:after="0"/>
              <w:rPr>
                <w:sz w:val="20"/>
                <w:szCs w:val="20"/>
                <w:color w:val="auto"/>
              </w:rPr>
            </w:pPr>
            <w:r>
              <w:rPr>
                <w:rFonts w:ascii="Arial" w:cs="Arial" w:eastAsia="Arial" w:hAnsi="Arial"/>
                <w:sz w:val="20"/>
                <w:szCs w:val="20"/>
                <w:color w:val="auto"/>
                <w:w w:val="89"/>
              </w:rPr>
              <w:t>The percentages of our consolidated revenues by geography for the last two fiscal years are as follows:</w:t>
            </w:r>
          </w:p>
        </w:tc>
        <w:tc>
          <w:tcPr>
            <w:tcW w:w="1320" w:type="dxa"/>
            <w:vAlign w:val="bottom"/>
          </w:tcPr>
          <w:p>
            <w:pPr>
              <w:spacing w:after="0"/>
              <w:rPr>
                <w:sz w:val="24"/>
                <w:szCs w:val="24"/>
                <w:color w:val="auto"/>
              </w:rPr>
            </w:pPr>
          </w:p>
        </w:tc>
      </w:tr>
      <w:tr>
        <w:trPr>
          <w:trHeight w:val="331"/>
        </w:trPr>
        <w:tc>
          <w:tcPr>
            <w:tcW w:w="1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rPr>
              <w:t>Fiscal 2026</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Fiscal 2025</w:t>
            </w:r>
          </w:p>
        </w:tc>
      </w:tr>
      <w:tr>
        <w:trPr>
          <w:trHeight w:val="245"/>
        </w:trPr>
        <w:tc>
          <w:tcPr>
            <w:tcW w:w="278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nited States:</w:t>
            </w:r>
          </w:p>
        </w:tc>
        <w:tc>
          <w:tcPr>
            <w:tcW w:w="6160" w:type="dxa"/>
            <w:vAlign w:val="bottom"/>
            <w:shd w:val="clear" w:color="auto" w:fill="E4E4E4"/>
          </w:tcPr>
          <w:p>
            <w:pPr>
              <w:spacing w:after="0"/>
              <w:rPr>
                <w:sz w:val="21"/>
                <w:szCs w:val="21"/>
                <w:color w:val="auto"/>
              </w:rPr>
            </w:pPr>
          </w:p>
        </w:tc>
        <w:tc>
          <w:tcPr>
            <w:tcW w:w="1320" w:type="dxa"/>
            <w:vAlign w:val="bottom"/>
            <w:shd w:val="clear" w:color="auto" w:fill="E4E4E4"/>
          </w:tcPr>
          <w:p>
            <w:pPr>
              <w:spacing w:after="0"/>
              <w:rPr>
                <w:sz w:val="21"/>
                <w:szCs w:val="21"/>
                <w:color w:val="auto"/>
              </w:rPr>
            </w:pPr>
          </w:p>
        </w:tc>
      </w:tr>
      <w:tr>
        <w:trPr>
          <w:trHeight w:val="255"/>
        </w:trPr>
        <w:tc>
          <w:tcPr>
            <w:tcW w:w="1060" w:type="dxa"/>
            <w:vAlign w:val="bottom"/>
            <w:shd w:val="clear" w:color="auto" w:fill="FEFEFE"/>
          </w:tcPr>
          <w:p>
            <w:pPr>
              <w:ind w:left="260"/>
              <w:spacing w:after="0"/>
              <w:rPr>
                <w:sz w:val="20"/>
                <w:szCs w:val="20"/>
                <w:color w:val="auto"/>
              </w:rPr>
            </w:pPr>
            <w:r>
              <w:rPr>
                <w:rFonts w:ascii="Arial" w:cs="Arial" w:eastAsia="Arial" w:hAnsi="Arial"/>
                <w:sz w:val="20"/>
                <w:szCs w:val="20"/>
                <w:color w:val="auto"/>
                <w:w w:val="89"/>
              </w:rPr>
              <w:t>Northeast</w:t>
            </w:r>
          </w:p>
        </w:tc>
        <w:tc>
          <w:tcPr>
            <w:tcW w:w="1720" w:type="dxa"/>
            <w:vAlign w:val="bottom"/>
            <w:shd w:val="clear" w:color="auto" w:fill="FEFEFE"/>
          </w:tcPr>
          <w:p>
            <w:pPr>
              <w:spacing w:after="0"/>
              <w:rPr>
                <w:sz w:val="22"/>
                <w:szCs w:val="22"/>
                <w:color w:val="auto"/>
              </w:rPr>
            </w:pPr>
          </w:p>
        </w:tc>
        <w:tc>
          <w:tcPr>
            <w:tcW w:w="6160" w:type="dxa"/>
            <w:vAlign w:val="bottom"/>
            <w:shd w:val="clear" w:color="auto" w:fill="FEFEFE"/>
          </w:tcPr>
          <w:p>
            <w:pPr>
              <w:jc w:val="right"/>
              <w:ind w:right="199"/>
              <w:spacing w:after="0"/>
              <w:rPr>
                <w:sz w:val="20"/>
                <w:szCs w:val="20"/>
                <w:color w:val="auto"/>
              </w:rPr>
            </w:pPr>
            <w:r>
              <w:rPr>
                <w:rFonts w:ascii="Arial" w:cs="Arial" w:eastAsia="Arial" w:hAnsi="Arial"/>
                <w:sz w:val="20"/>
                <w:szCs w:val="20"/>
                <w:color w:val="auto"/>
              </w:rPr>
              <w:t>21</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21</w:t>
            </w:r>
          </w:p>
        </w:tc>
      </w:tr>
      <w:tr>
        <w:trPr>
          <w:trHeight w:val="255"/>
        </w:trPr>
        <w:tc>
          <w:tcPr>
            <w:tcW w:w="1060" w:type="dxa"/>
            <w:vAlign w:val="bottom"/>
            <w:shd w:val="clear" w:color="auto" w:fill="E4E4E4"/>
          </w:tcPr>
          <w:p>
            <w:pPr>
              <w:ind w:left="440"/>
              <w:spacing w:after="0"/>
              <w:rPr>
                <w:sz w:val="20"/>
                <w:szCs w:val="20"/>
                <w:color w:val="auto"/>
              </w:rPr>
            </w:pPr>
            <w:r>
              <w:rPr>
                <w:rFonts w:ascii="Arial" w:cs="Arial" w:eastAsia="Arial" w:hAnsi="Arial"/>
                <w:sz w:val="20"/>
                <w:szCs w:val="20"/>
                <w:color w:val="auto"/>
              </w:rPr>
              <w:t>idwest</w:t>
            </w:r>
          </w:p>
        </w:tc>
        <w:tc>
          <w:tcPr>
            <w:tcW w:w="1720" w:type="dxa"/>
            <w:vAlign w:val="bottom"/>
            <w:shd w:val="clear" w:color="auto" w:fill="E4E4E4"/>
          </w:tcPr>
          <w:p>
            <w:pPr>
              <w:spacing w:after="0"/>
              <w:rPr>
                <w:sz w:val="22"/>
                <w:szCs w:val="22"/>
                <w:color w:val="auto"/>
              </w:rPr>
            </w:pPr>
          </w:p>
        </w:tc>
        <w:tc>
          <w:tcPr>
            <w:tcW w:w="6160" w:type="dxa"/>
            <w:vAlign w:val="bottom"/>
            <w:shd w:val="clear" w:color="auto" w:fill="E4E4E4"/>
          </w:tcPr>
          <w:p>
            <w:pPr>
              <w:jc w:val="right"/>
              <w:ind w:right="199"/>
              <w:spacing w:after="0"/>
              <w:rPr>
                <w:sz w:val="20"/>
                <w:szCs w:val="20"/>
                <w:color w:val="auto"/>
              </w:rPr>
            </w:pPr>
            <w:r>
              <w:rPr>
                <w:rFonts w:ascii="Arial" w:cs="Arial" w:eastAsia="Arial" w:hAnsi="Arial"/>
                <w:sz w:val="20"/>
                <w:szCs w:val="20"/>
                <w:color w:val="auto"/>
              </w:rPr>
              <w:t>13</w:t>
            </w:r>
          </w:p>
        </w:tc>
        <w:tc>
          <w:tcPr>
            <w:tcW w:w="132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13</w:t>
            </w:r>
          </w:p>
        </w:tc>
      </w:tr>
      <w:tr>
        <w:trPr>
          <w:trHeight w:val="255"/>
        </w:trPr>
        <w:tc>
          <w:tcPr>
            <w:tcW w:w="278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w w:val="99"/>
              </w:rPr>
              <w:t>South (including Puerto  ico)</w:t>
            </w:r>
          </w:p>
        </w:tc>
        <w:tc>
          <w:tcPr>
            <w:tcW w:w="6160" w:type="dxa"/>
            <w:vAlign w:val="bottom"/>
            <w:shd w:val="clear" w:color="auto" w:fill="FEFEFE"/>
          </w:tcPr>
          <w:p>
            <w:pPr>
              <w:jc w:val="right"/>
              <w:ind w:right="199"/>
              <w:spacing w:after="0"/>
              <w:rPr>
                <w:sz w:val="20"/>
                <w:szCs w:val="20"/>
                <w:color w:val="auto"/>
              </w:rPr>
            </w:pPr>
            <w:r>
              <w:rPr>
                <w:rFonts w:ascii="Arial" w:cs="Arial" w:eastAsia="Arial" w:hAnsi="Arial"/>
                <w:sz w:val="20"/>
                <w:szCs w:val="20"/>
                <w:color w:val="auto"/>
              </w:rPr>
              <w:t>28</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28</w:t>
            </w:r>
          </w:p>
        </w:tc>
      </w:tr>
      <w:tr>
        <w:trPr>
          <w:trHeight w:val="245"/>
        </w:trPr>
        <w:tc>
          <w:tcPr>
            <w:tcW w:w="1060" w:type="dxa"/>
            <w:vAlign w:val="bottom"/>
            <w:tcBorders>
              <w:bottom w:val="single" w:sz="8" w:color="auto"/>
            </w:tcBorders>
            <w:shd w:val="clear" w:color="auto" w:fill="E4E4E4"/>
          </w:tcPr>
          <w:p>
            <w:pPr>
              <w:ind w:left="460"/>
              <w:spacing w:after="0"/>
              <w:rPr>
                <w:sz w:val="20"/>
                <w:szCs w:val="20"/>
                <w:color w:val="auto"/>
              </w:rPr>
            </w:pPr>
            <w:r>
              <w:rPr>
                <w:rFonts w:ascii="Arial" w:cs="Arial" w:eastAsia="Arial" w:hAnsi="Arial"/>
                <w:sz w:val="20"/>
                <w:szCs w:val="20"/>
                <w:color w:val="auto"/>
              </w:rPr>
              <w:t>est</w:t>
            </w:r>
          </w:p>
        </w:tc>
        <w:tc>
          <w:tcPr>
            <w:tcW w:w="1720" w:type="dxa"/>
            <w:vAlign w:val="bottom"/>
            <w:tcBorders>
              <w:bottom w:val="single" w:sz="8" w:color="auto"/>
            </w:tcBorders>
            <w:shd w:val="clear" w:color="auto" w:fill="E4E4E4"/>
          </w:tcPr>
          <w:p>
            <w:pPr>
              <w:spacing w:after="0"/>
              <w:rPr>
                <w:sz w:val="21"/>
                <w:szCs w:val="21"/>
                <w:color w:val="auto"/>
              </w:rPr>
            </w:pPr>
          </w:p>
        </w:tc>
        <w:tc>
          <w:tcPr>
            <w:tcW w:w="6160" w:type="dxa"/>
            <w:vAlign w:val="bottom"/>
            <w:tcBorders>
              <w:bottom w:val="single" w:sz="8" w:color="auto"/>
            </w:tcBorders>
            <w:shd w:val="clear" w:color="auto" w:fill="E4E4E4"/>
          </w:tcPr>
          <w:p>
            <w:pPr>
              <w:jc w:val="right"/>
              <w:ind w:right="199"/>
              <w:spacing w:after="0"/>
              <w:rPr>
                <w:sz w:val="20"/>
                <w:szCs w:val="20"/>
                <w:color w:val="auto"/>
              </w:rPr>
            </w:pPr>
            <w:r>
              <w:rPr>
                <w:rFonts w:ascii="Arial" w:cs="Arial" w:eastAsia="Arial" w:hAnsi="Arial"/>
                <w:sz w:val="20"/>
                <w:szCs w:val="20"/>
                <w:color w:val="auto"/>
              </w:rPr>
              <w:t>16</w:t>
            </w:r>
          </w:p>
        </w:tc>
        <w:tc>
          <w:tcPr>
            <w:tcW w:w="132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16</w:t>
            </w:r>
          </w:p>
        </w:tc>
      </w:tr>
      <w:tr>
        <w:trPr>
          <w:trHeight w:val="245"/>
        </w:trPr>
        <w:tc>
          <w:tcPr>
            <w:tcW w:w="1060" w:type="dxa"/>
            <w:vAlign w:val="bottom"/>
            <w:shd w:val="clear" w:color="auto" w:fill="FEFEFE"/>
          </w:tcPr>
          <w:p>
            <w:pPr>
              <w:ind w:left="540"/>
              <w:spacing w:after="0"/>
              <w:rPr>
                <w:sz w:val="20"/>
                <w:szCs w:val="20"/>
                <w:color w:val="auto"/>
              </w:rPr>
            </w:pPr>
            <w:r>
              <w:rPr>
                <w:rFonts w:ascii="Arial" w:cs="Arial" w:eastAsia="Arial" w:hAnsi="Arial"/>
                <w:sz w:val="20"/>
                <w:szCs w:val="20"/>
                <w:color w:val="auto"/>
              </w:rPr>
              <w:t>Total</w:t>
            </w:r>
          </w:p>
        </w:tc>
        <w:tc>
          <w:tcPr>
            <w:tcW w:w="1720" w:type="dxa"/>
            <w:vAlign w:val="bottom"/>
            <w:shd w:val="clear" w:color="auto" w:fill="FEFEFE"/>
          </w:tcPr>
          <w:p>
            <w:pPr>
              <w:ind w:left="100"/>
              <w:spacing w:after="0"/>
              <w:rPr>
                <w:sz w:val="20"/>
                <w:szCs w:val="20"/>
                <w:color w:val="auto"/>
              </w:rPr>
            </w:pPr>
            <w:r>
              <w:rPr>
                <w:rFonts w:ascii="Arial" w:cs="Arial" w:eastAsia="Arial" w:hAnsi="Arial"/>
                <w:sz w:val="20"/>
                <w:szCs w:val="20"/>
                <w:color w:val="auto"/>
              </w:rPr>
              <w:t>nited States</w:t>
            </w:r>
          </w:p>
        </w:tc>
        <w:tc>
          <w:tcPr>
            <w:tcW w:w="6160" w:type="dxa"/>
            <w:vAlign w:val="bottom"/>
            <w:shd w:val="clear" w:color="auto" w:fill="FEFEFE"/>
          </w:tcPr>
          <w:p>
            <w:pPr>
              <w:jc w:val="right"/>
              <w:ind w:right="199"/>
              <w:spacing w:after="0"/>
              <w:rPr>
                <w:sz w:val="20"/>
                <w:szCs w:val="20"/>
                <w:color w:val="auto"/>
              </w:rPr>
            </w:pPr>
            <w:r>
              <w:rPr>
                <w:rFonts w:ascii="Arial" w:cs="Arial" w:eastAsia="Arial" w:hAnsi="Arial"/>
                <w:sz w:val="20"/>
                <w:szCs w:val="20"/>
                <w:color w:val="auto"/>
              </w:rPr>
              <w:t>78</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78</w:t>
            </w:r>
          </w:p>
        </w:tc>
      </w:tr>
      <w:tr>
        <w:trPr>
          <w:trHeight w:val="255"/>
        </w:trPr>
        <w:tc>
          <w:tcPr>
            <w:tcW w:w="1060" w:type="dxa"/>
            <w:vAlign w:val="bottom"/>
            <w:shd w:val="clear" w:color="auto" w:fill="E4E4E4"/>
          </w:tcPr>
          <w:p>
            <w:pPr>
              <w:ind w:left="40"/>
              <w:spacing w:after="0"/>
              <w:rPr>
                <w:sz w:val="20"/>
                <w:szCs w:val="20"/>
                <w:color w:val="auto"/>
              </w:rPr>
            </w:pPr>
            <w:r>
              <w:rPr>
                <w:rFonts w:ascii="Arial" w:cs="Arial" w:eastAsia="Arial" w:hAnsi="Arial"/>
                <w:sz w:val="20"/>
                <w:szCs w:val="20"/>
                <w:color w:val="auto"/>
              </w:rPr>
              <w:t>Canada</w:t>
            </w:r>
          </w:p>
        </w:tc>
        <w:tc>
          <w:tcPr>
            <w:tcW w:w="1720" w:type="dxa"/>
            <w:vAlign w:val="bottom"/>
            <w:shd w:val="clear" w:color="auto" w:fill="E4E4E4"/>
          </w:tcPr>
          <w:p>
            <w:pPr>
              <w:spacing w:after="0"/>
              <w:rPr>
                <w:sz w:val="22"/>
                <w:szCs w:val="22"/>
                <w:color w:val="auto"/>
              </w:rPr>
            </w:pPr>
          </w:p>
        </w:tc>
        <w:tc>
          <w:tcPr>
            <w:tcW w:w="6160" w:type="dxa"/>
            <w:vAlign w:val="bottom"/>
            <w:shd w:val="clear" w:color="auto" w:fill="E4E4E4"/>
          </w:tcPr>
          <w:p>
            <w:pPr>
              <w:jc w:val="right"/>
              <w:ind w:right="199"/>
              <w:spacing w:after="0"/>
              <w:rPr>
                <w:sz w:val="20"/>
                <w:szCs w:val="20"/>
                <w:color w:val="auto"/>
              </w:rPr>
            </w:pPr>
            <w:r>
              <w:rPr>
                <w:rFonts w:ascii="Arial" w:cs="Arial" w:eastAsia="Arial" w:hAnsi="Arial"/>
                <w:sz w:val="20"/>
                <w:szCs w:val="20"/>
                <w:color w:val="auto"/>
              </w:rPr>
              <w:t>9</w:t>
            </w:r>
          </w:p>
        </w:tc>
        <w:tc>
          <w:tcPr>
            <w:tcW w:w="1320" w:type="dxa"/>
            <w:vAlign w:val="bottom"/>
            <w:shd w:val="clear" w:color="auto" w:fill="E4E4E4"/>
          </w:tcPr>
          <w:p>
            <w:pPr>
              <w:spacing w:after="0"/>
              <w:rPr>
                <w:sz w:val="22"/>
                <w:szCs w:val="22"/>
                <w:color w:val="auto"/>
              </w:rPr>
            </w:pPr>
          </w:p>
        </w:tc>
      </w:tr>
      <w:tr>
        <w:trPr>
          <w:trHeight w:val="255"/>
        </w:trPr>
        <w:tc>
          <w:tcPr>
            <w:tcW w:w="1060" w:type="dxa"/>
            <w:vAlign w:val="bottom"/>
            <w:shd w:val="clear" w:color="auto" w:fill="FEFEFE"/>
          </w:tcPr>
          <w:p>
            <w:pPr>
              <w:ind w:left="40"/>
              <w:spacing w:after="0"/>
              <w:rPr>
                <w:sz w:val="20"/>
                <w:szCs w:val="20"/>
                <w:color w:val="auto"/>
              </w:rPr>
            </w:pPr>
            <w:r>
              <w:rPr>
                <w:rFonts w:ascii="Arial" w:cs="Arial" w:eastAsia="Arial" w:hAnsi="Arial"/>
                <w:sz w:val="20"/>
                <w:szCs w:val="20"/>
                <w:color w:val="auto"/>
              </w:rPr>
              <w:t>Europe</w:t>
            </w:r>
          </w:p>
        </w:tc>
        <w:tc>
          <w:tcPr>
            <w:tcW w:w="1720" w:type="dxa"/>
            <w:vAlign w:val="bottom"/>
            <w:shd w:val="clear" w:color="auto" w:fill="FEFEFE"/>
          </w:tcPr>
          <w:p>
            <w:pPr>
              <w:spacing w:after="0"/>
              <w:rPr>
                <w:sz w:val="22"/>
                <w:szCs w:val="22"/>
                <w:color w:val="auto"/>
              </w:rPr>
            </w:pPr>
          </w:p>
        </w:tc>
        <w:tc>
          <w:tcPr>
            <w:tcW w:w="6160" w:type="dxa"/>
            <w:vAlign w:val="bottom"/>
            <w:shd w:val="clear" w:color="auto" w:fill="FEFEFE"/>
          </w:tcPr>
          <w:p>
            <w:pPr>
              <w:jc w:val="right"/>
              <w:ind w:right="199"/>
              <w:spacing w:after="0"/>
              <w:rPr>
                <w:sz w:val="20"/>
                <w:szCs w:val="20"/>
                <w:color w:val="auto"/>
              </w:rPr>
            </w:pPr>
            <w:r>
              <w:rPr>
                <w:rFonts w:ascii="Arial" w:cs="Arial" w:eastAsia="Arial" w:hAnsi="Arial"/>
                <w:sz w:val="20"/>
                <w:szCs w:val="20"/>
                <w:color w:val="auto"/>
              </w:rPr>
              <w:t>12</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12</w:t>
            </w:r>
          </w:p>
        </w:tc>
      </w:tr>
      <w:tr>
        <w:trPr>
          <w:trHeight w:val="245"/>
        </w:trPr>
        <w:tc>
          <w:tcPr>
            <w:tcW w:w="106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Australia</w:t>
            </w:r>
          </w:p>
        </w:tc>
        <w:tc>
          <w:tcPr>
            <w:tcW w:w="1720" w:type="dxa"/>
            <w:vAlign w:val="bottom"/>
            <w:tcBorders>
              <w:bottom w:val="single" w:sz="8" w:color="auto"/>
            </w:tcBorders>
            <w:shd w:val="clear" w:color="auto" w:fill="E4E4E4"/>
          </w:tcPr>
          <w:p>
            <w:pPr>
              <w:spacing w:after="0"/>
              <w:rPr>
                <w:sz w:val="21"/>
                <w:szCs w:val="21"/>
                <w:color w:val="auto"/>
              </w:rPr>
            </w:pPr>
          </w:p>
        </w:tc>
        <w:tc>
          <w:tcPr>
            <w:tcW w:w="6160" w:type="dxa"/>
            <w:vAlign w:val="bottom"/>
            <w:tcBorders>
              <w:bottom w:val="single" w:sz="8" w:color="auto"/>
            </w:tcBorders>
            <w:shd w:val="clear" w:color="auto" w:fill="E4E4E4"/>
          </w:tcPr>
          <w:p>
            <w:pPr>
              <w:jc w:val="right"/>
              <w:ind w:right="199"/>
              <w:spacing w:after="0"/>
              <w:rPr>
                <w:sz w:val="20"/>
                <w:szCs w:val="20"/>
                <w:color w:val="auto"/>
              </w:rPr>
            </w:pPr>
            <w:r>
              <w:rPr>
                <w:rFonts w:ascii="Arial" w:cs="Arial" w:eastAsia="Arial" w:hAnsi="Arial"/>
                <w:sz w:val="20"/>
                <w:szCs w:val="20"/>
                <w:color w:val="auto"/>
              </w:rPr>
              <w:t>1</w:t>
            </w:r>
          </w:p>
        </w:tc>
        <w:tc>
          <w:tcPr>
            <w:tcW w:w="132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w:t>
            </w:r>
          </w:p>
        </w:tc>
      </w:tr>
      <w:tr>
        <w:trPr>
          <w:trHeight w:val="235"/>
        </w:trPr>
        <w:tc>
          <w:tcPr>
            <w:tcW w:w="2780" w:type="dxa"/>
            <w:vAlign w:val="bottom"/>
            <w:tcBorders>
              <w:bottom w:val="single" w:sz="8" w:color="auto"/>
            </w:tcBorders>
            <w:gridSpan w:val="2"/>
            <w:shd w:val="clear" w:color="auto" w:fill="FEFEFE"/>
          </w:tcPr>
          <w:p>
            <w:pPr>
              <w:ind w:left="540"/>
              <w:spacing w:after="0"/>
              <w:rPr>
                <w:sz w:val="20"/>
                <w:szCs w:val="20"/>
                <w:color w:val="auto"/>
              </w:rPr>
            </w:pPr>
            <w:r>
              <w:rPr>
                <w:rFonts w:ascii="Arial" w:cs="Arial" w:eastAsia="Arial" w:hAnsi="Arial"/>
                <w:sz w:val="20"/>
                <w:szCs w:val="20"/>
                <w:color w:val="auto"/>
              </w:rPr>
              <w:t>Total TJX</w:t>
            </w:r>
          </w:p>
        </w:tc>
        <w:tc>
          <w:tcPr>
            <w:tcW w:w="6160" w:type="dxa"/>
            <w:vAlign w:val="bottom"/>
            <w:tcBorders>
              <w:bottom w:val="single" w:sz="8" w:color="auto"/>
            </w:tcBorders>
            <w:shd w:val="clear" w:color="auto" w:fill="FEFEFE"/>
          </w:tcPr>
          <w:p>
            <w:pPr>
              <w:jc w:val="right"/>
              <w:ind w:right="199"/>
              <w:spacing w:after="0"/>
              <w:rPr>
                <w:sz w:val="20"/>
                <w:szCs w:val="20"/>
                <w:color w:val="auto"/>
              </w:rPr>
            </w:pPr>
            <w:r>
              <w:rPr>
                <w:rFonts w:ascii="Arial" w:cs="Arial" w:eastAsia="Arial" w:hAnsi="Arial"/>
                <w:sz w:val="20"/>
                <w:szCs w:val="20"/>
                <w:color w:val="auto"/>
              </w:rPr>
              <w:t>100</w:t>
            </w:r>
          </w:p>
        </w:tc>
        <w:tc>
          <w:tcPr>
            <w:tcW w:w="132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100</w:t>
            </w:r>
          </w:p>
        </w:tc>
      </w:tr>
      <w:tr>
        <w:trPr>
          <w:trHeight w:val="425"/>
        </w:trPr>
        <w:tc>
          <w:tcPr>
            <w:tcW w:w="1060" w:type="dxa"/>
            <w:vAlign w:val="bottom"/>
          </w:tcPr>
          <w:p>
            <w:pPr>
              <w:ind w:left="360"/>
              <w:spacing w:after="0"/>
              <w:rPr>
                <w:sz w:val="20"/>
                <w:szCs w:val="20"/>
                <w:color w:val="auto"/>
              </w:rPr>
            </w:pPr>
            <w:r>
              <w:rPr>
                <w:rFonts w:ascii="Arial" w:cs="Arial" w:eastAsia="Arial" w:hAnsi="Arial"/>
                <w:sz w:val="22"/>
                <w:szCs w:val="22"/>
                <w:i w:val="1"/>
                <w:iCs w:val="1"/>
                <w:color w:val="auto"/>
              </w:rPr>
              <w:t>act of</w:t>
            </w:r>
          </w:p>
        </w:tc>
        <w:tc>
          <w:tcPr>
            <w:tcW w:w="1720" w:type="dxa"/>
            <w:vAlign w:val="bottom"/>
          </w:tcPr>
          <w:p>
            <w:pPr>
              <w:spacing w:after="0"/>
              <w:rPr>
                <w:sz w:val="20"/>
                <w:szCs w:val="20"/>
                <w:color w:val="auto"/>
              </w:rPr>
            </w:pPr>
            <w:r>
              <w:rPr>
                <w:rFonts w:ascii="Arial" w:cs="Arial" w:eastAsia="Arial" w:hAnsi="Arial"/>
                <w:sz w:val="22"/>
                <w:szCs w:val="22"/>
                <w:i w:val="1"/>
                <w:iCs w:val="1"/>
                <w:color w:val="auto"/>
              </w:rPr>
              <w:t>oreign Currenc</w:t>
            </w:r>
          </w:p>
        </w:tc>
        <w:tc>
          <w:tcPr>
            <w:tcW w:w="6160" w:type="dxa"/>
            <w:vAlign w:val="bottom"/>
          </w:tcPr>
          <w:p>
            <w:pPr>
              <w:jc w:val="right"/>
              <w:ind w:right="4739"/>
              <w:spacing w:after="0"/>
              <w:rPr>
                <w:sz w:val="20"/>
                <w:szCs w:val="20"/>
                <w:color w:val="auto"/>
              </w:rPr>
            </w:pPr>
            <w:r>
              <w:rPr>
                <w:rFonts w:ascii="Arial" w:cs="Arial" w:eastAsia="Arial" w:hAnsi="Arial"/>
                <w:sz w:val="22"/>
                <w:szCs w:val="22"/>
                <w:i w:val="1"/>
                <w:iCs w:val="1"/>
                <w:color w:val="auto"/>
              </w:rPr>
              <w:t>c ange  ates</w:t>
            </w:r>
          </w:p>
        </w:tc>
        <w:tc>
          <w:tcPr>
            <w:tcW w:w="1320" w:type="dxa"/>
            <w:vAlign w:val="bottom"/>
          </w:tcPr>
          <w:p>
            <w:pPr>
              <w:spacing w:after="0"/>
              <w:rPr>
                <w:sz w:val="24"/>
                <w:szCs w:val="24"/>
                <w:color w:val="auto"/>
              </w:rPr>
            </w:pPr>
          </w:p>
        </w:tc>
      </w:tr>
    </w:tbl>
    <w:p>
      <w:pPr>
        <w:spacing w:after="0" w:line="106" w:lineRule="exact"/>
        <w:rPr>
          <w:sz w:val="20"/>
          <w:szCs w:val="20"/>
          <w:color w:val="auto"/>
        </w:rPr>
      </w:pPr>
    </w:p>
    <w:p>
      <w:pPr>
        <w:ind w:right="200" w:firstLine="145"/>
        <w:spacing w:after="0" w:line="257" w:lineRule="auto"/>
        <w:rPr>
          <w:sz w:val="20"/>
          <w:szCs w:val="20"/>
          <w:color w:val="auto"/>
        </w:rPr>
      </w:pPr>
      <w:r>
        <w:rPr>
          <w:rFonts w:ascii="Arial" w:cs="Arial" w:eastAsia="Arial" w:hAnsi="Arial"/>
          <w:sz w:val="20"/>
          <w:szCs w:val="20"/>
          <w:color w:val="auto"/>
        </w:rPr>
        <w:t>ur operating results are affected by foreign currency exchange rates as a result of changes in the value of the .S. dollar or a division’s local currency in relation to other currencies. 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sectPr>
          <w:pgSz w:w="12240" w:h="15841" w:orient="portrait"/>
          <w:cols w:equalWidth="0" w:num="1">
            <w:col w:w="10260"/>
          </w:cols>
          <w:pgMar w:left="1000" w:top="783"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ectPr>
          <w:pgSz w:w="12240" w:h="15841" w:orient="portrait"/>
          <w:cols w:equalWidth="0" w:num="1">
            <w:col w:w="10260"/>
          </w:cols>
          <w:pgMar w:left="1000" w:top="783" w:right="981" w:bottom="0" w:gutter="0" w:footer="0" w:header="0"/>
          <w:type w:val="continuous"/>
        </w:sectPr>
      </w:pPr>
    </w:p>
    <w:bookmarkStart w:id="38" w:name="page39"/>
    <w:bookmarkEnd w:id="38"/>
    <w:p>
      <w:pPr>
        <w:ind w:left="130"/>
        <w:spacing w:after="0"/>
        <w:tabs>
          <w:tab w:leader="none" w:pos="1309" w:val="left"/>
          <w:tab w:leader="none" w:pos="2049"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ranslati n</w:t>
        <w:tab/>
        <w:t>reign</w:t>
      </w:r>
      <w:r>
        <w:rPr>
          <w:sz w:val="20"/>
          <w:szCs w:val="20"/>
          <w:color w:val="auto"/>
        </w:rPr>
        <w:tab/>
      </w:r>
      <w:r>
        <w:rPr>
          <w:rFonts w:ascii="Arial" w:cs="Arial" w:eastAsia="Arial" w:hAnsi="Arial"/>
          <w:sz w:val="19"/>
          <w:szCs w:val="19"/>
          <w:i w:val="1"/>
          <w:iCs w:val="1"/>
          <w:color w:val="auto"/>
        </w:rPr>
        <w:t>change</w:t>
      </w:r>
    </w:p>
    <w:p>
      <w:pPr>
        <w:spacing w:after="0" w:line="141" w:lineRule="exact"/>
        <w:rPr>
          <w:sz w:val="20"/>
          <w:szCs w:val="20"/>
          <w:color w:val="auto"/>
        </w:rPr>
      </w:pPr>
    </w:p>
    <w:p>
      <w:pPr>
        <w:ind w:left="10" w:right="20"/>
        <w:spacing w:after="0" w:line="257" w:lineRule="auto"/>
        <w:rPr>
          <w:sz w:val="20"/>
          <w:szCs w:val="20"/>
          <w:color w:val="auto"/>
        </w:rPr>
      </w:pPr>
      <w:r>
        <w:rPr>
          <w:rFonts w:ascii="Arial" w:cs="Arial" w:eastAsia="Arial" w:hAnsi="Arial"/>
          <w:sz w:val="20"/>
          <w:szCs w:val="20"/>
          <w:color w:val="auto"/>
        </w:rPr>
        <w:t>In our Consolidated Financial Statements, we translate the operations of TJX Canada and TJX International from local currencies into .S. dollars using currency rates in effect at different points in time. Significant changes in foreign exchange rates between comparable prior periods can result in meaningful variations in assets, liabilities, net sales, net income and earnings per share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73" w:lineRule="exact"/>
        <w:rPr>
          <w:sz w:val="20"/>
          <w:szCs w:val="20"/>
          <w:color w:val="auto"/>
        </w:rPr>
      </w:pPr>
    </w:p>
    <w:p>
      <w:pPr>
        <w:ind w:left="190"/>
        <w:spacing w:after="0"/>
        <w:tabs>
          <w:tab w:leader="none" w:pos="949" w:val="left"/>
        </w:tabs>
        <w:rPr>
          <w:sz w:val="20"/>
          <w:szCs w:val="20"/>
          <w:color w:val="auto"/>
        </w:rPr>
      </w:pPr>
      <w:r>
        <w:rPr>
          <w:rFonts w:ascii="Arial" w:cs="Arial" w:eastAsia="Arial" w:hAnsi="Arial"/>
          <w:sz w:val="22"/>
          <w:szCs w:val="22"/>
          <w:i w:val="1"/>
          <w:iCs w:val="1"/>
          <w:color w:val="auto"/>
        </w:rPr>
        <w:t>ar  t</w:t>
      </w:r>
      <w:r>
        <w:rPr>
          <w:sz w:val="20"/>
          <w:szCs w:val="20"/>
          <w:color w:val="auto"/>
        </w:rPr>
        <w:tab/>
      </w:r>
      <w:r>
        <w:rPr>
          <w:rFonts w:ascii="Arial" w:cs="Arial" w:eastAsia="Arial" w:hAnsi="Arial"/>
          <w:sz w:val="22"/>
          <w:szCs w:val="22"/>
          <w:i w:val="1"/>
          <w:iCs w:val="1"/>
          <w:color w:val="auto"/>
        </w:rPr>
        <w:t>ar et nvent r  Derivatives</w:t>
      </w:r>
    </w:p>
    <w:p>
      <w:pPr>
        <w:spacing w:after="0" w:line="141" w:lineRule="exact"/>
        <w:rPr>
          <w:sz w:val="20"/>
          <w:szCs w:val="20"/>
          <w:color w:val="auto"/>
        </w:rPr>
      </w:pPr>
    </w:p>
    <w:p>
      <w:pPr>
        <w:ind w:left="10" w:right="40" w:firstLine="189"/>
        <w:spacing w:after="0" w:line="269" w:lineRule="auto"/>
        <w:rPr>
          <w:sz w:val="20"/>
          <w:szCs w:val="20"/>
          <w:color w:val="auto"/>
        </w:rPr>
      </w:pPr>
      <w:r>
        <w:rPr>
          <w:rFonts w:ascii="Arial" w:cs="Arial" w:eastAsia="Arial" w:hAnsi="Arial"/>
          <w:sz w:val="19"/>
          <w:szCs w:val="19"/>
          <w:color w:val="auto"/>
        </w:rPr>
        <w:t>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.S. generally accepted accounting principles ( AAP ), we record a mark-to-market gain or loss on the derivative instruments in our results of operations at the end of each reporting period. In subse uent periods, the income statement impact of the mark-to-market adjustment is effectively offset when the inventory being hedged is paid for. 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66" w:lineRule="exact"/>
        <w:rPr>
          <w:sz w:val="20"/>
          <w:szCs w:val="20"/>
          <w:color w:val="auto"/>
        </w:rPr>
      </w:pPr>
    </w:p>
    <w:p>
      <w:pPr>
        <w:ind w:left="130"/>
        <w:spacing w:after="0"/>
        <w:tabs>
          <w:tab w:leader="none" w:pos="1509" w:val="left"/>
          <w:tab w:leader="none" w:pos="2269" w:val="left"/>
        </w:tabs>
        <w:rPr>
          <w:sz w:val="20"/>
          <w:szCs w:val="20"/>
          <w:color w:val="auto"/>
        </w:rPr>
      </w:pPr>
      <w:r>
        <w:rPr>
          <w:rFonts w:ascii="Arial" w:cs="Arial" w:eastAsia="Arial" w:hAnsi="Arial"/>
          <w:sz w:val="22"/>
          <w:szCs w:val="22"/>
          <w:i w:val="1"/>
          <w:iCs w:val="1"/>
          <w:color w:val="auto"/>
        </w:rPr>
        <w:t>ransacti nal</w:t>
        <w:tab/>
        <w:t>reign</w:t>
      </w:r>
      <w:r>
        <w:rPr>
          <w:sz w:val="20"/>
          <w:szCs w:val="20"/>
          <w:color w:val="auto"/>
        </w:rPr>
        <w:tab/>
      </w:r>
      <w:r>
        <w:rPr>
          <w:rFonts w:ascii="Arial" w:cs="Arial" w:eastAsia="Arial" w:hAnsi="Arial"/>
          <w:sz w:val="19"/>
          <w:szCs w:val="19"/>
          <w:i w:val="1"/>
          <w:iCs w:val="1"/>
          <w:color w:val="auto"/>
        </w:rPr>
        <w:t>change</w:t>
      </w:r>
    </w:p>
    <w:p>
      <w:pPr>
        <w:spacing w:after="0" w:line="141" w:lineRule="exact"/>
        <w:rPr>
          <w:sz w:val="20"/>
          <w:szCs w:val="20"/>
          <w:color w:val="auto"/>
        </w:rPr>
      </w:pPr>
    </w:p>
    <w:p>
      <w:pPr>
        <w:ind w:left="10" w:right="40" w:firstLine="189"/>
        <w:spacing w:after="0" w:line="294" w:lineRule="auto"/>
        <w:rPr>
          <w:sz w:val="20"/>
          <w:szCs w:val="20"/>
          <w:color w:val="auto"/>
        </w:rPr>
      </w:pPr>
      <w:r>
        <w:rPr>
          <w:rFonts w:ascii="Arial" w:cs="Arial" w:eastAsia="Arial" w:hAnsi="Arial"/>
          <w:sz w:val="18"/>
          <w:szCs w:val="18"/>
          <w:color w:val="auto"/>
        </w:rPr>
        <w:t>hen discussing the impact on our results of the effect of foreign currency exchange rates on certain transactions, we refer to it as transactional foreign exchange . This primarily includes the impact that foreign currency exchange rates may have on the year-over-year comparison of merchandise margin as well as foreign currency gains and losses on transactions that are denominated in a currency other than the operating division s local currency. These two items can impact segment margin comparison of our foreign divisions and we have highlighted them when they are meaningful to understanding operating trends.</w:t>
      </w:r>
    </w:p>
    <w:p>
      <w:pPr>
        <w:spacing w:after="0" w:line="37" w:lineRule="exact"/>
        <w:rPr>
          <w:sz w:val="20"/>
          <w:szCs w:val="20"/>
          <w:color w:val="auto"/>
        </w:rPr>
      </w:pPr>
    </w:p>
    <w:p>
      <w:pPr>
        <w:ind w:left="10"/>
        <w:spacing w:after="0"/>
        <w:tabs>
          <w:tab w:leader="none" w:pos="789" w:val="left"/>
          <w:tab w:leader="none" w:pos="1349" w:val="left"/>
          <w:tab w:leader="none" w:pos="2349" w:val="left"/>
        </w:tabs>
        <w:rPr>
          <w:sz w:val="20"/>
          <w:szCs w:val="20"/>
          <w:color w:val="auto"/>
        </w:rPr>
      </w:pPr>
      <w:r>
        <w:rPr>
          <w:rFonts w:ascii="Arial" w:cs="Arial" w:eastAsia="Arial" w:hAnsi="Arial"/>
          <w:sz w:val="22"/>
          <w:szCs w:val="22"/>
          <w:i w:val="1"/>
          <w:iCs w:val="1"/>
          <w:color w:val="auto"/>
        </w:rPr>
        <w:t>Cost of</w:t>
        <w:tab/>
        <w:t>ales</w:t>
        <w:tab/>
        <w:t>ncluding</w:t>
      </w:r>
      <w:r>
        <w:rPr>
          <w:sz w:val="20"/>
          <w:szCs w:val="20"/>
          <w:color w:val="auto"/>
        </w:rPr>
        <w:tab/>
      </w:r>
      <w:r>
        <w:rPr>
          <w:rFonts w:ascii="Arial" w:cs="Arial" w:eastAsia="Arial" w:hAnsi="Arial"/>
          <w:sz w:val="21"/>
          <w:szCs w:val="21"/>
          <w:i w:val="1"/>
          <w:iCs w:val="1"/>
          <w:color w:val="auto"/>
        </w:rPr>
        <w:t>u ing and Occu anc  Costs</w:t>
      </w:r>
    </w:p>
    <w:p>
      <w:pPr>
        <w:spacing w:after="0" w:line="146" w:lineRule="exact"/>
        <w:rPr>
          <w:sz w:val="20"/>
          <w:szCs w:val="20"/>
          <w:color w:val="auto"/>
        </w:rPr>
      </w:pPr>
    </w:p>
    <w:p>
      <w:pPr>
        <w:ind w:left="10" w:right="240"/>
        <w:spacing w:after="0" w:line="283" w:lineRule="auto"/>
        <w:rPr>
          <w:sz w:val="20"/>
          <w:szCs w:val="20"/>
          <w:color w:val="auto"/>
        </w:rPr>
      </w:pPr>
      <w:r>
        <w:rPr>
          <w:rFonts w:ascii="Arial" w:cs="Arial" w:eastAsia="Arial" w:hAnsi="Arial"/>
          <w:sz w:val="20"/>
          <w:szCs w:val="20"/>
          <w:color w:val="auto"/>
        </w:rPr>
        <w:t>Cost of sales, including buying and occupancy costs, as a percentage of net sales was 6 .0 for fiscal 2026, a decrease of 0.4 percentage points compared to 6 .4 of net sales for fiscal 2025.</w:t>
      </w:r>
    </w:p>
    <w:p>
      <w:pPr>
        <w:spacing w:after="0" w:line="58" w:lineRule="exact"/>
        <w:rPr>
          <w:sz w:val="20"/>
          <w:szCs w:val="20"/>
          <w:color w:val="auto"/>
        </w:rPr>
      </w:pPr>
    </w:p>
    <w:p>
      <w:pPr>
        <w:ind w:left="10" w:right="280"/>
        <w:spacing w:after="0" w:line="338" w:lineRule="auto"/>
        <w:rPr>
          <w:sz w:val="20"/>
          <w:szCs w:val="20"/>
          <w:color w:val="auto"/>
        </w:rPr>
      </w:pPr>
      <w:r>
        <w:rPr>
          <w:rFonts w:ascii="Arial" w:cs="Arial" w:eastAsia="Arial" w:hAnsi="Arial"/>
          <w:sz w:val="18"/>
          <w:szCs w:val="18"/>
          <w:color w:val="auto"/>
        </w:rPr>
        <w:t>The decrease in the cost of sales ratio, including buying and occupancy costs, was due to favorable merchandise margin and expense leverage on higher comp sales. erchandise margin reflects lower freight costs and lower inventory shrink expense.</w:t>
      </w:r>
    </w:p>
    <w:p>
      <w:pPr>
        <w:spacing w:after="0" w:line="2" w:lineRule="exact"/>
        <w:rPr>
          <w:sz w:val="20"/>
          <w:szCs w:val="20"/>
          <w:color w:val="auto"/>
        </w:rPr>
      </w:pPr>
    </w:p>
    <w:p>
      <w:pPr>
        <w:ind w:left="130"/>
        <w:spacing w:after="0"/>
        <w:tabs>
          <w:tab w:leader="none" w:pos="889" w:val="left"/>
          <w:tab w:leader="none" w:pos="2049" w:val="left"/>
          <w:tab w:leader="none" w:pos="2329" w:val="left"/>
          <w:tab w:leader="none" w:pos="3669" w:val="left"/>
        </w:tabs>
        <w:rPr>
          <w:sz w:val="20"/>
          <w:szCs w:val="20"/>
          <w:color w:val="auto"/>
        </w:rPr>
      </w:pPr>
      <w:r>
        <w:rPr>
          <w:rFonts w:ascii="Arial" w:cs="Arial" w:eastAsia="Arial" w:hAnsi="Arial"/>
          <w:sz w:val="22"/>
          <w:szCs w:val="22"/>
          <w:i w:val="1"/>
          <w:iCs w:val="1"/>
          <w:color w:val="auto"/>
        </w:rPr>
        <w:t>elling</w:t>
        <w:tab/>
        <w:t>eneral and</w:t>
        <w:tab/>
        <w:t>d</w:t>
        <w:tab/>
        <w:t>inistrati e</w:t>
      </w:r>
      <w:r>
        <w:rPr>
          <w:sz w:val="20"/>
          <w:szCs w:val="20"/>
          <w:color w:val="auto"/>
        </w:rPr>
        <w:tab/>
      </w:r>
      <w:r>
        <w:rPr>
          <w:rFonts w:ascii="Arial" w:cs="Arial" w:eastAsia="Arial" w:hAnsi="Arial"/>
          <w:sz w:val="17"/>
          <w:szCs w:val="17"/>
          <w:i w:val="1"/>
          <w:iCs w:val="1"/>
          <w:color w:val="auto"/>
        </w:rPr>
        <w:t>enses</w:t>
      </w:r>
    </w:p>
    <w:p>
      <w:pPr>
        <w:spacing w:after="0" w:line="146" w:lineRule="exact"/>
        <w:rPr>
          <w:sz w:val="20"/>
          <w:szCs w:val="20"/>
          <w:color w:val="auto"/>
        </w:rPr>
      </w:pPr>
    </w:p>
    <w:p>
      <w:pPr>
        <w:ind w:left="10" w:right="540" w:hanging="10"/>
        <w:spacing w:after="0" w:line="283" w:lineRule="auto"/>
        <w:tabs>
          <w:tab w:leader="none" w:pos="4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 expenses, as a percentage of net sales, was 1 .1 for fiscal 2026, a decrease of 0.3 percentage points compared to 1 .4 for fiscal 2025.</w:t>
      </w:r>
    </w:p>
    <w:p>
      <w:pPr>
        <w:spacing w:after="0" w:line="58" w:lineRule="exact"/>
        <w:rPr>
          <w:sz w:val="20"/>
          <w:szCs w:val="20"/>
          <w:color w:val="auto"/>
        </w:rPr>
      </w:pPr>
    </w:p>
    <w:p>
      <w:pPr>
        <w:ind w:left="10" w:right="220"/>
        <w:spacing w:after="0" w:line="283" w:lineRule="auto"/>
        <w:rPr>
          <w:sz w:val="20"/>
          <w:szCs w:val="20"/>
          <w:color w:val="auto"/>
        </w:rPr>
      </w:pPr>
      <w:r>
        <w:rPr>
          <w:rFonts w:ascii="Arial" w:cs="Arial" w:eastAsia="Arial" w:hAnsi="Arial"/>
          <w:sz w:val="20"/>
          <w:szCs w:val="20"/>
          <w:color w:val="auto"/>
          <w:highlight w:val="white"/>
        </w:rPr>
        <w:t xml:space="preserve">The </w:t>
      </w:r>
      <w:r>
        <w:rPr>
          <w:rFonts w:ascii="Arial" w:cs="Arial" w:eastAsia="Arial" w:hAnsi="Arial"/>
          <w:sz w:val="20"/>
          <w:szCs w:val="20"/>
          <w:color w:val="auto"/>
        </w:rPr>
        <w:t>decrease in S A ratio for fiscal 2026 was due to a net benefit from the credit card interchange fees litigation settlement</w:t>
      </w:r>
      <w:r>
        <w:rPr>
          <w:rFonts w:ascii="Arial" w:cs="Arial" w:eastAsia="Arial" w:hAnsi="Arial"/>
          <w:sz w:val="20"/>
          <w:szCs w:val="20"/>
          <w:color w:val="auto"/>
          <w:highlight w:val="white"/>
        </w:rPr>
        <w:t xml:space="preserve"> </w:t>
      </w:r>
      <w:r>
        <w:rPr>
          <w:rFonts w:ascii="Arial" w:cs="Arial" w:eastAsia="Arial" w:hAnsi="Arial"/>
          <w:sz w:val="20"/>
          <w:szCs w:val="20"/>
          <w:color w:val="auto"/>
        </w:rPr>
        <w:t>and related expenses.</w:t>
      </w:r>
    </w:p>
    <w:p>
      <w:pPr>
        <w:spacing w:after="0" w:line="42" w:lineRule="exact"/>
        <w:rPr>
          <w:sz w:val="20"/>
          <w:szCs w:val="20"/>
          <w:color w:val="auto"/>
        </w:rPr>
      </w:pPr>
    </w:p>
    <w:p>
      <w:pPr>
        <w:ind w:left="90"/>
        <w:spacing w:after="0"/>
        <w:tabs>
          <w:tab w:leader="none" w:pos="889" w:val="left"/>
          <w:tab w:leader="none" w:pos="1389" w:val="left"/>
          <w:tab w:leader="none" w:pos="1989" w:val="left"/>
        </w:tabs>
        <w:rPr>
          <w:sz w:val="20"/>
          <w:szCs w:val="20"/>
          <w:color w:val="auto"/>
        </w:rPr>
      </w:pPr>
      <w:r>
        <w:rPr>
          <w:rFonts w:ascii="Arial" w:cs="Arial" w:eastAsia="Arial" w:hAnsi="Arial"/>
          <w:sz w:val="22"/>
          <w:szCs w:val="22"/>
          <w:i w:val="1"/>
          <w:iCs w:val="1"/>
          <w:color w:val="auto"/>
        </w:rPr>
        <w:t>nterest</w:t>
        <w:tab/>
        <w:t>nco</w:t>
        <w:tab/>
        <w:t>e</w:t>
      </w:r>
      <w:r>
        <w:rPr>
          <w:sz w:val="20"/>
          <w:szCs w:val="20"/>
          <w:color w:val="auto"/>
        </w:rPr>
        <w:tab/>
      </w:r>
      <w:r>
        <w:rPr>
          <w:rFonts w:ascii="Arial" w:cs="Arial" w:eastAsia="Arial" w:hAnsi="Arial"/>
          <w:sz w:val="20"/>
          <w:szCs w:val="20"/>
          <w:i w:val="1"/>
          <w:iCs w:val="1"/>
          <w:color w:val="auto"/>
        </w:rPr>
        <w:t>ense net</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components of interest (income) expense, net for the last two fiscal years are summari ed below:</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182"/>
        </w:trPr>
        <w:tc>
          <w:tcPr>
            <w:tcW w:w="7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0"/>
              <w:spacing w:after="0" w:line="182" w:lineRule="exact"/>
              <w:rPr>
                <w:sz w:val="20"/>
                <w:szCs w:val="20"/>
                <w:color w:val="auto"/>
              </w:rPr>
            </w:pPr>
            <w:r>
              <w:rPr>
                <w:rFonts w:ascii="Arial" w:cs="Arial" w:eastAsia="Arial" w:hAnsi="Arial"/>
                <w:sz w:val="20"/>
                <w:szCs w:val="20"/>
                <w:color w:val="auto"/>
                <w:w w:val="95"/>
              </w:rPr>
              <w:t>January 31,</w:t>
            </w:r>
          </w:p>
        </w:tc>
        <w:tc>
          <w:tcPr>
            <w:tcW w:w="180" w:type="dxa"/>
            <w:vAlign w:val="bottom"/>
          </w:tcPr>
          <w:p>
            <w:pPr>
              <w:spacing w:after="0"/>
              <w:rPr>
                <w:sz w:val="15"/>
                <w:szCs w:val="15"/>
                <w:color w:val="auto"/>
              </w:rPr>
            </w:pPr>
          </w:p>
        </w:tc>
        <w:tc>
          <w:tcPr>
            <w:tcW w:w="1160" w:type="dxa"/>
            <w:vAlign w:val="bottom"/>
          </w:tcPr>
          <w:p>
            <w:pPr>
              <w:jc w:val="right"/>
              <w:ind w:right="100"/>
              <w:spacing w:after="0" w:line="182" w:lineRule="exact"/>
              <w:rPr>
                <w:sz w:val="20"/>
                <w:szCs w:val="20"/>
                <w:color w:val="auto"/>
              </w:rPr>
            </w:pPr>
            <w:r>
              <w:rPr>
                <w:rFonts w:ascii="Arial" w:cs="Arial" w:eastAsia="Arial" w:hAnsi="Arial"/>
                <w:sz w:val="20"/>
                <w:szCs w:val="20"/>
                <w:color w:val="auto"/>
                <w:w w:val="91"/>
              </w:rPr>
              <w:t>February 1,</w:t>
            </w:r>
          </w:p>
        </w:tc>
      </w:tr>
      <w:tr>
        <w:trPr>
          <w:trHeight w:val="263"/>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7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Interest expense</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79</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78</w:t>
            </w:r>
          </w:p>
        </w:tc>
      </w:tr>
      <w:tr>
        <w:trPr>
          <w:trHeight w:val="297"/>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Capitali ed interest</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w:t>
            </w:r>
          </w:p>
        </w:tc>
      </w:tr>
      <w:tr>
        <w:trPr>
          <w:trHeight w:val="293"/>
        </w:trPr>
        <w:tc>
          <w:tcPr>
            <w:tcW w:w="76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Interest (income)</w:t>
            </w:r>
          </w:p>
        </w:tc>
        <w:tc>
          <w:tcPr>
            <w:tcW w:w="1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195</w:t>
            </w: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(257)</w:t>
            </w:r>
          </w:p>
        </w:tc>
      </w:tr>
      <w:tr>
        <w:trPr>
          <w:trHeight w:val="280"/>
        </w:trPr>
        <w:tc>
          <w:tcPr>
            <w:tcW w:w="7620" w:type="dxa"/>
            <w:vAlign w:val="bottom"/>
            <w:tcBorders>
              <w:bottom w:val="single" w:sz="8" w:color="auto"/>
            </w:tcBorders>
            <w:shd w:val="clear" w:color="auto" w:fill="FEFEFE"/>
          </w:tcPr>
          <w:p>
            <w:pPr>
              <w:ind w:left="280"/>
              <w:spacing w:after="0"/>
              <w:rPr>
                <w:sz w:val="20"/>
                <w:szCs w:val="20"/>
                <w:color w:val="auto"/>
              </w:rPr>
            </w:pPr>
            <w:r>
              <w:rPr>
                <w:rFonts w:ascii="Arial" w:cs="Arial" w:eastAsia="Arial" w:hAnsi="Arial"/>
                <w:sz w:val="20"/>
                <w:szCs w:val="20"/>
                <w:color w:val="auto"/>
              </w:rPr>
              <w:t>Interest (income) expense, net</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121</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(181)</w:t>
            </w:r>
          </w:p>
        </w:tc>
      </w:tr>
    </w:tbl>
    <w:p>
      <w:pPr>
        <w:spacing w:after="0" w:line="147" w:lineRule="exact"/>
        <w:rPr>
          <w:sz w:val="20"/>
          <w:szCs w:val="20"/>
          <w:color w:val="auto"/>
        </w:rPr>
      </w:pPr>
    </w:p>
    <w:p>
      <w:pPr>
        <w:ind w:left="10" w:right="380"/>
        <w:spacing w:after="0" w:line="283" w:lineRule="auto"/>
        <w:rPr>
          <w:sz w:val="20"/>
          <w:szCs w:val="20"/>
          <w:color w:val="auto"/>
        </w:rPr>
      </w:pPr>
      <w:r>
        <w:rPr>
          <w:rFonts w:ascii="Arial" w:cs="Arial" w:eastAsia="Arial" w:hAnsi="Arial"/>
          <w:sz w:val="20"/>
          <w:szCs w:val="20"/>
          <w:color w:val="auto"/>
        </w:rPr>
        <w:t>Interest (income) expense, net decreased for fiscal 2026 compared to fiscal 2025 due to a decrease in interest income driven primarily by a decrease in prevailing rates.</w:t>
      </w:r>
    </w:p>
    <w:p>
      <w:pPr>
        <w:sectPr>
          <w:pgSz w:w="12240" w:h="15841" w:orient="portrait"/>
          <w:cols w:equalWidth="0" w:num="1">
            <w:col w:w="10270"/>
          </w:cols>
          <w:pgMar w:left="990" w:top="783"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31</w:t>
      </w:r>
    </w:p>
    <w:p>
      <w:pPr>
        <w:sectPr>
          <w:pgSz w:w="12240" w:h="15841" w:orient="portrait"/>
          <w:cols w:equalWidth="0" w:num="1">
            <w:col w:w="10270"/>
          </w:cols>
          <w:pgMar w:left="990" w:top="783" w:right="981" w:bottom="0" w:gutter="0" w:footer="0" w:header="0"/>
          <w:type w:val="continuous"/>
        </w:sectPr>
      </w:pPr>
    </w:p>
    <w:bookmarkStart w:id="39" w:name="page40"/>
    <w:bookmarkEnd w:id="39"/>
    <w:p>
      <w:pPr>
        <w:ind w:left="130"/>
        <w:spacing w:after="0"/>
        <w:tabs>
          <w:tab w:leader="none" w:pos="1809" w:val="left"/>
          <w:tab w:leader="none" w:pos="2109"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ro ision for nco</w:t>
        <w:tab/>
        <w:t>e</w:t>
      </w:r>
      <w:r>
        <w:rPr>
          <w:sz w:val="20"/>
          <w:szCs w:val="20"/>
          <w:color w:val="auto"/>
        </w:rPr>
        <w:tab/>
      </w:r>
      <w:r>
        <w:rPr>
          <w:rFonts w:ascii="Arial" w:cs="Arial" w:eastAsia="Arial" w:hAnsi="Arial"/>
          <w:sz w:val="21"/>
          <w:szCs w:val="21"/>
          <w:i w:val="1"/>
          <w:iCs w:val="1"/>
          <w:color w:val="auto"/>
        </w:rPr>
        <w:t>a es</w:t>
      </w:r>
    </w:p>
    <w:p>
      <w:pPr>
        <w:spacing w:after="0" w:line="146" w:lineRule="exact"/>
        <w:rPr>
          <w:sz w:val="20"/>
          <w:szCs w:val="20"/>
          <w:color w:val="auto"/>
        </w:rPr>
      </w:pPr>
    </w:p>
    <w:p>
      <w:pPr>
        <w:ind w:left="10" w:right="20" w:firstLine="145"/>
        <w:spacing w:after="0" w:line="294" w:lineRule="auto"/>
        <w:rPr>
          <w:sz w:val="20"/>
          <w:szCs w:val="20"/>
          <w:color w:val="auto"/>
        </w:rPr>
      </w:pPr>
      <w:r>
        <w:rPr>
          <w:rFonts w:ascii="Arial" w:cs="Arial" w:eastAsia="Arial" w:hAnsi="Arial"/>
          <w:sz w:val="18"/>
          <w:szCs w:val="18"/>
          <w:color w:val="auto"/>
        </w:rPr>
        <w:t>n July 4, 2025, the ne Big Beautiful Bill Act was signed into law, making permanent certain expiring provisions of the Tax Cuts and Jobs Act, including 100 accelerated depreciation deductions on ualified property and immediate expensing of domestic research and development costs, as well as modifying some of the international tax rules. These changes have not had a material impact on our income tax provision but have resulted in a reduction of our current year .S. cash tax obligations, and we are continuing to evaluate the potential impact of the provisions that are expected to be effective in future fiscal years.</w:t>
      </w:r>
    </w:p>
    <w:p>
      <w:pPr>
        <w:spacing w:after="0" w:line="52" w:lineRule="exact"/>
        <w:rPr>
          <w:sz w:val="20"/>
          <w:szCs w:val="20"/>
          <w:color w:val="auto"/>
        </w:rPr>
      </w:pPr>
    </w:p>
    <w:p>
      <w:pPr>
        <w:ind w:left="10"/>
        <w:spacing w:after="0"/>
        <w:tabs>
          <w:tab w:leader="none" w:pos="5349" w:val="left"/>
        </w:tabs>
        <w:rPr>
          <w:sz w:val="20"/>
          <w:szCs w:val="20"/>
          <w:color w:val="auto"/>
        </w:rPr>
      </w:pPr>
      <w:r>
        <w:rPr>
          <w:rFonts w:ascii="Arial" w:cs="Arial" w:eastAsia="Arial" w:hAnsi="Arial"/>
          <w:sz w:val="20"/>
          <w:szCs w:val="20"/>
          <w:color w:val="auto"/>
        </w:rPr>
        <w:t>A number of countries have enacted legislation to implement the</w:t>
      </w:r>
      <w:r>
        <w:rPr>
          <w:sz w:val="20"/>
          <w:szCs w:val="20"/>
          <w:color w:val="auto"/>
        </w:rPr>
        <w:tab/>
      </w:r>
      <w:r>
        <w:rPr>
          <w:rFonts w:ascii="Arial" w:cs="Arial" w:eastAsia="Arial" w:hAnsi="Arial"/>
          <w:sz w:val="18"/>
          <w:szCs w:val="18"/>
          <w:color w:val="auto"/>
        </w:rPr>
        <w:t>rgani ation for Economic Cooperation and Development’s</w:t>
      </w:r>
    </w:p>
    <w:p>
      <w:pPr>
        <w:spacing w:after="0" w:line="10" w:lineRule="exact"/>
        <w:rPr>
          <w:sz w:val="20"/>
          <w:szCs w:val="20"/>
          <w:color w:val="auto"/>
        </w:rPr>
      </w:pPr>
    </w:p>
    <w:p>
      <w:pPr>
        <w:ind w:left="10" w:right="180" w:hanging="10"/>
        <w:spacing w:after="0" w:line="258" w:lineRule="auto"/>
        <w:tabs>
          <w:tab w:leader="none" w:pos="426"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minimum tax regime (Pillar Two) with effect from January 1, 2024. A comprehensive Side-by-Side Package was released in January 2026, introducing additional safe harbors and options for companies head uartered in jurisdictions with a ualified Side-by-Side regime. ember countries must enact local legislation or update existing regulations to adopt and incorporate the Pillar Two Side-by-Side Package. e continue to evaluate the impacts of proposed and enacted legislation for the jurisdictions in which we operate.</w:t>
      </w:r>
    </w:p>
    <w:p>
      <w:pPr>
        <w:spacing w:after="0" w:line="84" w:lineRule="exact"/>
        <w:rPr>
          <w:sz w:val="20"/>
          <w:szCs w:val="20"/>
          <w:color w:val="auto"/>
        </w:rPr>
      </w:pPr>
    </w:p>
    <w:p>
      <w:pPr>
        <w:ind w:left="10" w:right="320"/>
        <w:spacing w:after="0" w:line="283" w:lineRule="auto"/>
        <w:rPr>
          <w:sz w:val="20"/>
          <w:szCs w:val="20"/>
          <w:color w:val="auto"/>
        </w:rPr>
      </w:pPr>
      <w:r>
        <w:rPr>
          <w:rFonts w:ascii="Arial" w:cs="Arial" w:eastAsia="Arial" w:hAnsi="Arial"/>
          <w:sz w:val="20"/>
          <w:szCs w:val="20"/>
          <w:color w:val="auto"/>
        </w:rPr>
        <w:t>The effective income tax rate was 24.7 for fiscal 2026 and 25.0 for fiscal 2025. The decrease in the fiscal 2026 effective income tax rate is primarily due to a benefit from the ac uisition of federal tax credits.</w:t>
      </w:r>
    </w:p>
    <w:p>
      <w:pPr>
        <w:spacing w:after="0" w:line="42" w:lineRule="exact"/>
        <w:rPr>
          <w:sz w:val="20"/>
          <w:szCs w:val="20"/>
          <w:color w:val="auto"/>
        </w:rPr>
      </w:pPr>
    </w:p>
    <w:p>
      <w:pPr>
        <w:ind w:left="150"/>
        <w:spacing w:after="0"/>
        <w:tabs>
          <w:tab w:leader="none" w:pos="929" w:val="left"/>
          <w:tab w:leader="none" w:pos="1649" w:val="left"/>
          <w:tab w:leader="none" w:pos="2369" w:val="left"/>
          <w:tab w:leader="none" w:pos="3249" w:val="left"/>
          <w:tab w:leader="none" w:pos="3729" w:val="left"/>
        </w:tabs>
        <w:rPr>
          <w:sz w:val="20"/>
          <w:szCs w:val="20"/>
          <w:color w:val="auto"/>
        </w:rPr>
      </w:pPr>
      <w:r>
        <w:rPr>
          <w:rFonts w:ascii="Arial" w:cs="Arial" w:eastAsia="Arial" w:hAnsi="Arial"/>
          <w:sz w:val="22"/>
          <w:szCs w:val="22"/>
          <w:i w:val="1"/>
          <w:iCs w:val="1"/>
          <w:color w:val="auto"/>
        </w:rPr>
        <w:t>et nco</w:t>
        <w:tab/>
        <w:t>e and</w:t>
        <w:tab/>
        <w:t>iluted</w:t>
        <w:tab/>
        <w:t>arnings</w:t>
        <w:tab/>
        <w:t>er</w:t>
      </w:r>
      <w:r>
        <w:rPr>
          <w:sz w:val="20"/>
          <w:szCs w:val="20"/>
          <w:color w:val="auto"/>
        </w:rPr>
        <w:tab/>
      </w:r>
      <w:r>
        <w:rPr>
          <w:rFonts w:ascii="Arial" w:cs="Arial" w:eastAsia="Arial" w:hAnsi="Arial"/>
          <w:sz w:val="20"/>
          <w:szCs w:val="20"/>
          <w:i w:val="1"/>
          <w:iCs w:val="1"/>
          <w:color w:val="auto"/>
        </w:rPr>
        <w:t>are</w:t>
      </w:r>
    </w:p>
    <w:p>
      <w:pPr>
        <w:spacing w:after="0" w:line="146" w:lineRule="exact"/>
        <w:rPr>
          <w:sz w:val="20"/>
          <w:szCs w:val="20"/>
          <w:color w:val="auto"/>
        </w:rPr>
      </w:pPr>
    </w:p>
    <w:p>
      <w:pPr>
        <w:ind w:left="10"/>
        <w:spacing w:after="0" w:line="299" w:lineRule="auto"/>
        <w:rPr>
          <w:sz w:val="20"/>
          <w:szCs w:val="20"/>
          <w:color w:val="auto"/>
        </w:rPr>
      </w:pPr>
      <w:r>
        <w:rPr>
          <w:rFonts w:ascii="Arial" w:cs="Arial" w:eastAsia="Arial" w:hAnsi="Arial"/>
          <w:sz w:val="18"/>
          <w:szCs w:val="18"/>
          <w:color w:val="auto"/>
        </w:rPr>
        <w:t>Net income was $5.5 billion in fiscal 2026 compared to $4. billion in fiscal 2025. Diluted earnings per share in fiscal 2026 were $4.87 compared to $4.26 in fiscal 2025. The credit card interchange fees litigation settlement and related expenses resulted in a net benefit of $0.14 on diluted earnings per share in fiscal 2026. Foreign currency had a $0.01 negative impact on diluted earnings per share in fiscal 2026 compared to a $0.01 positive impact on diluted earnings per share in fiscal 2025.</w:t>
      </w:r>
    </w:p>
    <w:p>
      <w:pPr>
        <w:spacing w:after="0" w:line="33" w:lineRule="exact"/>
        <w:rPr>
          <w:sz w:val="20"/>
          <w:szCs w:val="20"/>
          <w:color w:val="auto"/>
        </w:rPr>
      </w:pPr>
    </w:p>
    <w:p>
      <w:pPr>
        <w:ind w:left="130"/>
        <w:spacing w:after="0"/>
        <w:tabs>
          <w:tab w:leader="none" w:pos="489" w:val="left"/>
          <w:tab w:leader="none" w:pos="1469" w:val="left"/>
        </w:tabs>
        <w:rPr>
          <w:sz w:val="20"/>
          <w:szCs w:val="20"/>
          <w:color w:val="auto"/>
        </w:rPr>
      </w:pPr>
      <w:r>
        <w:rPr>
          <w:rFonts w:ascii="Arial" w:cs="Arial" w:eastAsia="Arial" w:hAnsi="Arial"/>
          <w:sz w:val="22"/>
          <w:szCs w:val="22"/>
          <w:i w:val="1"/>
          <w:iCs w:val="1"/>
          <w:color w:val="auto"/>
        </w:rPr>
        <w:t>eg</w:t>
        <w:tab/>
        <w:t>ent nfor</w:t>
      </w:r>
      <w:r>
        <w:rPr>
          <w:sz w:val="20"/>
          <w:szCs w:val="20"/>
          <w:color w:val="auto"/>
        </w:rPr>
        <w:tab/>
      </w:r>
      <w:r>
        <w:rPr>
          <w:rFonts w:ascii="Arial" w:cs="Arial" w:eastAsia="Arial" w:hAnsi="Arial"/>
          <w:sz w:val="21"/>
          <w:szCs w:val="21"/>
          <w:i w:val="1"/>
          <w:iCs w:val="1"/>
          <w:color w:val="auto"/>
        </w:rPr>
        <w:t>ation</w:t>
      </w:r>
    </w:p>
    <w:p>
      <w:pPr>
        <w:spacing w:after="0" w:line="146" w:lineRule="exact"/>
        <w:rPr>
          <w:sz w:val="20"/>
          <w:szCs w:val="20"/>
          <w:color w:val="auto"/>
        </w:rPr>
      </w:pPr>
    </w:p>
    <w:p>
      <w:pPr>
        <w:ind w:left="190"/>
        <w:spacing w:after="0"/>
        <w:tabs>
          <w:tab w:leader="none" w:pos="2829" w:val="left"/>
          <w:tab w:leader="none" w:pos="4349" w:val="left"/>
          <w:tab w:leader="none" w:pos="6849" w:val="left"/>
          <w:tab w:leader="none" w:pos="7429" w:val="left"/>
        </w:tabs>
        <w:rPr>
          <w:sz w:val="20"/>
          <w:szCs w:val="20"/>
          <w:color w:val="auto"/>
        </w:rPr>
      </w:pPr>
      <w:r>
        <w:rPr>
          <w:rFonts w:ascii="Arial" w:cs="Arial" w:eastAsia="Arial" w:hAnsi="Arial"/>
          <w:sz w:val="20"/>
          <w:szCs w:val="20"/>
          <w:color w:val="auto"/>
        </w:rPr>
        <w:t>e operate four segments. In the</w:t>
        <w:tab/>
        <w:t>nited States, our</w:t>
        <w:tab/>
        <w:t>armaxx segment operates TJ</w:t>
        <w:tab/>
        <w:t>axx,</w:t>
      </w:r>
      <w:r>
        <w:rPr>
          <w:sz w:val="20"/>
          <w:szCs w:val="20"/>
          <w:color w:val="auto"/>
        </w:rPr>
        <w:tab/>
      </w:r>
      <w:r>
        <w:rPr>
          <w:rFonts w:ascii="Arial" w:cs="Arial" w:eastAsia="Arial" w:hAnsi="Arial"/>
          <w:sz w:val="18"/>
          <w:szCs w:val="18"/>
          <w:color w:val="auto"/>
        </w:rPr>
        <w:t>arshalls, tjmaxx.com and</w:t>
      </w:r>
    </w:p>
    <w:p>
      <w:pPr>
        <w:spacing w:after="0" w:line="10" w:lineRule="exact"/>
        <w:rPr>
          <w:sz w:val="20"/>
          <w:szCs w:val="20"/>
          <w:color w:val="auto"/>
        </w:rPr>
      </w:pPr>
    </w:p>
    <w:p>
      <w:pPr>
        <w:ind w:left="10"/>
        <w:spacing w:after="0"/>
        <w:tabs>
          <w:tab w:leader="none" w:pos="1989" w:val="left"/>
          <w:tab w:leader="none" w:pos="4489" w:val="left"/>
          <w:tab w:leader="none" w:pos="5889" w:val="left"/>
          <w:tab w:leader="none" w:pos="6909" w:val="left"/>
        </w:tabs>
        <w:rPr>
          <w:sz w:val="20"/>
          <w:szCs w:val="20"/>
          <w:color w:val="auto"/>
        </w:rPr>
      </w:pPr>
      <w:r>
        <w:rPr>
          <w:rFonts w:ascii="Arial" w:cs="Arial" w:eastAsia="Arial" w:hAnsi="Arial"/>
          <w:sz w:val="20"/>
          <w:szCs w:val="20"/>
          <w:color w:val="auto"/>
        </w:rPr>
        <w:t>marshalls.com and our</w:t>
        <w:tab/>
        <w:t>ome  oods segment operates</w:t>
        <w:tab/>
        <w:t>ome  oods and</w:t>
        <w:tab/>
        <w:t>omesense.</w:t>
      </w:r>
      <w:r>
        <w:rPr>
          <w:sz w:val="20"/>
          <w:szCs w:val="20"/>
          <w:color w:val="auto"/>
        </w:rPr>
        <w:tab/>
      </w:r>
      <w:r>
        <w:rPr>
          <w:rFonts w:ascii="Arial" w:cs="Arial" w:eastAsia="Arial" w:hAnsi="Arial"/>
          <w:sz w:val="17"/>
          <w:szCs w:val="17"/>
          <w:color w:val="auto"/>
        </w:rPr>
        <w:t>ur TJX Canada segment operates</w:t>
      </w:r>
    </w:p>
    <w:p>
      <w:pPr>
        <w:spacing w:after="0" w:line="10" w:lineRule="exact"/>
        <w:rPr>
          <w:sz w:val="20"/>
          <w:szCs w:val="20"/>
          <w:color w:val="auto"/>
        </w:rPr>
      </w:pPr>
    </w:p>
    <w:p>
      <w:pPr>
        <w:ind w:left="190"/>
        <w:spacing w:after="0"/>
        <w:tabs>
          <w:tab w:leader="none" w:pos="909" w:val="left"/>
          <w:tab w:leader="none" w:pos="2269" w:val="left"/>
          <w:tab w:leader="none" w:pos="7889" w:val="left"/>
          <w:tab w:leader="none" w:pos="8429" w:val="left"/>
        </w:tabs>
        <w:rPr>
          <w:sz w:val="20"/>
          <w:szCs w:val="20"/>
          <w:color w:val="auto"/>
        </w:rPr>
      </w:pPr>
      <w:r>
        <w:rPr>
          <w:rFonts w:ascii="Arial" w:cs="Arial" w:eastAsia="Arial" w:hAnsi="Arial"/>
          <w:sz w:val="20"/>
          <w:szCs w:val="20"/>
          <w:color w:val="auto"/>
        </w:rPr>
        <w:t>inners,</w:t>
        <w:tab/>
        <w:t>omeSense and</w:t>
        <w:tab/>
        <w:t>arshalls in Canada, and our TJX International segment operates T</w:t>
      </w:r>
      <w:r>
        <w:rPr>
          <w:sz w:val="20"/>
          <w:szCs w:val="20"/>
          <w:color w:val="auto"/>
        </w:rPr>
        <w:tab/>
      </w:r>
      <w:r>
        <w:rPr>
          <w:rFonts w:ascii="Arial" w:cs="Arial" w:eastAsia="Arial" w:hAnsi="Arial"/>
          <w:sz w:val="20"/>
          <w:szCs w:val="20"/>
          <w:color w:val="auto"/>
        </w:rPr>
        <w:t>axx,</w:t>
      </w:r>
      <w:r>
        <w:rPr>
          <w:sz w:val="20"/>
          <w:szCs w:val="20"/>
          <w:color w:val="auto"/>
        </w:rPr>
        <w:tab/>
      </w:r>
      <w:r>
        <w:rPr>
          <w:rFonts w:ascii="Arial" w:cs="Arial" w:eastAsia="Arial" w:hAnsi="Arial"/>
          <w:sz w:val="16"/>
          <w:szCs w:val="16"/>
          <w:color w:val="auto"/>
        </w:rPr>
        <w:t>omesense,</w:t>
      </w:r>
    </w:p>
    <w:p>
      <w:pPr>
        <w:spacing w:after="0" w:line="10" w:lineRule="exact"/>
        <w:rPr>
          <w:sz w:val="20"/>
          <w:szCs w:val="20"/>
          <w:color w:val="auto"/>
        </w:rPr>
      </w:pPr>
    </w:p>
    <w:p>
      <w:pPr>
        <w:ind w:left="10"/>
        <w:spacing w:after="0"/>
        <w:tabs>
          <w:tab w:leader="none" w:pos="4849" w:val="left"/>
        </w:tabs>
        <w:rPr>
          <w:sz w:val="20"/>
          <w:szCs w:val="20"/>
          <w:color w:val="auto"/>
        </w:rPr>
      </w:pPr>
      <w:r>
        <w:rPr>
          <w:rFonts w:ascii="Arial" w:cs="Arial" w:eastAsia="Arial" w:hAnsi="Arial"/>
          <w:sz w:val="20"/>
          <w:szCs w:val="20"/>
          <w:color w:val="auto"/>
        </w:rPr>
        <w:t>tkmaxx.com, tkmaxx.de, and tkmaxx.at in Europe and T</w:t>
      </w:r>
      <w:r>
        <w:rPr>
          <w:sz w:val="20"/>
          <w:szCs w:val="20"/>
          <w:color w:val="auto"/>
        </w:rPr>
        <w:tab/>
      </w:r>
      <w:r>
        <w:rPr>
          <w:rFonts w:ascii="Arial" w:cs="Arial" w:eastAsia="Arial" w:hAnsi="Arial"/>
          <w:sz w:val="18"/>
          <w:szCs w:val="18"/>
          <w:color w:val="auto"/>
        </w:rPr>
        <w:t>axx in Australia. In addition to our four segments, Sierra operates</w:t>
      </w:r>
    </w:p>
    <w:p>
      <w:pPr>
        <w:spacing w:after="0" w:line="10" w:lineRule="exact"/>
        <w:rPr>
          <w:sz w:val="20"/>
          <w:szCs w:val="20"/>
          <w:color w:val="auto"/>
        </w:rPr>
      </w:pPr>
    </w:p>
    <w:p>
      <w:pPr>
        <w:ind w:left="10"/>
        <w:spacing w:after="0"/>
        <w:tabs>
          <w:tab w:leader="none" w:pos="2829" w:val="left"/>
          <w:tab w:leader="none" w:pos="6469" w:val="left"/>
        </w:tabs>
        <w:rPr>
          <w:sz w:val="20"/>
          <w:szCs w:val="20"/>
          <w:color w:val="auto"/>
        </w:rPr>
      </w:pPr>
      <w:r>
        <w:rPr>
          <w:rFonts w:ascii="Arial" w:cs="Arial" w:eastAsia="Arial" w:hAnsi="Arial"/>
          <w:sz w:val="20"/>
          <w:szCs w:val="20"/>
          <w:color w:val="auto"/>
        </w:rPr>
        <w:t>retail stores and sierra.com in the</w:t>
        <w:tab/>
        <w:t>.S. The results of Sierra are included in the</w:t>
      </w:r>
      <w:r>
        <w:rPr>
          <w:sz w:val="20"/>
          <w:szCs w:val="20"/>
          <w:color w:val="auto"/>
        </w:rPr>
        <w:tab/>
      </w:r>
      <w:r>
        <w:rPr>
          <w:rFonts w:ascii="Arial" w:cs="Arial" w:eastAsia="Arial" w:hAnsi="Arial"/>
          <w:sz w:val="17"/>
          <w:szCs w:val="17"/>
          <w:color w:val="auto"/>
        </w:rPr>
        <w:t>armaxx segment.</w:t>
      </w:r>
    </w:p>
    <w:p>
      <w:pPr>
        <w:spacing w:after="0" w:line="130" w:lineRule="exact"/>
        <w:rPr>
          <w:sz w:val="20"/>
          <w:szCs w:val="20"/>
          <w:color w:val="auto"/>
        </w:rPr>
      </w:pPr>
    </w:p>
    <w:p>
      <w:pPr>
        <w:ind w:left="10" w:right="40" w:firstLine="189"/>
        <w:spacing w:after="0" w:line="273" w:lineRule="auto"/>
        <w:rPr>
          <w:sz w:val="20"/>
          <w:szCs w:val="20"/>
          <w:color w:val="auto"/>
        </w:rPr>
      </w:pPr>
      <w:r>
        <w:rPr>
          <w:rFonts w:ascii="Arial" w:cs="Arial" w:eastAsia="Arial" w:hAnsi="Arial"/>
          <w:sz w:val="19"/>
          <w:szCs w:val="19"/>
          <w:color w:val="auto"/>
        </w:rPr>
        <w:t>e evaluate the performance of our segments based on segment profit or loss, which we define as pre-tax income or loss before general corporate expense and interest (income) expense, net, and certain separately disclosed unusual or infre 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 uidity.</w:t>
      </w:r>
    </w:p>
    <w:p>
      <w:pPr>
        <w:spacing w:after="0" w:line="69" w:lineRule="exact"/>
        <w:rPr>
          <w:sz w:val="20"/>
          <w:szCs w:val="20"/>
          <w:color w:val="auto"/>
        </w:rPr>
      </w:pPr>
    </w:p>
    <w:p>
      <w:pPr>
        <w:ind w:left="10"/>
        <w:spacing w:after="0"/>
        <w:rPr>
          <w:sz w:val="20"/>
          <w:szCs w:val="20"/>
          <w:color w:val="auto"/>
        </w:rPr>
      </w:pPr>
      <w:r>
        <w:rPr>
          <w:rFonts w:ascii="Arial" w:cs="Arial" w:eastAsia="Arial" w:hAnsi="Arial"/>
          <w:sz w:val="20"/>
          <w:szCs w:val="20"/>
          <w:color w:val="auto"/>
        </w:rPr>
        <w:t>Presented below is selected financial information related to our segments.</w:t>
      </w:r>
    </w:p>
    <w:p>
      <w:pPr>
        <w:sectPr>
          <w:pgSz w:w="12240" w:h="15841" w:orient="portrait"/>
          <w:cols w:equalWidth="0" w:num="1">
            <w:col w:w="10250"/>
          </w:cols>
          <w:pgMar w:left="990" w:top="777"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32</w:t>
      </w:r>
    </w:p>
    <w:p>
      <w:pPr>
        <w:sectPr>
          <w:pgSz w:w="12240" w:h="15841" w:orient="portrait"/>
          <w:cols w:equalWidth="0" w:num="1">
            <w:col w:w="10250"/>
          </w:cols>
          <w:pgMar w:left="990" w:top="777" w:right="1001" w:bottom="0" w:gutter="0" w:footer="0" w:header="0"/>
          <w:type w:val="continuous"/>
        </w:sectPr>
      </w:pPr>
    </w:p>
    <w:bookmarkStart w:id="40" w:name="page41"/>
    <w:bookmarkEnd w:id="40"/>
    <w:p>
      <w:pPr>
        <w:ind w:left="140"/>
        <w:spacing w:after="0"/>
        <w:tabs>
          <w:tab w:leader="none" w:pos="12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.S. S</w:t>
      </w:r>
      <w:r>
        <w:rPr>
          <w:sz w:val="20"/>
          <w:szCs w:val="20"/>
          <w:color w:val="auto"/>
        </w:rPr>
        <w:tab/>
      </w:r>
      <w:r>
        <w:rPr>
          <w:rFonts w:ascii="Arial" w:cs="Arial" w:eastAsia="Arial" w:hAnsi="Arial"/>
          <w:sz w:val="22"/>
          <w:szCs w:val="22"/>
          <w:color w:val="auto"/>
        </w:rPr>
        <w:t>N S</w:t>
      </w:r>
    </w:p>
    <w:p>
      <w:pPr>
        <w:spacing w:after="0" w:line="130"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22"/>
          <w:szCs w:val="22"/>
          <w:i w:val="1"/>
          <w:iCs w:val="1"/>
          <w:color w:val="auto"/>
        </w:rPr>
        <w:t>ar</w:t>
      </w:r>
      <w:r>
        <w:rPr>
          <w:sz w:val="20"/>
          <w:szCs w:val="20"/>
          <w:color w:val="auto"/>
        </w:rPr>
        <w:tab/>
      </w:r>
      <w:r>
        <w:rPr>
          <w:rFonts w:ascii="Arial" w:cs="Arial" w:eastAsia="Arial" w:hAnsi="Arial"/>
          <w:sz w:val="17"/>
          <w:szCs w:val="17"/>
          <w:i w:val="1"/>
          <w:iCs w:val="1"/>
          <w:color w:val="auto"/>
        </w:rPr>
        <w:t>a</w:t>
      </w:r>
    </w:p>
    <w:p>
      <w:pPr>
        <w:sectPr>
          <w:pgSz w:w="12240" w:h="15841" w:orient="portrait"/>
          <w:cols w:equalWidth="0" w:num="1">
            <w:col w:w="10260"/>
          </w:cols>
          <w:pgMar w:left="1000" w:top="77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 dollars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January 31,</w:t>
      </w:r>
      <w:r>
        <w:rPr>
          <w:sz w:val="20"/>
          <w:szCs w:val="20"/>
          <w:color w:val="auto"/>
        </w:rPr>
        <w:tab/>
      </w:r>
      <w:r>
        <w:rPr>
          <w:rFonts w:ascii="Arial" w:cs="Arial" w:eastAsia="Arial" w:hAnsi="Arial"/>
          <w:sz w:val="18"/>
          <w:szCs w:val="18"/>
          <w:color w:val="auto"/>
        </w:rPr>
        <w:t>February 1,</w:t>
      </w:r>
    </w:p>
    <w:p>
      <w:pPr>
        <w:ind w:left="320"/>
        <w:spacing w:after="0"/>
        <w:tabs>
          <w:tab w:leader="none" w:pos="162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20"/>
          <w:szCs w:val="20"/>
          <w:color w:val="auto"/>
        </w:rPr>
        <w:t>2025</w:t>
      </w:r>
    </w:p>
    <w:p>
      <w:pPr>
        <w:spacing w:after="0" w:line="35" w:lineRule="exact"/>
        <w:rPr>
          <w:sz w:val="20"/>
          <w:szCs w:val="20"/>
          <w:color w:val="auto"/>
        </w:rPr>
      </w:pPr>
    </w:p>
    <w:p>
      <w:pPr>
        <w:sectPr>
          <w:pgSz w:w="12240" w:h="15841" w:orient="portrait"/>
          <w:cols w:equalWidth="0" w:num="2">
            <w:col w:w="7040" w:space="720"/>
            <w:col w:w="2500"/>
          </w:cols>
          <w:pgMar w:left="1000" w:top="778" w:right="981" w:bottom="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5960" w:type="dxa"/>
            <w:vAlign w:val="bottom"/>
            <w:tcBorders>
              <w:top w:val="single" w:sz="8" w:color="auto"/>
            </w:tcBorders>
            <w:gridSpan w:val="2"/>
            <w:shd w:val="clear" w:color="auto" w:fill="E4E4E4"/>
          </w:tcPr>
          <w:p>
            <w:pPr>
              <w:ind w:left="40"/>
              <w:spacing w:after="0"/>
              <w:rPr>
                <w:sz w:val="20"/>
                <w:szCs w:val="20"/>
                <w:color w:val="auto"/>
              </w:rPr>
            </w:pPr>
            <w:r>
              <w:rPr>
                <w:rFonts w:ascii="Arial" w:cs="Arial" w:eastAsia="Arial" w:hAnsi="Arial"/>
                <w:sz w:val="20"/>
                <w:szCs w:val="20"/>
                <w:color w:val="auto"/>
              </w:rPr>
              <w:t>Net sales</w:t>
            </w:r>
          </w:p>
        </w:tc>
        <w:tc>
          <w:tcPr>
            <w:tcW w:w="198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36,585</w:t>
            </w:r>
          </w:p>
        </w:tc>
        <w:tc>
          <w:tcPr>
            <w:tcW w:w="44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34,604</w:t>
            </w:r>
          </w:p>
        </w:tc>
      </w:tr>
      <w:tr>
        <w:trPr>
          <w:trHeight w:val="294"/>
        </w:trPr>
        <w:tc>
          <w:tcPr>
            <w:tcW w:w="596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Segment profit</w:t>
            </w:r>
          </w:p>
        </w:tc>
        <w:tc>
          <w:tcPr>
            <w:tcW w:w="19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5,528</w:t>
            </w:r>
          </w:p>
        </w:tc>
        <w:tc>
          <w:tcPr>
            <w:tcW w:w="4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4,8 5</w:t>
            </w:r>
          </w:p>
        </w:tc>
      </w:tr>
      <w:tr>
        <w:trPr>
          <w:trHeight w:val="306"/>
        </w:trPr>
        <w:tc>
          <w:tcPr>
            <w:tcW w:w="596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Segment profit margin</w:t>
            </w:r>
          </w:p>
        </w:tc>
        <w:tc>
          <w:tcPr>
            <w:tcW w:w="19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15.1</w:t>
            </w:r>
          </w:p>
        </w:tc>
        <w:tc>
          <w:tcPr>
            <w:tcW w:w="440" w:type="dxa"/>
            <w:vAlign w:val="bottom"/>
            <w:shd w:val="clear" w:color="auto" w:fill="E4E4E4"/>
          </w:tcPr>
          <w:p>
            <w:pPr>
              <w:spacing w:after="0"/>
              <w:rPr>
                <w:sz w:val="24"/>
                <w:szCs w:val="24"/>
                <w:color w:val="auto"/>
              </w:rPr>
            </w:pPr>
          </w:p>
        </w:tc>
        <w:tc>
          <w:tcPr>
            <w:tcW w:w="100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14.1</w:t>
            </w:r>
          </w:p>
        </w:tc>
      </w:tr>
      <w:tr>
        <w:trPr>
          <w:trHeight w:val="294"/>
        </w:trPr>
        <w:tc>
          <w:tcPr>
            <w:tcW w:w="596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Comp sales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4</w:t>
            </w:r>
          </w:p>
        </w:tc>
        <w:tc>
          <w:tcPr>
            <w:tcW w:w="440" w:type="dxa"/>
            <w:vAlign w:val="bottom"/>
            <w:shd w:val="clear" w:color="auto" w:fill="FEFEFE"/>
          </w:tcPr>
          <w:p>
            <w:pPr>
              <w:spacing w:after="0"/>
              <w:rPr>
                <w:sz w:val="24"/>
                <w:szCs w:val="24"/>
                <w:color w:val="auto"/>
              </w:rPr>
            </w:pPr>
          </w:p>
        </w:tc>
        <w:tc>
          <w:tcPr>
            <w:tcW w:w="100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w:t>
            </w:r>
          </w:p>
        </w:tc>
      </w:tr>
      <w:tr>
        <w:trPr>
          <w:trHeight w:val="306"/>
        </w:trPr>
        <w:tc>
          <w:tcPr>
            <w:tcW w:w="596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Stores in operation at end of period:</w:t>
            </w:r>
          </w:p>
        </w:tc>
        <w:tc>
          <w:tcPr>
            <w:tcW w:w="198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440" w:type="dxa"/>
            <w:vAlign w:val="bottom"/>
            <w:shd w:val="clear" w:color="auto" w:fill="E4E4E4"/>
          </w:tcPr>
          <w:p>
            <w:pPr>
              <w:spacing w:after="0"/>
              <w:rPr>
                <w:sz w:val="24"/>
                <w:szCs w:val="24"/>
                <w:color w:val="auto"/>
              </w:rPr>
            </w:pPr>
          </w:p>
        </w:tc>
        <w:tc>
          <w:tcPr>
            <w:tcW w:w="1000" w:type="dxa"/>
            <w:vAlign w:val="bottom"/>
            <w:shd w:val="clear" w:color="auto" w:fill="E4E4E4"/>
          </w:tcPr>
          <w:p>
            <w:pPr>
              <w:spacing w:after="0"/>
              <w:rPr>
                <w:sz w:val="24"/>
                <w:szCs w:val="24"/>
                <w:color w:val="auto"/>
              </w:rPr>
            </w:pPr>
          </w:p>
        </w:tc>
      </w:tr>
      <w:tr>
        <w:trPr>
          <w:trHeight w:val="294"/>
        </w:trPr>
        <w:tc>
          <w:tcPr>
            <w:tcW w:w="500" w:type="dxa"/>
            <w:vAlign w:val="bottom"/>
            <w:shd w:val="clear" w:color="auto" w:fill="FEFEFE"/>
          </w:tcPr>
          <w:p>
            <w:pPr>
              <w:ind w:left="260"/>
              <w:spacing w:after="0"/>
              <w:rPr>
                <w:sz w:val="20"/>
                <w:szCs w:val="20"/>
                <w:color w:val="auto"/>
              </w:rPr>
            </w:pPr>
            <w:r>
              <w:rPr>
                <w:rFonts w:ascii="Arial" w:cs="Arial" w:eastAsia="Arial" w:hAnsi="Arial"/>
                <w:sz w:val="20"/>
                <w:szCs w:val="20"/>
                <w:color w:val="auto"/>
                <w:w w:val="98"/>
              </w:rPr>
              <w:t>TJ</w:t>
            </w:r>
          </w:p>
        </w:tc>
        <w:tc>
          <w:tcPr>
            <w:tcW w:w="5460" w:type="dxa"/>
            <w:vAlign w:val="bottom"/>
            <w:shd w:val="clear" w:color="auto" w:fill="FEFEFE"/>
          </w:tcPr>
          <w:p>
            <w:pPr>
              <w:ind w:left="200"/>
              <w:spacing w:after="0"/>
              <w:rPr>
                <w:sz w:val="20"/>
                <w:szCs w:val="20"/>
                <w:color w:val="auto"/>
              </w:rPr>
            </w:pPr>
            <w:r>
              <w:rPr>
                <w:rFonts w:ascii="Arial" w:cs="Arial" w:eastAsia="Arial" w:hAnsi="Arial"/>
                <w:sz w:val="20"/>
                <w:szCs w:val="20"/>
                <w:color w:val="auto"/>
              </w:rPr>
              <w:t>axx</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1,348</w:t>
            </w:r>
          </w:p>
        </w:tc>
        <w:tc>
          <w:tcPr>
            <w:tcW w:w="440" w:type="dxa"/>
            <w:vAlign w:val="bottom"/>
            <w:shd w:val="clear" w:color="auto" w:fill="FEFEFE"/>
          </w:tcPr>
          <w:p>
            <w:pPr>
              <w:spacing w:after="0"/>
              <w:rPr>
                <w:sz w:val="24"/>
                <w:szCs w:val="24"/>
                <w:color w:val="auto"/>
              </w:rPr>
            </w:pPr>
          </w:p>
        </w:tc>
        <w:tc>
          <w:tcPr>
            <w:tcW w:w="100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1,333</w:t>
            </w:r>
          </w:p>
        </w:tc>
      </w:tr>
      <w:tr>
        <w:trPr>
          <w:trHeight w:val="306"/>
        </w:trPr>
        <w:tc>
          <w:tcPr>
            <w:tcW w:w="5960" w:type="dxa"/>
            <w:vAlign w:val="bottom"/>
            <w:gridSpan w:val="2"/>
            <w:shd w:val="clear" w:color="auto" w:fill="E4E4E4"/>
          </w:tcPr>
          <w:p>
            <w:pPr>
              <w:jc w:val="center"/>
              <w:ind w:right="4360"/>
              <w:spacing w:after="0"/>
              <w:rPr>
                <w:sz w:val="20"/>
                <w:szCs w:val="20"/>
                <w:color w:val="auto"/>
              </w:rPr>
            </w:pPr>
            <w:r>
              <w:rPr>
                <w:rFonts w:ascii="Arial" w:cs="Arial" w:eastAsia="Arial" w:hAnsi="Arial"/>
                <w:sz w:val="20"/>
                <w:szCs w:val="20"/>
                <w:color w:val="auto"/>
                <w:w w:val="89"/>
              </w:rPr>
              <w:t>arshalls</w:t>
            </w:r>
          </w:p>
        </w:tc>
        <w:tc>
          <w:tcPr>
            <w:tcW w:w="19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1,255</w:t>
            </w:r>
          </w:p>
        </w:tc>
        <w:tc>
          <w:tcPr>
            <w:tcW w:w="440" w:type="dxa"/>
            <w:vAlign w:val="bottom"/>
            <w:shd w:val="clear" w:color="auto" w:fill="E4E4E4"/>
          </w:tcPr>
          <w:p>
            <w:pPr>
              <w:spacing w:after="0"/>
              <w:rPr>
                <w:sz w:val="24"/>
                <w:szCs w:val="24"/>
                <w:color w:val="auto"/>
              </w:rPr>
            </w:pPr>
          </w:p>
        </w:tc>
        <w:tc>
          <w:tcPr>
            <w:tcW w:w="100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1,230</w:t>
            </w:r>
          </w:p>
        </w:tc>
      </w:tr>
      <w:tr>
        <w:trPr>
          <w:trHeight w:val="290"/>
        </w:trPr>
        <w:tc>
          <w:tcPr>
            <w:tcW w:w="596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Sierra</w:t>
            </w:r>
          </w:p>
        </w:tc>
        <w:tc>
          <w:tcPr>
            <w:tcW w:w="19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145</w:t>
            </w:r>
          </w:p>
        </w:tc>
        <w:tc>
          <w:tcPr>
            <w:tcW w:w="440" w:type="dxa"/>
            <w:vAlign w:val="bottom"/>
            <w:tcBorders>
              <w:bottom w:val="single" w:sz="8" w:color="auto"/>
            </w:tcBorders>
            <w:shd w:val="clear" w:color="auto" w:fill="FEFEFE"/>
          </w:tcPr>
          <w:p>
            <w:pPr>
              <w:spacing w:after="0"/>
              <w:rPr>
                <w:sz w:val="24"/>
                <w:szCs w:val="24"/>
                <w:color w:val="auto"/>
              </w:rPr>
            </w:pPr>
          </w:p>
        </w:tc>
        <w:tc>
          <w:tcPr>
            <w:tcW w:w="100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117</w:t>
            </w:r>
          </w:p>
        </w:tc>
      </w:tr>
      <w:tr>
        <w:trPr>
          <w:trHeight w:val="280"/>
        </w:trPr>
        <w:tc>
          <w:tcPr>
            <w:tcW w:w="500" w:type="dxa"/>
            <w:vAlign w:val="bottom"/>
            <w:tcBorders>
              <w:bottom w:val="single" w:sz="8" w:color="auto"/>
            </w:tcBorders>
            <w:shd w:val="clear" w:color="auto" w:fill="E4E4E4"/>
          </w:tcPr>
          <w:p>
            <w:pPr>
              <w:spacing w:after="0"/>
              <w:rPr>
                <w:sz w:val="24"/>
                <w:szCs w:val="24"/>
                <w:color w:val="auto"/>
              </w:rPr>
            </w:pPr>
          </w:p>
        </w:tc>
        <w:tc>
          <w:tcPr>
            <w:tcW w:w="5460" w:type="dxa"/>
            <w:vAlign w:val="bottom"/>
            <w:tcBorders>
              <w:bottom w:val="single" w:sz="8" w:color="auto"/>
            </w:tcBorders>
            <w:shd w:val="clear" w:color="auto" w:fill="E4E4E4"/>
          </w:tcPr>
          <w:p>
            <w:pPr>
              <w:jc w:val="center"/>
              <w:ind w:right="4860"/>
              <w:spacing w:after="0"/>
              <w:rPr>
                <w:sz w:val="20"/>
                <w:szCs w:val="20"/>
                <w:color w:val="auto"/>
              </w:rPr>
            </w:pPr>
            <w:r>
              <w:rPr>
                <w:rFonts w:ascii="Arial" w:cs="Arial" w:eastAsia="Arial" w:hAnsi="Arial"/>
                <w:sz w:val="20"/>
                <w:szCs w:val="20"/>
                <w:color w:val="auto"/>
                <w:w w:val="94"/>
              </w:rPr>
              <w:t>Total</w:t>
            </w:r>
          </w:p>
        </w:tc>
        <w:tc>
          <w:tcPr>
            <w:tcW w:w="198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2,748</w:t>
            </w:r>
          </w:p>
        </w:tc>
        <w:tc>
          <w:tcPr>
            <w:tcW w:w="440" w:type="dxa"/>
            <w:vAlign w:val="bottom"/>
            <w:tcBorders>
              <w:bottom w:val="single" w:sz="8" w:color="auto"/>
            </w:tcBorders>
            <w:shd w:val="clear" w:color="auto" w:fill="E4E4E4"/>
          </w:tcPr>
          <w:p>
            <w:pPr>
              <w:spacing w:after="0"/>
              <w:rPr>
                <w:sz w:val="24"/>
                <w:szCs w:val="24"/>
                <w:color w:val="auto"/>
              </w:rPr>
            </w:pPr>
          </w:p>
        </w:tc>
        <w:tc>
          <w:tcPr>
            <w:tcW w:w="100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2,680</w:t>
            </w:r>
          </w:p>
        </w:tc>
      </w:tr>
      <w:tr>
        <w:trPr>
          <w:trHeight w:val="280"/>
        </w:trPr>
        <w:tc>
          <w:tcPr>
            <w:tcW w:w="596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Selling s uare footage at end of period (in millions):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440" w:type="dxa"/>
            <w:vAlign w:val="bottom"/>
            <w:shd w:val="clear" w:color="auto" w:fill="FEFEFE"/>
          </w:tcPr>
          <w:p>
            <w:pPr>
              <w:spacing w:after="0"/>
              <w:rPr>
                <w:sz w:val="24"/>
                <w:szCs w:val="24"/>
                <w:color w:val="auto"/>
              </w:rPr>
            </w:pPr>
          </w:p>
        </w:tc>
        <w:tc>
          <w:tcPr>
            <w:tcW w:w="1000" w:type="dxa"/>
            <w:vAlign w:val="bottom"/>
            <w:shd w:val="clear" w:color="auto" w:fill="FEFEFE"/>
          </w:tcPr>
          <w:p>
            <w:pPr>
              <w:spacing w:after="0"/>
              <w:rPr>
                <w:sz w:val="24"/>
                <w:szCs w:val="24"/>
                <w:color w:val="auto"/>
              </w:rPr>
            </w:pPr>
          </w:p>
        </w:tc>
      </w:tr>
      <w:tr>
        <w:trPr>
          <w:trHeight w:val="310"/>
        </w:trPr>
        <w:tc>
          <w:tcPr>
            <w:tcW w:w="50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8"/>
              </w:rPr>
              <w:t>TJ</w:t>
            </w:r>
          </w:p>
        </w:tc>
        <w:tc>
          <w:tcPr>
            <w:tcW w:w="5460" w:type="dxa"/>
            <w:vAlign w:val="bottom"/>
            <w:shd w:val="clear" w:color="auto" w:fill="E4E4E4"/>
          </w:tcPr>
          <w:p>
            <w:pPr>
              <w:ind w:left="200"/>
              <w:spacing w:after="0"/>
              <w:rPr>
                <w:sz w:val="20"/>
                <w:szCs w:val="20"/>
                <w:color w:val="auto"/>
              </w:rPr>
            </w:pPr>
            <w:r>
              <w:rPr>
                <w:rFonts w:ascii="Arial" w:cs="Arial" w:eastAsia="Arial" w:hAnsi="Arial"/>
                <w:sz w:val="20"/>
                <w:szCs w:val="20"/>
                <w:color w:val="auto"/>
              </w:rPr>
              <w:t>axx</w:t>
            </w:r>
          </w:p>
        </w:tc>
        <w:tc>
          <w:tcPr>
            <w:tcW w:w="19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30</w:t>
            </w:r>
          </w:p>
        </w:tc>
        <w:tc>
          <w:tcPr>
            <w:tcW w:w="440" w:type="dxa"/>
            <w:vAlign w:val="bottom"/>
            <w:shd w:val="clear" w:color="auto" w:fill="E4E4E4"/>
          </w:tcPr>
          <w:p>
            <w:pPr>
              <w:spacing w:after="0"/>
              <w:rPr>
                <w:sz w:val="24"/>
                <w:szCs w:val="24"/>
                <w:color w:val="auto"/>
              </w:rPr>
            </w:pPr>
          </w:p>
        </w:tc>
        <w:tc>
          <w:tcPr>
            <w:tcW w:w="100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30</w:t>
            </w:r>
          </w:p>
        </w:tc>
      </w:tr>
      <w:tr>
        <w:trPr>
          <w:trHeight w:val="293"/>
        </w:trPr>
        <w:tc>
          <w:tcPr>
            <w:tcW w:w="5960" w:type="dxa"/>
            <w:vAlign w:val="bottom"/>
            <w:gridSpan w:val="2"/>
            <w:shd w:val="clear" w:color="auto" w:fill="FEFEFE"/>
          </w:tcPr>
          <w:p>
            <w:pPr>
              <w:jc w:val="center"/>
              <w:ind w:right="4360"/>
              <w:spacing w:after="0"/>
              <w:rPr>
                <w:sz w:val="20"/>
                <w:szCs w:val="20"/>
                <w:color w:val="auto"/>
              </w:rPr>
            </w:pPr>
            <w:r>
              <w:rPr>
                <w:rFonts w:ascii="Arial" w:cs="Arial" w:eastAsia="Arial" w:hAnsi="Arial"/>
                <w:sz w:val="20"/>
                <w:szCs w:val="20"/>
                <w:color w:val="auto"/>
                <w:w w:val="89"/>
              </w:rPr>
              <w:t>arshalls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28</w:t>
            </w:r>
          </w:p>
        </w:tc>
        <w:tc>
          <w:tcPr>
            <w:tcW w:w="440" w:type="dxa"/>
            <w:vAlign w:val="bottom"/>
            <w:shd w:val="clear" w:color="auto" w:fill="FEFEFE"/>
          </w:tcPr>
          <w:p>
            <w:pPr>
              <w:spacing w:after="0"/>
              <w:rPr>
                <w:sz w:val="24"/>
                <w:szCs w:val="24"/>
                <w:color w:val="auto"/>
              </w:rPr>
            </w:pPr>
          </w:p>
        </w:tc>
        <w:tc>
          <w:tcPr>
            <w:tcW w:w="100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27</w:t>
            </w:r>
          </w:p>
        </w:tc>
      </w:tr>
      <w:tr>
        <w:trPr>
          <w:trHeight w:val="297"/>
        </w:trPr>
        <w:tc>
          <w:tcPr>
            <w:tcW w:w="596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Sierra</w:t>
            </w:r>
          </w:p>
        </w:tc>
        <w:tc>
          <w:tcPr>
            <w:tcW w:w="198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2</w:t>
            </w:r>
          </w:p>
        </w:tc>
        <w:tc>
          <w:tcPr>
            <w:tcW w:w="440" w:type="dxa"/>
            <w:vAlign w:val="bottom"/>
            <w:tcBorders>
              <w:bottom w:val="single" w:sz="8" w:color="auto"/>
            </w:tcBorders>
            <w:shd w:val="clear" w:color="auto" w:fill="E4E4E4"/>
          </w:tcPr>
          <w:p>
            <w:pPr>
              <w:spacing w:after="0"/>
              <w:rPr>
                <w:sz w:val="24"/>
                <w:szCs w:val="24"/>
                <w:color w:val="auto"/>
              </w:rPr>
            </w:pPr>
          </w:p>
        </w:tc>
        <w:tc>
          <w:tcPr>
            <w:tcW w:w="100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w:t>
            </w:r>
          </w:p>
        </w:tc>
      </w:tr>
      <w:tr>
        <w:trPr>
          <w:trHeight w:val="280"/>
        </w:trPr>
        <w:tc>
          <w:tcPr>
            <w:tcW w:w="500" w:type="dxa"/>
            <w:vAlign w:val="bottom"/>
            <w:tcBorders>
              <w:bottom w:val="single" w:sz="8" w:color="auto"/>
            </w:tcBorders>
            <w:shd w:val="clear" w:color="auto" w:fill="FEFEFE"/>
          </w:tcPr>
          <w:p>
            <w:pPr>
              <w:spacing w:after="0"/>
              <w:rPr>
                <w:sz w:val="24"/>
                <w:szCs w:val="24"/>
                <w:color w:val="auto"/>
              </w:rPr>
            </w:pPr>
          </w:p>
        </w:tc>
        <w:tc>
          <w:tcPr>
            <w:tcW w:w="5460" w:type="dxa"/>
            <w:vAlign w:val="bottom"/>
            <w:tcBorders>
              <w:bottom w:val="single" w:sz="8" w:color="auto"/>
            </w:tcBorders>
            <w:shd w:val="clear" w:color="auto" w:fill="FEFEFE"/>
          </w:tcPr>
          <w:p>
            <w:pPr>
              <w:jc w:val="center"/>
              <w:ind w:right="4860"/>
              <w:spacing w:after="0"/>
              <w:rPr>
                <w:sz w:val="20"/>
                <w:szCs w:val="20"/>
                <w:color w:val="auto"/>
              </w:rPr>
            </w:pPr>
            <w:r>
              <w:rPr>
                <w:rFonts w:ascii="Arial" w:cs="Arial" w:eastAsia="Arial" w:hAnsi="Arial"/>
                <w:sz w:val="20"/>
                <w:szCs w:val="20"/>
                <w:color w:val="auto"/>
                <w:w w:val="94"/>
              </w:rPr>
              <w:t>Total</w:t>
            </w:r>
          </w:p>
        </w:tc>
        <w:tc>
          <w:tcPr>
            <w:tcW w:w="19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60</w:t>
            </w:r>
          </w:p>
        </w:tc>
        <w:tc>
          <w:tcPr>
            <w:tcW w:w="440" w:type="dxa"/>
            <w:vAlign w:val="bottom"/>
            <w:tcBorders>
              <w:bottom w:val="single" w:sz="8" w:color="auto"/>
            </w:tcBorders>
            <w:shd w:val="clear" w:color="auto" w:fill="FEFEFE"/>
          </w:tcPr>
          <w:p>
            <w:pPr>
              <w:spacing w:after="0"/>
              <w:rPr>
                <w:sz w:val="24"/>
                <w:szCs w:val="24"/>
                <w:color w:val="auto"/>
              </w:rPr>
            </w:pPr>
          </w:p>
        </w:tc>
        <w:tc>
          <w:tcPr>
            <w:tcW w:w="100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58</w:t>
            </w:r>
          </w:p>
        </w:tc>
      </w:tr>
    </w:tbl>
    <w:p>
      <w:pPr>
        <w:spacing w:after="0" w:line="13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et  ales</w:t>
      </w:r>
    </w:p>
    <w:p>
      <w:pPr>
        <w:spacing w:after="0" w:line="141"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Net sales for armaxx were $36.6 billion for fiscal 2026, an increase of 6 compared to $34.6 billion for fiscal 2025. The increase in net sales reflects a 4 increase from comp sales and a 2 increase from non-comp sales.</w:t>
      </w:r>
    </w:p>
    <w:p>
      <w:pPr>
        <w:spacing w:after="0" w:line="58" w:lineRule="exact"/>
        <w:rPr>
          <w:sz w:val="20"/>
          <w:szCs w:val="20"/>
          <w:color w:val="auto"/>
        </w:rPr>
      </w:pPr>
    </w:p>
    <w:p>
      <w:pPr>
        <w:ind w:right="40"/>
        <w:spacing w:after="0" w:line="266" w:lineRule="auto"/>
        <w:rPr>
          <w:sz w:val="20"/>
          <w:szCs w:val="20"/>
          <w:color w:val="auto"/>
        </w:rPr>
      </w:pPr>
      <w:r>
        <w:rPr>
          <w:rFonts w:ascii="Arial" w:cs="Arial" w:eastAsia="Arial" w:hAnsi="Arial"/>
          <w:sz w:val="20"/>
          <w:szCs w:val="20"/>
          <w:color w:val="auto"/>
        </w:rPr>
        <w:t>The increase in comp sales for fiscal 2026 was driven by a higher average basket and an increase in customer transactions. Both apparel comp sales growth and home comp sales growth generally performed in line with the overall comp sales increase for fiscal 2026. eographically, comp sales growth was strongest in the South region.</w:t>
      </w:r>
    </w:p>
    <w:p>
      <w:pPr>
        <w:spacing w:after="0" w:line="66" w:lineRule="exact"/>
        <w:rPr>
          <w:sz w:val="20"/>
          <w:szCs w:val="20"/>
          <w:color w:val="auto"/>
        </w:rPr>
      </w:pPr>
    </w:p>
    <w:p>
      <w:pPr>
        <w:ind w:left="100"/>
        <w:spacing w:after="0"/>
        <w:tabs>
          <w:tab w:leader="none" w:pos="900" w:val="left"/>
          <w:tab w:leader="none" w:pos="1520" w:val="left"/>
        </w:tabs>
        <w:rPr>
          <w:sz w:val="20"/>
          <w:szCs w:val="20"/>
          <w:color w:val="auto"/>
        </w:rPr>
      </w:pPr>
      <w:r>
        <w:rPr>
          <w:rFonts w:ascii="Arial" w:cs="Arial" w:eastAsia="Arial" w:hAnsi="Arial"/>
          <w:sz w:val="22"/>
          <w:szCs w:val="22"/>
          <w:i w:val="1"/>
          <w:iCs w:val="1"/>
          <w:color w:val="auto"/>
        </w:rPr>
        <w:t>eg  ent</w:t>
        <w:tab/>
        <w:t>r  it</w:t>
      </w:r>
      <w:r>
        <w:rPr>
          <w:sz w:val="20"/>
          <w:szCs w:val="20"/>
          <w:color w:val="auto"/>
        </w:rPr>
        <w:tab/>
      </w:r>
      <w:r>
        <w:rPr>
          <w:rFonts w:ascii="Arial" w:cs="Arial" w:eastAsia="Arial" w:hAnsi="Arial"/>
          <w:sz w:val="21"/>
          <w:szCs w:val="21"/>
          <w:i w:val="1"/>
          <w:iCs w:val="1"/>
          <w:color w:val="auto"/>
        </w:rPr>
        <w:t>argin</w:t>
      </w:r>
    </w:p>
    <w:p>
      <w:pPr>
        <w:spacing w:after="0" w:line="141"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Segment profit margin increased to 15.1 for fiscal 2026 compared to a segment profit margin of 14.1 for fiscal 2025. The increase in segment profit margin was primarily driven by a net benefit from the credit card interchange fees litigation settlement and related expenses as well as favorable merchandise margin. erchandise margin reflects lower inventory shrink expense and lower freight costs partially offset by higher markdowns.</w:t>
      </w:r>
    </w:p>
    <w:p>
      <w:pPr>
        <w:spacing w:after="0" w:line="80" w:lineRule="exact"/>
        <w:rPr>
          <w:sz w:val="20"/>
          <w:szCs w:val="20"/>
          <w:color w:val="auto"/>
        </w:rPr>
      </w:pPr>
    </w:p>
    <w:p>
      <w:pPr>
        <w:ind w:left="160" w:right="260" w:hanging="32"/>
        <w:spacing w:after="0" w:line="278" w:lineRule="auto"/>
        <w:rPr>
          <w:sz w:val="20"/>
          <w:szCs w:val="20"/>
          <w:color w:val="auto"/>
        </w:rPr>
      </w:pPr>
      <w:r>
        <w:rPr>
          <w:rFonts w:ascii="Arial" w:cs="Arial" w:eastAsia="Arial" w:hAnsi="Arial"/>
          <w:sz w:val="20"/>
          <w:szCs w:val="20"/>
          <w:color w:val="auto"/>
        </w:rPr>
        <w:t>ur</w:t>
      </w:r>
      <w:r>
        <w:rPr>
          <w:sz w:val="20"/>
          <w:szCs w:val="20"/>
          <w:color w:val="auto"/>
        </w:rPr>
        <w:t xml:space="preserve"> </w:t>
      </w:r>
      <w:r>
        <w:rPr>
          <w:rFonts w:ascii="Arial" w:cs="Arial" w:eastAsia="Arial" w:hAnsi="Arial"/>
          <w:sz w:val="18"/>
          <w:szCs w:val="18"/>
          <w:color w:val="auto"/>
        </w:rPr>
        <w:t>armaxx e-commerce sites, tjmaxx.com and marshalls.com, together with sierra.com, represented approximately 2 of armaxx’s net sales for fiscal 2026 and fiscal 2025, and did not have a significant impact on year-over-year segment margin</w:t>
      </w:r>
    </w:p>
    <w:p>
      <w:pPr>
        <w:spacing w:after="0"/>
        <w:rPr>
          <w:sz w:val="20"/>
          <w:szCs w:val="20"/>
          <w:color w:val="auto"/>
        </w:rPr>
      </w:pPr>
      <w:r>
        <w:rPr>
          <w:rFonts w:ascii="Arial" w:cs="Arial" w:eastAsia="Arial" w:hAnsi="Arial"/>
          <w:sz w:val="20"/>
          <w:szCs w:val="20"/>
          <w:color w:val="auto"/>
        </w:rPr>
        <w:t>comparisons.</w:t>
      </w:r>
    </w:p>
    <w:p>
      <w:pPr>
        <w:spacing w:after="0" w:line="130" w:lineRule="exact"/>
        <w:rPr>
          <w:sz w:val="20"/>
          <w:szCs w:val="20"/>
          <w:color w:val="auto"/>
        </w:rPr>
      </w:pPr>
    </w:p>
    <w:p>
      <w:pPr>
        <w:ind w:right="340"/>
        <w:spacing w:after="0" w:line="283" w:lineRule="auto"/>
        <w:rPr>
          <w:sz w:val="20"/>
          <w:szCs w:val="20"/>
          <w:color w:val="auto"/>
        </w:rPr>
      </w:pPr>
      <w:r>
        <w:rPr>
          <w:rFonts w:ascii="Arial" w:cs="Arial" w:eastAsia="Arial" w:hAnsi="Arial"/>
          <w:sz w:val="20"/>
          <w:szCs w:val="20"/>
          <w:color w:val="auto"/>
        </w:rPr>
        <w:t>In fiscal 2027, we expect to open 45 armaxx net new stores and 24 new Sierra stores, which would increase selling s uare footage by approximately 2 .</w:t>
      </w:r>
    </w:p>
    <w:p>
      <w:pPr>
        <w:sectPr>
          <w:pgSz w:w="12240" w:h="15841" w:orient="portrait"/>
          <w:cols w:equalWidth="0" w:num="1">
            <w:col w:w="10260"/>
          </w:cols>
          <w:pgMar w:left="1000" w:top="778"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ectPr>
          <w:pgSz w:w="12240" w:h="15841" w:orient="portrait"/>
          <w:cols w:equalWidth="0" w:num="1">
            <w:col w:w="10260"/>
          </w:cols>
          <w:pgMar w:left="1000" w:top="778" w:right="981" w:bottom="0" w:gutter="0" w:footer="0" w:header="0"/>
          <w:type w:val="continuous"/>
        </w:sectPr>
      </w:pPr>
    </w:p>
    <w:bookmarkStart w:id="41" w:name="page42"/>
    <w:bookmarkEnd w:id="41"/>
    <w:p>
      <w:pPr>
        <w:ind w:left="160"/>
        <w:spacing w:after="0"/>
        <w:tabs>
          <w:tab w:leader="none" w:pos="42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o</w:t>
      </w:r>
      <w:r>
        <w:rPr>
          <w:sz w:val="20"/>
          <w:szCs w:val="20"/>
          <w:color w:val="auto"/>
        </w:rPr>
        <w:tab/>
      </w:r>
      <w:r>
        <w:rPr>
          <w:rFonts w:ascii="Arial" w:cs="Arial" w:eastAsia="Arial" w:hAnsi="Arial"/>
          <w:sz w:val="20"/>
          <w:szCs w:val="20"/>
          <w:i w:val="1"/>
          <w:iCs w:val="1"/>
          <w:color w:val="auto"/>
        </w:rPr>
        <w:t>e  oods</w:t>
      </w:r>
    </w:p>
    <w:p>
      <w:pPr>
        <w:sectPr>
          <w:pgSz w:w="12240" w:h="15841" w:orient="portrait"/>
          <w:cols w:equalWidth="0" w:num="1">
            <w:col w:w="10260"/>
          </w:cols>
          <w:pgMar w:left="100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 dollars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January 31,</w:t>
      </w:r>
      <w:r>
        <w:rPr>
          <w:sz w:val="20"/>
          <w:szCs w:val="20"/>
          <w:color w:val="auto"/>
        </w:rPr>
        <w:tab/>
      </w:r>
      <w:r>
        <w:rPr>
          <w:rFonts w:ascii="Arial" w:cs="Arial" w:eastAsia="Arial" w:hAnsi="Arial"/>
          <w:sz w:val="18"/>
          <w:szCs w:val="18"/>
          <w:color w:val="auto"/>
        </w:rPr>
        <w:t>February 1,</w:t>
      </w:r>
    </w:p>
    <w:p>
      <w:pPr>
        <w:ind w:left="320"/>
        <w:spacing w:after="0"/>
        <w:tabs>
          <w:tab w:leader="none" w:pos="162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20"/>
          <w:szCs w:val="20"/>
          <w:color w:val="auto"/>
        </w:rPr>
        <w:t>2025</w:t>
      </w:r>
    </w:p>
    <w:p>
      <w:pPr>
        <w:spacing w:after="0" w:line="35" w:lineRule="exact"/>
        <w:rPr>
          <w:sz w:val="20"/>
          <w:szCs w:val="20"/>
          <w:color w:val="auto"/>
        </w:rPr>
      </w:pPr>
    </w:p>
    <w:p>
      <w:pPr>
        <w:sectPr>
          <w:pgSz w:w="12240" w:h="15841" w:orient="portrait"/>
          <w:cols w:equalWidth="0" w:num="2">
            <w:col w:w="7040" w:space="720"/>
            <w:col w:w="2500"/>
          </w:cols>
          <w:pgMar w:left="1000" w:top="777" w:right="981" w:bottom="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800" w:type="dxa"/>
            <w:vAlign w:val="bottom"/>
            <w:tcBorders>
              <w:top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w w:val="88"/>
              </w:rPr>
              <w:t>Net sales</w:t>
            </w:r>
          </w:p>
        </w:tc>
        <w:tc>
          <w:tcPr>
            <w:tcW w:w="5160" w:type="dxa"/>
            <w:vAlign w:val="bottom"/>
            <w:tcBorders>
              <w:top w:val="single" w:sz="8" w:color="auto"/>
            </w:tcBorders>
            <w:shd w:val="clear" w:color="auto" w:fill="E4E4E4"/>
          </w:tcPr>
          <w:p>
            <w:pPr>
              <w:spacing w:after="0"/>
              <w:rPr>
                <w:sz w:val="24"/>
                <w:szCs w:val="24"/>
                <w:color w:val="auto"/>
              </w:rPr>
            </w:pPr>
          </w:p>
        </w:tc>
        <w:tc>
          <w:tcPr>
            <w:tcW w:w="198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10,172</w:t>
            </w:r>
          </w:p>
        </w:tc>
        <w:tc>
          <w:tcPr>
            <w:tcW w:w="500" w:type="dxa"/>
            <w:vAlign w:val="bottom"/>
            <w:tcBorders>
              <w:top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,386</w:t>
            </w:r>
          </w:p>
        </w:tc>
      </w:tr>
      <w:tr>
        <w:trPr>
          <w:trHeight w:val="293"/>
        </w:trPr>
        <w:tc>
          <w:tcPr>
            <w:tcW w:w="596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Segment profit</w:t>
            </w:r>
          </w:p>
        </w:tc>
        <w:tc>
          <w:tcPr>
            <w:tcW w:w="19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1,246</w:t>
            </w:r>
          </w:p>
        </w:tc>
        <w:tc>
          <w:tcPr>
            <w:tcW w:w="5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1,021</w:t>
            </w:r>
          </w:p>
        </w:tc>
      </w:tr>
      <w:tr>
        <w:trPr>
          <w:trHeight w:val="307"/>
        </w:trPr>
        <w:tc>
          <w:tcPr>
            <w:tcW w:w="596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Segment profit margin</w:t>
            </w:r>
          </w:p>
        </w:tc>
        <w:tc>
          <w:tcPr>
            <w:tcW w:w="19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12.2</w:t>
            </w:r>
          </w:p>
        </w:tc>
        <w:tc>
          <w:tcPr>
            <w:tcW w:w="500" w:type="dxa"/>
            <w:vAlign w:val="bottom"/>
            <w:shd w:val="clear" w:color="auto" w:fill="E4E4E4"/>
          </w:tcPr>
          <w:p>
            <w:pPr>
              <w:spacing w:after="0"/>
              <w:rPr>
                <w:sz w:val="24"/>
                <w:szCs w:val="24"/>
                <w:color w:val="auto"/>
              </w:rPr>
            </w:pPr>
          </w:p>
        </w:tc>
        <w:tc>
          <w:tcPr>
            <w:tcW w:w="940" w:type="dxa"/>
            <w:vAlign w:val="bottom"/>
            <w:shd w:val="clear" w:color="auto" w:fill="E4E4E4"/>
          </w:tcPr>
          <w:p>
            <w:pPr>
              <w:jc w:val="right"/>
              <w:ind w:right="260"/>
              <w:spacing w:after="0"/>
              <w:rPr>
                <w:sz w:val="20"/>
                <w:szCs w:val="20"/>
                <w:color w:val="auto"/>
              </w:rPr>
            </w:pPr>
            <w:r>
              <w:rPr>
                <w:rFonts w:ascii="Arial" w:cs="Arial" w:eastAsia="Arial" w:hAnsi="Arial"/>
                <w:sz w:val="20"/>
                <w:szCs w:val="20"/>
                <w:color w:val="auto"/>
              </w:rPr>
              <w:t>10.</w:t>
            </w:r>
          </w:p>
        </w:tc>
      </w:tr>
      <w:tr>
        <w:trPr>
          <w:trHeight w:val="293"/>
        </w:trPr>
        <w:tc>
          <w:tcPr>
            <w:tcW w:w="596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Comp sales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5</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w:t>
            </w:r>
          </w:p>
        </w:tc>
      </w:tr>
      <w:tr>
        <w:trPr>
          <w:trHeight w:val="287"/>
        </w:trPr>
        <w:tc>
          <w:tcPr>
            <w:tcW w:w="596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rPr>
              <w:t>Stores in operation at end of period:</w:t>
            </w:r>
          </w:p>
        </w:tc>
        <w:tc>
          <w:tcPr>
            <w:tcW w:w="1980" w:type="dxa"/>
            <w:vAlign w:val="bottom"/>
            <w:tcBorders>
              <w:bottom w:val="single" w:sz="8" w:color="E4E4E4"/>
            </w:tcBorders>
            <w:shd w:val="clear" w:color="auto" w:fill="E4E4E4"/>
          </w:tcPr>
          <w:p>
            <w:pPr>
              <w:spacing w:after="0"/>
              <w:rPr>
                <w:sz w:val="24"/>
                <w:szCs w:val="24"/>
                <w:color w:val="auto"/>
              </w:rPr>
            </w:pPr>
          </w:p>
        </w:tc>
        <w:tc>
          <w:tcPr>
            <w:tcW w:w="88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spacing w:after="0"/>
              <w:rPr>
                <w:sz w:val="24"/>
                <w:szCs w:val="24"/>
                <w:color w:val="auto"/>
              </w:rPr>
            </w:pPr>
          </w:p>
        </w:tc>
        <w:tc>
          <w:tcPr>
            <w:tcW w:w="940" w:type="dxa"/>
            <w:vAlign w:val="bottom"/>
            <w:tcBorders>
              <w:bottom w:val="single" w:sz="8" w:color="E4E4E4"/>
            </w:tcBorders>
            <w:shd w:val="clear" w:color="auto" w:fill="E4E4E4"/>
          </w:tcPr>
          <w:p>
            <w:pPr>
              <w:spacing w:after="0"/>
              <w:rPr>
                <w:sz w:val="24"/>
                <w:szCs w:val="24"/>
                <w:color w:val="auto"/>
              </w:rPr>
            </w:pPr>
          </w:p>
        </w:tc>
      </w:tr>
      <w:tr>
        <w:trPr>
          <w:trHeight w:val="294"/>
        </w:trPr>
        <w:tc>
          <w:tcPr>
            <w:tcW w:w="800" w:type="dxa"/>
            <w:vAlign w:val="bottom"/>
            <w:shd w:val="clear" w:color="auto" w:fill="FEFEFE"/>
          </w:tcPr>
          <w:p>
            <w:pPr>
              <w:ind w:left="420"/>
              <w:spacing w:after="0"/>
              <w:rPr>
                <w:sz w:val="20"/>
                <w:szCs w:val="20"/>
                <w:color w:val="auto"/>
              </w:rPr>
            </w:pPr>
            <w:r>
              <w:rPr>
                <w:rFonts w:ascii="Arial" w:cs="Arial" w:eastAsia="Arial" w:hAnsi="Arial"/>
                <w:sz w:val="20"/>
                <w:szCs w:val="20"/>
                <w:color w:val="auto"/>
                <w:w w:val="92"/>
              </w:rPr>
              <w:t>ome</w:t>
            </w:r>
          </w:p>
        </w:tc>
        <w:tc>
          <w:tcPr>
            <w:tcW w:w="5160" w:type="dxa"/>
            <w:vAlign w:val="bottom"/>
            <w:shd w:val="clear" w:color="auto" w:fill="FEFEFE"/>
          </w:tcPr>
          <w:p>
            <w:pPr>
              <w:ind w:left="100"/>
              <w:spacing w:after="0"/>
              <w:rPr>
                <w:sz w:val="20"/>
                <w:szCs w:val="20"/>
                <w:color w:val="auto"/>
              </w:rPr>
            </w:pPr>
            <w:r>
              <w:rPr>
                <w:rFonts w:ascii="Arial" w:cs="Arial" w:eastAsia="Arial" w:hAnsi="Arial"/>
                <w:sz w:val="20"/>
                <w:szCs w:val="20"/>
                <w:color w:val="auto"/>
              </w:rPr>
              <w:t>oods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963</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43</w:t>
            </w:r>
          </w:p>
        </w:tc>
      </w:tr>
      <w:tr>
        <w:trPr>
          <w:trHeight w:val="296"/>
        </w:trPr>
        <w:tc>
          <w:tcPr>
            <w:tcW w:w="5960" w:type="dxa"/>
            <w:vAlign w:val="bottom"/>
            <w:tcBorders>
              <w:bottom w:val="single" w:sz="8" w:color="auto"/>
            </w:tcBorders>
            <w:gridSpan w:val="2"/>
            <w:shd w:val="clear" w:color="auto" w:fill="E4E4E4"/>
          </w:tcPr>
          <w:p>
            <w:pPr>
              <w:ind w:left="420"/>
              <w:spacing w:after="0"/>
              <w:rPr>
                <w:sz w:val="20"/>
                <w:szCs w:val="20"/>
                <w:color w:val="auto"/>
              </w:rPr>
            </w:pPr>
            <w:r>
              <w:rPr>
                <w:rFonts w:ascii="Arial" w:cs="Arial" w:eastAsia="Arial" w:hAnsi="Arial"/>
                <w:sz w:val="20"/>
                <w:szCs w:val="20"/>
                <w:color w:val="auto"/>
              </w:rPr>
              <w:t>omesense</w:t>
            </w:r>
          </w:p>
        </w:tc>
        <w:tc>
          <w:tcPr>
            <w:tcW w:w="198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79</w:t>
            </w:r>
          </w:p>
        </w:tc>
        <w:tc>
          <w:tcPr>
            <w:tcW w:w="50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72</w:t>
            </w:r>
          </w:p>
        </w:tc>
      </w:tr>
      <w:tr>
        <w:trPr>
          <w:trHeight w:val="280"/>
        </w:trPr>
        <w:tc>
          <w:tcPr>
            <w:tcW w:w="5960" w:type="dxa"/>
            <w:vAlign w:val="bottom"/>
            <w:tcBorders>
              <w:bottom w:val="single" w:sz="8" w:color="auto"/>
            </w:tcBorders>
            <w:gridSpan w:val="2"/>
            <w:shd w:val="clear" w:color="auto" w:fill="FEFEFE"/>
          </w:tcPr>
          <w:p>
            <w:pPr>
              <w:ind w:left="540"/>
              <w:spacing w:after="0"/>
              <w:rPr>
                <w:sz w:val="20"/>
                <w:szCs w:val="20"/>
                <w:color w:val="auto"/>
              </w:rPr>
            </w:pPr>
            <w:r>
              <w:rPr>
                <w:rFonts w:ascii="Arial" w:cs="Arial" w:eastAsia="Arial" w:hAnsi="Arial"/>
                <w:sz w:val="20"/>
                <w:szCs w:val="20"/>
                <w:color w:val="auto"/>
              </w:rPr>
              <w:t>Total</w:t>
            </w:r>
          </w:p>
        </w:tc>
        <w:tc>
          <w:tcPr>
            <w:tcW w:w="19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1,042</w:t>
            </w:r>
          </w:p>
        </w:tc>
        <w:tc>
          <w:tcPr>
            <w:tcW w:w="50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1,015</w:t>
            </w:r>
          </w:p>
        </w:tc>
      </w:tr>
      <w:tr>
        <w:trPr>
          <w:trHeight w:val="270"/>
        </w:trPr>
        <w:tc>
          <w:tcPr>
            <w:tcW w:w="8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w w:val="97"/>
              </w:rPr>
              <w:t>Selling s</w:t>
            </w:r>
          </w:p>
        </w:tc>
        <w:tc>
          <w:tcPr>
            <w:tcW w:w="51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uare footage at end of period (in millions):</w:t>
            </w:r>
          </w:p>
        </w:tc>
        <w:tc>
          <w:tcPr>
            <w:tcW w:w="198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spacing w:after="0"/>
              <w:rPr>
                <w:sz w:val="23"/>
                <w:szCs w:val="23"/>
                <w:color w:val="auto"/>
              </w:rPr>
            </w:pPr>
          </w:p>
        </w:tc>
        <w:tc>
          <w:tcPr>
            <w:tcW w:w="500" w:type="dxa"/>
            <w:vAlign w:val="bottom"/>
            <w:tcBorders>
              <w:bottom w:val="single" w:sz="8" w:color="E4E4E4"/>
            </w:tcBorders>
            <w:shd w:val="clear" w:color="auto" w:fill="E4E4E4"/>
          </w:tcPr>
          <w:p>
            <w:pPr>
              <w:spacing w:after="0"/>
              <w:rPr>
                <w:sz w:val="23"/>
                <w:szCs w:val="23"/>
                <w:color w:val="auto"/>
              </w:rPr>
            </w:pPr>
          </w:p>
        </w:tc>
        <w:tc>
          <w:tcPr>
            <w:tcW w:w="940" w:type="dxa"/>
            <w:vAlign w:val="bottom"/>
            <w:tcBorders>
              <w:bottom w:val="single" w:sz="8" w:color="E4E4E4"/>
            </w:tcBorders>
            <w:shd w:val="clear" w:color="auto" w:fill="E4E4E4"/>
          </w:tcPr>
          <w:p>
            <w:pPr>
              <w:spacing w:after="0"/>
              <w:rPr>
                <w:sz w:val="23"/>
                <w:szCs w:val="23"/>
                <w:color w:val="auto"/>
              </w:rPr>
            </w:pPr>
          </w:p>
        </w:tc>
      </w:tr>
      <w:tr>
        <w:trPr>
          <w:trHeight w:val="293"/>
        </w:trPr>
        <w:tc>
          <w:tcPr>
            <w:tcW w:w="800" w:type="dxa"/>
            <w:vAlign w:val="bottom"/>
            <w:shd w:val="clear" w:color="auto" w:fill="FEFEFE"/>
          </w:tcPr>
          <w:p>
            <w:pPr>
              <w:ind w:left="420"/>
              <w:spacing w:after="0"/>
              <w:rPr>
                <w:sz w:val="20"/>
                <w:szCs w:val="20"/>
                <w:color w:val="auto"/>
              </w:rPr>
            </w:pPr>
            <w:r>
              <w:rPr>
                <w:rFonts w:ascii="Arial" w:cs="Arial" w:eastAsia="Arial" w:hAnsi="Arial"/>
                <w:sz w:val="20"/>
                <w:szCs w:val="20"/>
                <w:color w:val="auto"/>
                <w:w w:val="92"/>
              </w:rPr>
              <w:t>ome</w:t>
            </w:r>
          </w:p>
        </w:tc>
        <w:tc>
          <w:tcPr>
            <w:tcW w:w="5160" w:type="dxa"/>
            <w:vAlign w:val="bottom"/>
            <w:shd w:val="clear" w:color="auto" w:fill="FEFEFE"/>
          </w:tcPr>
          <w:p>
            <w:pPr>
              <w:ind w:left="100"/>
              <w:spacing w:after="0"/>
              <w:rPr>
                <w:sz w:val="20"/>
                <w:szCs w:val="20"/>
                <w:color w:val="auto"/>
              </w:rPr>
            </w:pPr>
            <w:r>
              <w:rPr>
                <w:rFonts w:ascii="Arial" w:cs="Arial" w:eastAsia="Arial" w:hAnsi="Arial"/>
                <w:sz w:val="20"/>
                <w:szCs w:val="20"/>
                <w:color w:val="auto"/>
              </w:rPr>
              <w:t>oods</w:t>
            </w:r>
          </w:p>
        </w:tc>
        <w:tc>
          <w:tcPr>
            <w:tcW w:w="19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18</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17</w:t>
            </w:r>
          </w:p>
        </w:tc>
      </w:tr>
      <w:tr>
        <w:trPr>
          <w:trHeight w:val="297"/>
        </w:trPr>
        <w:tc>
          <w:tcPr>
            <w:tcW w:w="5960" w:type="dxa"/>
            <w:vAlign w:val="bottom"/>
            <w:tcBorders>
              <w:bottom w:val="single" w:sz="8" w:color="auto"/>
            </w:tcBorders>
            <w:gridSpan w:val="2"/>
            <w:shd w:val="clear" w:color="auto" w:fill="E4E4E4"/>
          </w:tcPr>
          <w:p>
            <w:pPr>
              <w:ind w:left="420"/>
              <w:spacing w:after="0"/>
              <w:rPr>
                <w:sz w:val="20"/>
                <w:szCs w:val="20"/>
                <w:color w:val="auto"/>
              </w:rPr>
            </w:pPr>
            <w:r>
              <w:rPr>
                <w:rFonts w:ascii="Arial" w:cs="Arial" w:eastAsia="Arial" w:hAnsi="Arial"/>
                <w:sz w:val="20"/>
                <w:szCs w:val="20"/>
                <w:color w:val="auto"/>
              </w:rPr>
              <w:t>omesense</w:t>
            </w:r>
          </w:p>
        </w:tc>
        <w:tc>
          <w:tcPr>
            <w:tcW w:w="198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2</w:t>
            </w:r>
          </w:p>
        </w:tc>
        <w:tc>
          <w:tcPr>
            <w:tcW w:w="50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w:t>
            </w:r>
          </w:p>
        </w:tc>
      </w:tr>
      <w:tr>
        <w:trPr>
          <w:trHeight w:val="280"/>
        </w:trPr>
        <w:tc>
          <w:tcPr>
            <w:tcW w:w="5960" w:type="dxa"/>
            <w:vAlign w:val="bottom"/>
            <w:tcBorders>
              <w:bottom w:val="single" w:sz="8" w:color="auto"/>
            </w:tcBorders>
            <w:gridSpan w:val="2"/>
            <w:shd w:val="clear" w:color="auto" w:fill="FEFEFE"/>
          </w:tcPr>
          <w:p>
            <w:pPr>
              <w:ind w:left="540"/>
              <w:spacing w:after="0"/>
              <w:rPr>
                <w:sz w:val="20"/>
                <w:szCs w:val="20"/>
                <w:color w:val="auto"/>
              </w:rPr>
            </w:pPr>
            <w:r>
              <w:rPr>
                <w:rFonts w:ascii="Arial" w:cs="Arial" w:eastAsia="Arial" w:hAnsi="Arial"/>
                <w:sz w:val="20"/>
                <w:szCs w:val="20"/>
                <w:color w:val="auto"/>
              </w:rPr>
              <w:t>Total</w:t>
            </w:r>
          </w:p>
        </w:tc>
        <w:tc>
          <w:tcPr>
            <w:tcW w:w="19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20</w:t>
            </w:r>
          </w:p>
        </w:tc>
        <w:tc>
          <w:tcPr>
            <w:tcW w:w="50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ind w:right="260"/>
              <w:spacing w:after="0"/>
              <w:rPr>
                <w:sz w:val="20"/>
                <w:szCs w:val="20"/>
                <w:color w:val="auto"/>
              </w:rPr>
            </w:pPr>
            <w:r>
              <w:rPr>
                <w:rFonts w:ascii="Arial" w:cs="Arial" w:eastAsia="Arial" w:hAnsi="Arial"/>
                <w:sz w:val="20"/>
                <w:szCs w:val="20"/>
                <w:color w:val="auto"/>
              </w:rPr>
              <w:t>1</w:t>
            </w:r>
          </w:p>
        </w:tc>
      </w:tr>
    </w:tbl>
    <w:p>
      <w:pPr>
        <w:spacing w:after="0" w:line="13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et  ales</w:t>
      </w:r>
    </w:p>
    <w:p>
      <w:pPr>
        <w:spacing w:after="0" w:line="141" w:lineRule="exact"/>
        <w:rPr>
          <w:sz w:val="20"/>
          <w:szCs w:val="20"/>
          <w:color w:val="auto"/>
        </w:rPr>
      </w:pPr>
    </w:p>
    <w:p>
      <w:pPr>
        <w:jc w:val="both"/>
        <w:ind w:right="260"/>
        <w:spacing w:after="0" w:line="283" w:lineRule="auto"/>
        <w:rPr>
          <w:sz w:val="20"/>
          <w:szCs w:val="20"/>
          <w:color w:val="auto"/>
        </w:rPr>
      </w:pPr>
      <w:r>
        <w:rPr>
          <w:rFonts w:ascii="Arial" w:cs="Arial" w:eastAsia="Arial" w:hAnsi="Arial"/>
          <w:sz w:val="20"/>
          <w:szCs w:val="20"/>
          <w:color w:val="auto"/>
        </w:rPr>
        <w:t xml:space="preserve">Net sales for ome oods were $10.2 billion for fiscal 2026, an increase of 8 , compared to $ .4 billion for fiscal 2025. </w:t>
      </w:r>
      <w:r>
        <w:rPr>
          <w:rFonts w:ascii="Arial" w:cs="Arial" w:eastAsia="Arial" w:hAnsi="Arial"/>
          <w:sz w:val="20"/>
          <w:szCs w:val="20"/>
          <w:color w:val="auto"/>
          <w:highlight w:val="white"/>
        </w:rPr>
        <w:t>The</w:t>
      </w:r>
      <w:r>
        <w:rPr>
          <w:rFonts w:ascii="Arial" w:cs="Arial" w:eastAsia="Arial" w:hAnsi="Arial"/>
          <w:sz w:val="20"/>
          <w:szCs w:val="20"/>
          <w:color w:val="auto"/>
        </w:rPr>
        <w:t xml:space="preserve"> </w:t>
      </w:r>
      <w:r>
        <w:rPr>
          <w:rFonts w:ascii="Arial" w:cs="Arial" w:eastAsia="Arial" w:hAnsi="Arial"/>
          <w:sz w:val="20"/>
          <w:szCs w:val="20"/>
          <w:color w:val="auto"/>
          <w:highlight w:val="white"/>
        </w:rPr>
        <w:t>increase</w:t>
      </w:r>
      <w:r>
        <w:rPr>
          <w:sz w:val="1"/>
          <w:szCs w:val="1"/>
          <w:color w:val="auto"/>
        </w:rPr>
        <w:drawing>
          <wp:inline distT="0" distB="0" distL="0" distR="0">
            <wp:extent cx="31750" cy="1155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 cy="115570"/>
                    </a:xfrm>
                    <a:prstGeom prst="rect">
                      <a:avLst/>
                    </a:prstGeom>
                    <a:noFill/>
                    <a:ln>
                      <a:noFill/>
                    </a:ln>
                  </pic:spPr>
                </pic:pic>
              </a:graphicData>
            </a:graphic>
          </wp:inline>
        </w:drawing>
      </w:r>
      <w:r>
        <w:rPr>
          <w:rFonts w:ascii="Arial" w:cs="Arial" w:eastAsia="Arial" w:hAnsi="Arial"/>
          <w:sz w:val="20"/>
          <w:szCs w:val="20"/>
          <w:color w:val="auto"/>
        </w:rPr>
        <w:t>in net sales reflects a 5 increase from comp sales and a 3 increase from non-comp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comp sales for fiscal 2026 was driven by a higher average basket and an increase in customer transactions.</w:t>
      </w:r>
    </w:p>
    <w:p>
      <w:pPr>
        <w:spacing w:after="0" w:line="33" w:lineRule="exact"/>
        <w:rPr>
          <w:sz w:val="20"/>
          <w:szCs w:val="20"/>
          <w:color w:val="auto"/>
        </w:rPr>
      </w:pPr>
    </w:p>
    <w:p>
      <w:pPr>
        <w:ind w:left="140"/>
        <w:spacing w:after="0"/>
        <w:tabs>
          <w:tab w:leader="none" w:pos="4680" w:val="left"/>
          <w:tab w:leader="none" w:pos="6020" w:val="left"/>
        </w:tabs>
        <w:rPr>
          <w:sz w:val="20"/>
          <w:szCs w:val="20"/>
          <w:color w:val="auto"/>
        </w:rPr>
      </w:pPr>
      <w:r>
        <w:rPr>
          <w:rFonts w:ascii="Arial" w:cs="Arial" w:eastAsia="Arial" w:hAnsi="Arial"/>
          <w:sz w:val="20"/>
          <w:szCs w:val="20"/>
          <w:color w:val="auto"/>
        </w:rPr>
        <w:t>eographically, comp sales growth was strongest in the</w:t>
        <w:tab/>
        <w:t>est, South and</w:t>
      </w:r>
      <w:r>
        <w:rPr>
          <w:sz w:val="20"/>
          <w:szCs w:val="20"/>
          <w:color w:val="auto"/>
        </w:rPr>
        <w:tab/>
      </w:r>
      <w:r>
        <w:rPr>
          <w:rFonts w:ascii="Arial" w:cs="Arial" w:eastAsia="Arial" w:hAnsi="Arial"/>
          <w:sz w:val="18"/>
          <w:szCs w:val="18"/>
          <w:color w:val="auto"/>
        </w:rPr>
        <w:t>idwest regions.</w:t>
      </w:r>
    </w:p>
    <w:p>
      <w:pPr>
        <w:spacing w:after="0" w:line="120" w:lineRule="exact"/>
        <w:rPr>
          <w:sz w:val="20"/>
          <w:szCs w:val="20"/>
          <w:color w:val="auto"/>
        </w:rPr>
      </w:pPr>
    </w:p>
    <w:p>
      <w:pPr>
        <w:ind w:left="100"/>
        <w:spacing w:after="0"/>
        <w:tabs>
          <w:tab w:leader="none" w:pos="900" w:val="left"/>
          <w:tab w:leader="none" w:pos="1520" w:val="left"/>
        </w:tabs>
        <w:rPr>
          <w:sz w:val="20"/>
          <w:szCs w:val="20"/>
          <w:color w:val="auto"/>
        </w:rPr>
      </w:pPr>
      <w:r>
        <w:rPr>
          <w:rFonts w:ascii="Arial" w:cs="Arial" w:eastAsia="Arial" w:hAnsi="Arial"/>
          <w:sz w:val="22"/>
          <w:szCs w:val="22"/>
          <w:i w:val="1"/>
          <w:iCs w:val="1"/>
          <w:color w:val="auto"/>
        </w:rPr>
        <w:t>eg  ent</w:t>
        <w:tab/>
        <w:t>r  it</w:t>
      </w:r>
      <w:r>
        <w:rPr>
          <w:sz w:val="20"/>
          <w:szCs w:val="20"/>
          <w:color w:val="auto"/>
        </w:rPr>
        <w:tab/>
      </w:r>
      <w:r>
        <w:rPr>
          <w:rFonts w:ascii="Arial" w:cs="Arial" w:eastAsia="Arial" w:hAnsi="Arial"/>
          <w:sz w:val="21"/>
          <w:szCs w:val="21"/>
          <w:i w:val="1"/>
          <w:iCs w:val="1"/>
          <w:color w:val="auto"/>
        </w:rPr>
        <w:t>argin</w:t>
      </w:r>
    </w:p>
    <w:p>
      <w:pPr>
        <w:spacing w:after="0" w:line="14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Segment profit margin increased to 12.2 for fiscal 2026 compared to a segment profit margin of 10. for fiscal 2025. The increase in segment profit margin for fiscal 2026 was driven by favorable merchandise margin, expense leverage on higher comp sales, lower supply chain and store costs and a net benefit from the credit card interchange fees litigation settlement and related expenses. erchandise margin reflects lower freight costs and lower markdowns.</w:t>
      </w:r>
    </w:p>
    <w:p>
      <w:pPr>
        <w:spacing w:after="0" w:line="64" w:lineRule="exact"/>
        <w:rPr>
          <w:sz w:val="20"/>
          <w:szCs w:val="20"/>
          <w:color w:val="auto"/>
        </w:rPr>
      </w:pPr>
    </w:p>
    <w:p>
      <w:pPr>
        <w:ind w:right="520"/>
        <w:spacing w:after="0" w:line="283" w:lineRule="auto"/>
        <w:rPr>
          <w:sz w:val="20"/>
          <w:szCs w:val="20"/>
          <w:color w:val="auto"/>
        </w:rPr>
      </w:pPr>
      <w:r>
        <w:rPr>
          <w:rFonts w:ascii="Arial" w:cs="Arial" w:eastAsia="Arial" w:hAnsi="Arial"/>
          <w:sz w:val="20"/>
          <w:szCs w:val="20"/>
          <w:color w:val="auto"/>
        </w:rPr>
        <w:t>In fiscal 2027, we expect to open 24 new ome oods stores and 11 new omesense stores, which would increase selling s uare footage by approximately 4 .</w:t>
      </w:r>
    </w:p>
    <w:p>
      <w:pPr>
        <w:sectPr>
          <w:pgSz w:w="12240" w:h="15841" w:orient="portrait"/>
          <w:cols w:equalWidth="0" w:num="1">
            <w:col w:w="10260"/>
          </w:cols>
          <w:pgMar w:left="1000" w:top="777"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34</w:t>
      </w:r>
    </w:p>
    <w:p>
      <w:pPr>
        <w:sectPr>
          <w:pgSz w:w="12240" w:h="15841" w:orient="portrait"/>
          <w:cols w:equalWidth="0" w:num="1">
            <w:col w:w="10260"/>
          </w:cols>
          <w:pgMar w:left="1000" w:top="777" w:right="981" w:bottom="0" w:gutter="0" w:footer="0" w:header="0"/>
          <w:type w:val="continuous"/>
        </w:sectPr>
      </w:pPr>
    </w:p>
    <w:bookmarkStart w:id="42" w:name="page43"/>
    <w:bookmarkEnd w:id="42"/>
    <w:p>
      <w:pPr>
        <w:spacing w:after="0"/>
        <w:tabs>
          <w:tab w:leader="none" w:pos="580" w:val="left"/>
          <w:tab w:leader="none" w:pos="18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FO</w:t>
        <w:tab/>
        <w:t>I  N S</w:t>
      </w:r>
      <w:r>
        <w:rPr>
          <w:sz w:val="20"/>
          <w:szCs w:val="20"/>
          <w:color w:val="auto"/>
        </w:rPr>
        <w:tab/>
      </w:r>
      <w:r>
        <w:rPr>
          <w:rFonts w:ascii="Arial" w:cs="Arial" w:eastAsia="Arial" w:hAnsi="Arial"/>
          <w:sz w:val="22"/>
          <w:szCs w:val="22"/>
          <w:color w:val="auto"/>
        </w:rPr>
        <w:t>N 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Canada</w:t>
      </w:r>
    </w:p>
    <w:p>
      <w:pPr>
        <w:sectPr>
          <w:pgSz w:w="12240" w:h="15841" w:orient="portrait"/>
          <w:cols w:equalWidth="0" w:num="1">
            <w:col w:w="10260"/>
          </w:cols>
          <w:pgMar w:left="1000" w:top="77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 dollars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January 31,</w:t>
      </w:r>
      <w:r>
        <w:rPr>
          <w:sz w:val="20"/>
          <w:szCs w:val="20"/>
          <w:color w:val="auto"/>
        </w:rPr>
        <w:tab/>
      </w:r>
      <w:r>
        <w:rPr>
          <w:rFonts w:ascii="Arial" w:cs="Arial" w:eastAsia="Arial" w:hAnsi="Arial"/>
          <w:sz w:val="18"/>
          <w:szCs w:val="18"/>
          <w:color w:val="auto"/>
        </w:rPr>
        <w:t>February 1,</w:t>
      </w:r>
    </w:p>
    <w:p>
      <w:pPr>
        <w:ind w:left="320"/>
        <w:spacing w:after="0"/>
        <w:tabs>
          <w:tab w:leader="none" w:pos="162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20"/>
          <w:szCs w:val="20"/>
          <w:color w:val="auto"/>
        </w:rPr>
        <w:t>2025</w:t>
      </w:r>
    </w:p>
    <w:p>
      <w:pPr>
        <w:spacing w:after="0" w:line="35" w:lineRule="exact"/>
        <w:rPr>
          <w:sz w:val="20"/>
          <w:szCs w:val="20"/>
          <w:color w:val="auto"/>
        </w:rPr>
      </w:pPr>
    </w:p>
    <w:p>
      <w:pPr>
        <w:sectPr>
          <w:pgSz w:w="12240" w:h="15841" w:orient="portrait"/>
          <w:cols w:equalWidth="0" w:num="2">
            <w:col w:w="7040" w:space="720"/>
            <w:col w:w="2500"/>
          </w:cols>
          <w:pgMar w:left="1000" w:top="778" w:right="981" w:bottom="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5960" w:type="dxa"/>
            <w:vAlign w:val="bottom"/>
            <w:tcBorders>
              <w:top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Net sales</w:t>
            </w:r>
          </w:p>
        </w:tc>
        <w:tc>
          <w:tcPr>
            <w:tcW w:w="2020" w:type="dxa"/>
            <w:vAlign w:val="bottom"/>
            <w:tcBorders>
              <w:top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5,629</w:t>
            </w:r>
          </w:p>
        </w:tc>
        <w:tc>
          <w:tcPr>
            <w:tcW w:w="500" w:type="dxa"/>
            <w:vAlign w:val="bottom"/>
            <w:tcBorders>
              <w:top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E4E4E4"/>
          </w:tcPr>
          <w:p>
            <w:pPr>
              <w:jc w:val="right"/>
              <w:ind w:right="260"/>
              <w:spacing w:after="0"/>
              <w:rPr>
                <w:sz w:val="20"/>
                <w:szCs w:val="20"/>
                <w:color w:val="auto"/>
              </w:rPr>
            </w:pPr>
            <w:r>
              <w:rPr>
                <w:rFonts w:ascii="Arial" w:cs="Arial" w:eastAsia="Arial" w:hAnsi="Arial"/>
                <w:sz w:val="20"/>
                <w:szCs w:val="20"/>
                <w:color w:val="auto"/>
              </w:rPr>
              <w:t>5,18</w:t>
            </w:r>
          </w:p>
        </w:tc>
      </w:tr>
      <w:tr>
        <w:trPr>
          <w:trHeight w:val="294"/>
        </w:trPr>
        <w:tc>
          <w:tcPr>
            <w:tcW w:w="5960" w:type="dxa"/>
            <w:vAlign w:val="bottom"/>
            <w:shd w:val="clear" w:color="auto" w:fill="FEFEFE"/>
          </w:tcPr>
          <w:p>
            <w:pPr>
              <w:ind w:left="40"/>
              <w:spacing w:after="0"/>
              <w:rPr>
                <w:sz w:val="20"/>
                <w:szCs w:val="20"/>
                <w:color w:val="auto"/>
              </w:rPr>
            </w:pPr>
            <w:r>
              <w:rPr>
                <w:rFonts w:ascii="Arial" w:cs="Arial" w:eastAsia="Arial" w:hAnsi="Arial"/>
                <w:sz w:val="20"/>
                <w:szCs w:val="20"/>
                <w:color w:val="auto"/>
              </w:rPr>
              <w:t>Segment profit</w:t>
            </w:r>
          </w:p>
        </w:tc>
        <w:tc>
          <w:tcPr>
            <w:tcW w:w="202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w:t>
            </w:r>
          </w:p>
        </w:tc>
        <w:tc>
          <w:tcPr>
            <w:tcW w:w="8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757</w:t>
            </w:r>
          </w:p>
        </w:tc>
        <w:tc>
          <w:tcPr>
            <w:tcW w:w="5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703</w:t>
            </w:r>
          </w:p>
        </w:tc>
      </w:tr>
      <w:tr>
        <w:trPr>
          <w:trHeight w:val="306"/>
        </w:trPr>
        <w:tc>
          <w:tcPr>
            <w:tcW w:w="5960" w:type="dxa"/>
            <w:vAlign w:val="bottom"/>
            <w:shd w:val="clear" w:color="auto" w:fill="E4E4E4"/>
          </w:tcPr>
          <w:p>
            <w:pPr>
              <w:ind w:left="40"/>
              <w:spacing w:after="0"/>
              <w:rPr>
                <w:sz w:val="20"/>
                <w:szCs w:val="20"/>
                <w:color w:val="auto"/>
              </w:rPr>
            </w:pPr>
            <w:r>
              <w:rPr>
                <w:rFonts w:ascii="Arial" w:cs="Arial" w:eastAsia="Arial" w:hAnsi="Arial"/>
                <w:sz w:val="20"/>
                <w:szCs w:val="20"/>
                <w:color w:val="auto"/>
              </w:rPr>
              <w:t>Segment profit margin</w:t>
            </w:r>
          </w:p>
        </w:tc>
        <w:tc>
          <w:tcPr>
            <w:tcW w:w="202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13.4</w:t>
            </w:r>
          </w:p>
        </w:tc>
        <w:tc>
          <w:tcPr>
            <w:tcW w:w="500" w:type="dxa"/>
            <w:vAlign w:val="bottom"/>
            <w:shd w:val="clear" w:color="auto" w:fill="E4E4E4"/>
          </w:tcPr>
          <w:p>
            <w:pPr>
              <w:spacing w:after="0"/>
              <w:rPr>
                <w:sz w:val="24"/>
                <w:szCs w:val="24"/>
                <w:color w:val="auto"/>
              </w:rPr>
            </w:pPr>
          </w:p>
        </w:tc>
        <w:tc>
          <w:tcPr>
            <w:tcW w:w="9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13.5</w:t>
            </w:r>
          </w:p>
        </w:tc>
      </w:tr>
      <w:tr>
        <w:trPr>
          <w:trHeight w:val="294"/>
        </w:trPr>
        <w:tc>
          <w:tcPr>
            <w:tcW w:w="5960" w:type="dxa"/>
            <w:vAlign w:val="bottom"/>
            <w:shd w:val="clear" w:color="auto" w:fill="FEFEFE"/>
          </w:tcPr>
          <w:p>
            <w:pPr>
              <w:ind w:left="40"/>
              <w:spacing w:after="0"/>
              <w:rPr>
                <w:sz w:val="20"/>
                <w:szCs w:val="20"/>
                <w:color w:val="auto"/>
              </w:rPr>
            </w:pPr>
            <w:r>
              <w:rPr>
                <w:rFonts w:ascii="Arial" w:cs="Arial" w:eastAsia="Arial" w:hAnsi="Arial"/>
                <w:sz w:val="20"/>
                <w:szCs w:val="20"/>
                <w:color w:val="auto"/>
              </w:rPr>
              <w:t>Comp sales</w:t>
            </w:r>
          </w:p>
        </w:tc>
        <w:tc>
          <w:tcPr>
            <w:tcW w:w="202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7</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5</w:t>
            </w:r>
          </w:p>
        </w:tc>
      </w:tr>
      <w:tr>
        <w:trPr>
          <w:trHeight w:val="286"/>
        </w:trPr>
        <w:tc>
          <w:tcPr>
            <w:tcW w:w="59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Stores in operation at end of period:</w:t>
            </w:r>
          </w:p>
        </w:tc>
        <w:tc>
          <w:tcPr>
            <w:tcW w:w="20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spacing w:after="0"/>
              <w:rPr>
                <w:sz w:val="24"/>
                <w:szCs w:val="24"/>
                <w:color w:val="auto"/>
              </w:rPr>
            </w:pPr>
          </w:p>
        </w:tc>
        <w:tc>
          <w:tcPr>
            <w:tcW w:w="940" w:type="dxa"/>
            <w:vAlign w:val="bottom"/>
            <w:tcBorders>
              <w:bottom w:val="single" w:sz="8" w:color="E4E4E4"/>
            </w:tcBorders>
            <w:shd w:val="clear" w:color="auto" w:fill="E4E4E4"/>
          </w:tcPr>
          <w:p>
            <w:pPr>
              <w:spacing w:after="0"/>
              <w:rPr>
                <w:sz w:val="24"/>
                <w:szCs w:val="24"/>
                <w:color w:val="auto"/>
              </w:rPr>
            </w:pPr>
          </w:p>
        </w:tc>
      </w:tr>
      <w:tr>
        <w:trPr>
          <w:trHeight w:val="294"/>
        </w:trPr>
        <w:tc>
          <w:tcPr>
            <w:tcW w:w="5960" w:type="dxa"/>
            <w:vAlign w:val="bottom"/>
            <w:shd w:val="clear" w:color="auto" w:fill="FEFEFE"/>
          </w:tcPr>
          <w:p>
            <w:pPr>
              <w:ind w:left="460"/>
              <w:spacing w:after="0"/>
              <w:rPr>
                <w:sz w:val="20"/>
                <w:szCs w:val="20"/>
                <w:color w:val="auto"/>
              </w:rPr>
            </w:pPr>
            <w:r>
              <w:rPr>
                <w:rFonts w:ascii="Arial" w:cs="Arial" w:eastAsia="Arial" w:hAnsi="Arial"/>
                <w:sz w:val="20"/>
                <w:szCs w:val="20"/>
                <w:color w:val="auto"/>
              </w:rPr>
              <w:t>inners</w:t>
            </w:r>
          </w:p>
        </w:tc>
        <w:tc>
          <w:tcPr>
            <w:tcW w:w="202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316</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307</w:t>
            </w:r>
          </w:p>
        </w:tc>
      </w:tr>
      <w:tr>
        <w:trPr>
          <w:trHeight w:val="306"/>
        </w:trPr>
        <w:tc>
          <w:tcPr>
            <w:tcW w:w="5960" w:type="dxa"/>
            <w:vAlign w:val="bottom"/>
            <w:shd w:val="clear" w:color="auto" w:fill="E4E4E4"/>
          </w:tcPr>
          <w:p>
            <w:pPr>
              <w:ind w:left="420"/>
              <w:spacing w:after="0"/>
              <w:rPr>
                <w:sz w:val="20"/>
                <w:szCs w:val="20"/>
                <w:color w:val="auto"/>
              </w:rPr>
            </w:pPr>
            <w:r>
              <w:rPr>
                <w:rFonts w:ascii="Arial" w:cs="Arial" w:eastAsia="Arial" w:hAnsi="Arial"/>
                <w:sz w:val="20"/>
                <w:szCs w:val="20"/>
                <w:color w:val="auto"/>
              </w:rPr>
              <w:t>omeSense</w:t>
            </w:r>
          </w:p>
        </w:tc>
        <w:tc>
          <w:tcPr>
            <w:tcW w:w="202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162</w:t>
            </w:r>
          </w:p>
        </w:tc>
        <w:tc>
          <w:tcPr>
            <w:tcW w:w="500" w:type="dxa"/>
            <w:vAlign w:val="bottom"/>
            <w:shd w:val="clear" w:color="auto" w:fill="E4E4E4"/>
          </w:tcPr>
          <w:p>
            <w:pPr>
              <w:spacing w:after="0"/>
              <w:rPr>
                <w:sz w:val="24"/>
                <w:szCs w:val="24"/>
                <w:color w:val="auto"/>
              </w:rPr>
            </w:pPr>
          </w:p>
        </w:tc>
        <w:tc>
          <w:tcPr>
            <w:tcW w:w="9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160</w:t>
            </w:r>
          </w:p>
        </w:tc>
      </w:tr>
      <w:tr>
        <w:trPr>
          <w:trHeight w:val="290"/>
        </w:trPr>
        <w:tc>
          <w:tcPr>
            <w:tcW w:w="5960" w:type="dxa"/>
            <w:vAlign w:val="bottom"/>
            <w:tcBorders>
              <w:bottom w:val="single" w:sz="8" w:color="auto"/>
            </w:tcBorders>
            <w:shd w:val="clear" w:color="auto" w:fill="FEFEFE"/>
          </w:tcPr>
          <w:p>
            <w:pPr>
              <w:ind w:left="440"/>
              <w:spacing w:after="0"/>
              <w:rPr>
                <w:sz w:val="20"/>
                <w:szCs w:val="20"/>
                <w:color w:val="auto"/>
              </w:rPr>
            </w:pPr>
            <w:r>
              <w:rPr>
                <w:rFonts w:ascii="Arial" w:cs="Arial" w:eastAsia="Arial" w:hAnsi="Arial"/>
                <w:sz w:val="20"/>
                <w:szCs w:val="20"/>
                <w:color w:val="auto"/>
              </w:rPr>
              <w:t>arshalls</w:t>
            </w:r>
          </w:p>
        </w:tc>
        <w:tc>
          <w:tcPr>
            <w:tcW w:w="202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111</w:t>
            </w:r>
          </w:p>
        </w:tc>
        <w:tc>
          <w:tcPr>
            <w:tcW w:w="50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ind w:right="260"/>
              <w:spacing w:after="0"/>
              <w:rPr>
                <w:sz w:val="20"/>
                <w:szCs w:val="20"/>
                <w:color w:val="auto"/>
              </w:rPr>
            </w:pPr>
            <w:r>
              <w:rPr>
                <w:rFonts w:ascii="Arial" w:cs="Arial" w:eastAsia="Arial" w:hAnsi="Arial"/>
                <w:sz w:val="20"/>
                <w:szCs w:val="20"/>
                <w:color w:val="auto"/>
              </w:rPr>
              <w:t>10</w:t>
            </w:r>
          </w:p>
        </w:tc>
      </w:tr>
      <w:tr>
        <w:trPr>
          <w:trHeight w:val="280"/>
        </w:trPr>
        <w:tc>
          <w:tcPr>
            <w:tcW w:w="5960" w:type="dxa"/>
            <w:vAlign w:val="bottom"/>
            <w:tcBorders>
              <w:bottom w:val="single" w:sz="8" w:color="auto"/>
            </w:tcBorders>
            <w:shd w:val="clear" w:color="auto" w:fill="E4E4E4"/>
          </w:tcPr>
          <w:p>
            <w:pPr>
              <w:ind w:left="540"/>
              <w:spacing w:after="0"/>
              <w:rPr>
                <w:sz w:val="20"/>
                <w:szCs w:val="20"/>
                <w:color w:val="auto"/>
              </w:rPr>
            </w:pPr>
            <w:r>
              <w:rPr>
                <w:rFonts w:ascii="Arial" w:cs="Arial" w:eastAsia="Arial" w:hAnsi="Arial"/>
                <w:sz w:val="20"/>
                <w:szCs w:val="20"/>
                <w:color w:val="auto"/>
              </w:rPr>
              <w:t>Total</w:t>
            </w:r>
          </w:p>
        </w:tc>
        <w:tc>
          <w:tcPr>
            <w:tcW w:w="2020" w:type="dxa"/>
            <w:vAlign w:val="bottom"/>
            <w:tcBorders>
              <w:bottom w:val="single" w:sz="8" w:color="auto"/>
            </w:tcBorders>
            <w:shd w:val="clear" w:color="auto" w:fill="E4E4E4"/>
          </w:tcPr>
          <w:p>
            <w:pPr>
              <w:spacing w:after="0"/>
              <w:rPr>
                <w:sz w:val="24"/>
                <w:szCs w:val="24"/>
                <w:color w:val="auto"/>
              </w:rPr>
            </w:pPr>
          </w:p>
        </w:tc>
        <w:tc>
          <w:tcPr>
            <w:tcW w:w="84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589</w:t>
            </w:r>
          </w:p>
        </w:tc>
        <w:tc>
          <w:tcPr>
            <w:tcW w:w="50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576</w:t>
            </w:r>
          </w:p>
        </w:tc>
      </w:tr>
      <w:tr>
        <w:trPr>
          <w:trHeight w:val="270"/>
        </w:trPr>
        <w:tc>
          <w:tcPr>
            <w:tcW w:w="59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Selling s uare footage at end of period (in millions):</w:t>
            </w:r>
          </w:p>
        </w:tc>
        <w:tc>
          <w:tcPr>
            <w:tcW w:w="2020" w:type="dxa"/>
            <w:vAlign w:val="bottom"/>
            <w:tcBorders>
              <w:bottom w:val="single" w:sz="8" w:color="FEFEFE"/>
            </w:tcBorders>
            <w:shd w:val="clear" w:color="auto" w:fill="FEFEFE"/>
          </w:tcPr>
          <w:p>
            <w:pPr>
              <w:spacing w:after="0"/>
              <w:rPr>
                <w:sz w:val="23"/>
                <w:szCs w:val="23"/>
                <w:color w:val="auto"/>
              </w:rPr>
            </w:pPr>
          </w:p>
        </w:tc>
        <w:tc>
          <w:tcPr>
            <w:tcW w:w="840" w:type="dxa"/>
            <w:vAlign w:val="bottom"/>
            <w:tcBorders>
              <w:bottom w:val="single" w:sz="8" w:color="FEFEFE"/>
            </w:tcBorders>
            <w:shd w:val="clear" w:color="auto" w:fill="FEFEFE"/>
          </w:tcPr>
          <w:p>
            <w:pPr>
              <w:spacing w:after="0"/>
              <w:rPr>
                <w:sz w:val="23"/>
                <w:szCs w:val="23"/>
                <w:color w:val="auto"/>
              </w:rPr>
            </w:pPr>
          </w:p>
        </w:tc>
        <w:tc>
          <w:tcPr>
            <w:tcW w:w="500" w:type="dxa"/>
            <w:vAlign w:val="bottom"/>
            <w:tcBorders>
              <w:bottom w:val="single" w:sz="8" w:color="FEFEFE"/>
            </w:tcBorders>
            <w:shd w:val="clear" w:color="auto" w:fill="FEFEFE"/>
          </w:tcPr>
          <w:p>
            <w:pPr>
              <w:spacing w:after="0"/>
              <w:rPr>
                <w:sz w:val="23"/>
                <w:szCs w:val="23"/>
                <w:color w:val="auto"/>
              </w:rPr>
            </w:pPr>
          </w:p>
        </w:tc>
        <w:tc>
          <w:tcPr>
            <w:tcW w:w="940" w:type="dxa"/>
            <w:vAlign w:val="bottom"/>
            <w:tcBorders>
              <w:bottom w:val="single" w:sz="8" w:color="FEFEFE"/>
            </w:tcBorders>
            <w:shd w:val="clear" w:color="auto" w:fill="FEFEFE"/>
          </w:tcPr>
          <w:p>
            <w:pPr>
              <w:spacing w:after="0"/>
              <w:rPr>
                <w:sz w:val="23"/>
                <w:szCs w:val="23"/>
                <w:color w:val="auto"/>
              </w:rPr>
            </w:pPr>
          </w:p>
        </w:tc>
      </w:tr>
      <w:tr>
        <w:trPr>
          <w:trHeight w:val="300"/>
        </w:trPr>
        <w:tc>
          <w:tcPr>
            <w:tcW w:w="5960" w:type="dxa"/>
            <w:vAlign w:val="bottom"/>
            <w:shd w:val="clear" w:color="auto" w:fill="E4E4E4"/>
          </w:tcPr>
          <w:p>
            <w:pPr>
              <w:ind w:left="460"/>
              <w:spacing w:after="0"/>
              <w:rPr>
                <w:sz w:val="20"/>
                <w:szCs w:val="20"/>
                <w:color w:val="auto"/>
              </w:rPr>
            </w:pPr>
            <w:r>
              <w:rPr>
                <w:rFonts w:ascii="Arial" w:cs="Arial" w:eastAsia="Arial" w:hAnsi="Arial"/>
                <w:sz w:val="20"/>
                <w:szCs w:val="20"/>
                <w:color w:val="auto"/>
              </w:rPr>
              <w:t>inners</w:t>
            </w:r>
          </w:p>
        </w:tc>
        <w:tc>
          <w:tcPr>
            <w:tcW w:w="202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7</w:t>
            </w:r>
          </w:p>
        </w:tc>
        <w:tc>
          <w:tcPr>
            <w:tcW w:w="500" w:type="dxa"/>
            <w:vAlign w:val="bottom"/>
            <w:shd w:val="clear" w:color="auto" w:fill="E4E4E4"/>
          </w:tcPr>
          <w:p>
            <w:pPr>
              <w:spacing w:after="0"/>
              <w:rPr>
                <w:sz w:val="24"/>
                <w:szCs w:val="24"/>
                <w:color w:val="auto"/>
              </w:rPr>
            </w:pPr>
          </w:p>
        </w:tc>
        <w:tc>
          <w:tcPr>
            <w:tcW w:w="9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7</w:t>
            </w:r>
          </w:p>
        </w:tc>
      </w:tr>
      <w:tr>
        <w:trPr>
          <w:trHeight w:val="293"/>
        </w:trPr>
        <w:tc>
          <w:tcPr>
            <w:tcW w:w="5960" w:type="dxa"/>
            <w:vAlign w:val="bottom"/>
            <w:shd w:val="clear" w:color="auto" w:fill="FEFEFE"/>
          </w:tcPr>
          <w:p>
            <w:pPr>
              <w:ind w:left="420"/>
              <w:spacing w:after="0"/>
              <w:rPr>
                <w:sz w:val="20"/>
                <w:szCs w:val="20"/>
                <w:color w:val="auto"/>
              </w:rPr>
            </w:pPr>
            <w:r>
              <w:rPr>
                <w:rFonts w:ascii="Arial" w:cs="Arial" w:eastAsia="Arial" w:hAnsi="Arial"/>
                <w:sz w:val="20"/>
                <w:szCs w:val="20"/>
                <w:color w:val="auto"/>
              </w:rPr>
              <w:t>omeSense</w:t>
            </w:r>
          </w:p>
        </w:tc>
        <w:tc>
          <w:tcPr>
            <w:tcW w:w="202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3</w:t>
            </w:r>
          </w:p>
        </w:tc>
        <w:tc>
          <w:tcPr>
            <w:tcW w:w="500" w:type="dxa"/>
            <w:vAlign w:val="bottom"/>
            <w:shd w:val="clear" w:color="auto" w:fill="FEFEFE"/>
          </w:tcPr>
          <w:p>
            <w:pPr>
              <w:spacing w:after="0"/>
              <w:rPr>
                <w:sz w:val="24"/>
                <w:szCs w:val="24"/>
                <w:color w:val="auto"/>
              </w:rPr>
            </w:pPr>
          </w:p>
        </w:tc>
        <w:tc>
          <w:tcPr>
            <w:tcW w:w="9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3</w:t>
            </w:r>
          </w:p>
        </w:tc>
      </w:tr>
      <w:tr>
        <w:trPr>
          <w:trHeight w:val="297"/>
        </w:trPr>
        <w:tc>
          <w:tcPr>
            <w:tcW w:w="5960" w:type="dxa"/>
            <w:vAlign w:val="bottom"/>
            <w:tcBorders>
              <w:bottom w:val="single" w:sz="8" w:color="auto"/>
            </w:tcBorders>
            <w:shd w:val="clear" w:color="auto" w:fill="E4E4E4"/>
          </w:tcPr>
          <w:p>
            <w:pPr>
              <w:ind w:left="440"/>
              <w:spacing w:after="0"/>
              <w:rPr>
                <w:sz w:val="20"/>
                <w:szCs w:val="20"/>
                <w:color w:val="auto"/>
              </w:rPr>
            </w:pPr>
            <w:r>
              <w:rPr>
                <w:rFonts w:ascii="Arial" w:cs="Arial" w:eastAsia="Arial" w:hAnsi="Arial"/>
                <w:sz w:val="20"/>
                <w:szCs w:val="20"/>
                <w:color w:val="auto"/>
              </w:rPr>
              <w:t>arshalls</w:t>
            </w:r>
          </w:p>
        </w:tc>
        <w:tc>
          <w:tcPr>
            <w:tcW w:w="2020" w:type="dxa"/>
            <w:vAlign w:val="bottom"/>
            <w:tcBorders>
              <w:bottom w:val="single" w:sz="8" w:color="auto"/>
            </w:tcBorders>
            <w:shd w:val="clear" w:color="auto" w:fill="E4E4E4"/>
          </w:tcPr>
          <w:p>
            <w:pPr>
              <w:spacing w:after="0"/>
              <w:rPr>
                <w:sz w:val="24"/>
                <w:szCs w:val="24"/>
                <w:color w:val="auto"/>
              </w:rPr>
            </w:pPr>
          </w:p>
        </w:tc>
        <w:tc>
          <w:tcPr>
            <w:tcW w:w="84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2</w:t>
            </w:r>
          </w:p>
        </w:tc>
        <w:tc>
          <w:tcPr>
            <w:tcW w:w="50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w:t>
            </w:r>
          </w:p>
        </w:tc>
      </w:tr>
      <w:tr>
        <w:trPr>
          <w:trHeight w:val="280"/>
        </w:trPr>
        <w:tc>
          <w:tcPr>
            <w:tcW w:w="5960" w:type="dxa"/>
            <w:vAlign w:val="bottom"/>
            <w:tcBorders>
              <w:bottom w:val="single" w:sz="8" w:color="auto"/>
            </w:tcBorders>
            <w:shd w:val="clear" w:color="auto" w:fill="FEFEFE"/>
          </w:tcPr>
          <w:p>
            <w:pPr>
              <w:ind w:left="540"/>
              <w:spacing w:after="0"/>
              <w:rPr>
                <w:sz w:val="20"/>
                <w:szCs w:val="20"/>
                <w:color w:val="auto"/>
              </w:rPr>
            </w:pPr>
            <w:r>
              <w:rPr>
                <w:rFonts w:ascii="Arial" w:cs="Arial" w:eastAsia="Arial" w:hAnsi="Arial"/>
                <w:sz w:val="20"/>
                <w:szCs w:val="20"/>
                <w:color w:val="auto"/>
              </w:rPr>
              <w:t>Total</w:t>
            </w:r>
          </w:p>
        </w:tc>
        <w:tc>
          <w:tcPr>
            <w:tcW w:w="202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80"/>
              <w:spacing w:after="0"/>
              <w:rPr>
                <w:sz w:val="20"/>
                <w:szCs w:val="20"/>
                <w:color w:val="auto"/>
              </w:rPr>
            </w:pPr>
            <w:r>
              <w:rPr>
                <w:rFonts w:ascii="Arial" w:cs="Arial" w:eastAsia="Arial" w:hAnsi="Arial"/>
                <w:sz w:val="20"/>
                <w:szCs w:val="20"/>
                <w:color w:val="auto"/>
              </w:rPr>
              <w:t>12</w:t>
            </w:r>
          </w:p>
        </w:tc>
        <w:tc>
          <w:tcPr>
            <w:tcW w:w="50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12</w:t>
            </w:r>
          </w:p>
        </w:tc>
      </w:tr>
    </w:tbl>
    <w:p>
      <w:pPr>
        <w:spacing w:after="0" w:line="13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et  ales</w:t>
      </w:r>
    </w:p>
    <w:p>
      <w:pPr>
        <w:spacing w:after="0" w:line="141" w:lineRule="exact"/>
        <w:rPr>
          <w:sz w:val="20"/>
          <w:szCs w:val="20"/>
          <w:color w:val="auto"/>
        </w:rPr>
      </w:pPr>
    </w:p>
    <w:p>
      <w:pPr>
        <w:jc w:val="both"/>
        <w:ind w:right="300"/>
        <w:spacing w:after="0" w:line="261" w:lineRule="auto"/>
        <w:rPr>
          <w:sz w:val="20"/>
          <w:szCs w:val="20"/>
          <w:color w:val="auto"/>
        </w:rPr>
      </w:pPr>
      <w:r>
        <w:rPr>
          <w:rFonts w:ascii="Arial" w:cs="Arial" w:eastAsia="Arial" w:hAnsi="Arial"/>
          <w:sz w:val="20"/>
          <w:szCs w:val="20"/>
          <w:color w:val="auto"/>
        </w:rPr>
        <w:t>Net sales for TJX Canada were $5.6 billion for fiscal 2026, an increase of 8 compared to $5.2 billion for fiscal 2025. The increase in net sales reflects a 7 increase in comp sales and a 2 increase in non-comp sales, partially offset by a negative foreign currency exchange rate impact of 1 . The increase in comp sales was driven by an increase in customer transactions and a higher average basket.</w:t>
      </w:r>
    </w:p>
    <w:p>
      <w:pPr>
        <w:spacing w:after="0" w:line="70" w:lineRule="exact"/>
        <w:rPr>
          <w:sz w:val="20"/>
          <w:szCs w:val="20"/>
          <w:color w:val="auto"/>
        </w:rPr>
      </w:pPr>
    </w:p>
    <w:p>
      <w:pPr>
        <w:ind w:left="100"/>
        <w:spacing w:after="0"/>
        <w:tabs>
          <w:tab w:leader="none" w:pos="900" w:val="left"/>
          <w:tab w:leader="none" w:pos="1520" w:val="left"/>
        </w:tabs>
        <w:rPr>
          <w:sz w:val="20"/>
          <w:szCs w:val="20"/>
          <w:color w:val="auto"/>
        </w:rPr>
      </w:pPr>
      <w:r>
        <w:rPr>
          <w:rFonts w:ascii="Arial" w:cs="Arial" w:eastAsia="Arial" w:hAnsi="Arial"/>
          <w:sz w:val="22"/>
          <w:szCs w:val="22"/>
          <w:i w:val="1"/>
          <w:iCs w:val="1"/>
          <w:color w:val="auto"/>
        </w:rPr>
        <w:t>eg  ent</w:t>
        <w:tab/>
        <w:t>r  it</w:t>
      </w:r>
      <w:r>
        <w:rPr>
          <w:sz w:val="20"/>
          <w:szCs w:val="20"/>
          <w:color w:val="auto"/>
        </w:rPr>
        <w:tab/>
      </w:r>
      <w:r>
        <w:rPr>
          <w:rFonts w:ascii="Arial" w:cs="Arial" w:eastAsia="Arial" w:hAnsi="Arial"/>
          <w:sz w:val="21"/>
          <w:szCs w:val="21"/>
          <w:i w:val="1"/>
          <w:iCs w:val="1"/>
          <w:color w:val="auto"/>
        </w:rPr>
        <w:t>argin</w:t>
      </w:r>
    </w:p>
    <w:p>
      <w:pPr>
        <w:spacing w:after="0" w:line="141"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Segment profit margin decreased to 13.4 for fiscal 2026 compared to a segment profit margin of 13.5 for fiscal 2025. The decrease for fiscal 2026 was primarily driven by expenses related to the credit card interchange fees litigation settlement and lower merchandise margin. These costs were mostly offset by expense leverage on higher comp sales. erchandise margin reflects higher markon, which was more than offset by the negative impact of transactional foreign exchange on the cost of merchandise.</w:t>
      </w:r>
    </w:p>
    <w:p>
      <w:pPr>
        <w:spacing w:after="0" w:line="84"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In fiscal 2027, we expect to open 13 new stores in Canada, which would increase selling s uare footage by approximately 3</w:t>
      </w:r>
      <w:r>
        <w:rPr>
          <w:sz w:val="20"/>
          <w:szCs w:val="20"/>
          <w:color w:val="auto"/>
        </w:rPr>
        <w:tab/>
      </w:r>
      <w:r>
        <w:rPr>
          <w:rFonts w:ascii="Arial" w:cs="Arial" w:eastAsia="Arial" w:hAnsi="Arial"/>
          <w:sz w:val="14"/>
          <w:szCs w:val="14"/>
          <w:color w:val="auto"/>
        </w:rPr>
        <w:t>.</w:t>
      </w:r>
    </w:p>
    <w:p>
      <w:pPr>
        <w:sectPr>
          <w:pgSz w:w="12240" w:h="15841" w:orient="portrait"/>
          <w:cols w:equalWidth="0" w:num="1">
            <w:col w:w="10260"/>
          </w:cols>
          <w:pgMar w:left="1000" w:top="778"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ectPr>
          <w:pgSz w:w="12240" w:h="15841" w:orient="portrait"/>
          <w:cols w:equalWidth="0" w:num="1">
            <w:col w:w="10260"/>
          </w:cols>
          <w:pgMar w:left="1000" w:top="778" w:right="981" w:bottom="0" w:gutter="0" w:footer="0" w:header="0"/>
          <w:type w:val="continuous"/>
        </w:sectPr>
      </w:pPr>
    </w:p>
    <w:bookmarkStart w:id="43" w:name="page44"/>
    <w:bookmarkEnd w:id="43"/>
    <w:p>
      <w:pPr>
        <w:ind w:left="520"/>
        <w:spacing w:after="0"/>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nternational</w:t>
      </w:r>
    </w:p>
    <w:p>
      <w:pPr>
        <w:sectPr>
          <w:pgSz w:w="12240" w:h="15841" w:orient="portrait"/>
          <w:cols w:equalWidth="0" w:num="1">
            <w:col w:w="10260"/>
          </w:cols>
          <w:pgMar w:left="100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 dollars in millions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January 31,</w:t>
      </w:r>
      <w:r>
        <w:rPr>
          <w:sz w:val="20"/>
          <w:szCs w:val="20"/>
          <w:color w:val="auto"/>
        </w:rPr>
        <w:tab/>
      </w:r>
      <w:r>
        <w:rPr>
          <w:rFonts w:ascii="Arial" w:cs="Arial" w:eastAsia="Arial" w:hAnsi="Arial"/>
          <w:sz w:val="18"/>
          <w:szCs w:val="18"/>
          <w:color w:val="auto"/>
        </w:rPr>
        <w:t>February 1,</w:t>
      </w:r>
    </w:p>
    <w:p>
      <w:pPr>
        <w:ind w:left="320"/>
        <w:spacing w:after="0"/>
        <w:tabs>
          <w:tab w:leader="none" w:pos="1620" w:val="left"/>
        </w:tabs>
        <w:rPr>
          <w:sz w:val="20"/>
          <w:szCs w:val="20"/>
          <w:color w:val="auto"/>
        </w:rPr>
      </w:pPr>
      <w:r>
        <w:rPr>
          <w:rFonts w:ascii="Arial" w:cs="Arial" w:eastAsia="Arial" w:hAnsi="Arial"/>
          <w:sz w:val="20"/>
          <w:szCs w:val="20"/>
          <w:color w:val="auto"/>
        </w:rPr>
        <w:t>2026</w:t>
      </w:r>
      <w:r>
        <w:rPr>
          <w:sz w:val="20"/>
          <w:szCs w:val="20"/>
          <w:color w:val="auto"/>
        </w:rPr>
        <w:tab/>
      </w:r>
      <w:r>
        <w:rPr>
          <w:rFonts w:ascii="Arial" w:cs="Arial" w:eastAsia="Arial" w:hAnsi="Arial"/>
          <w:sz w:val="20"/>
          <w:szCs w:val="20"/>
          <w:color w:val="auto"/>
        </w:rPr>
        <w:t>2025</w:t>
      </w:r>
    </w:p>
    <w:p>
      <w:pPr>
        <w:spacing w:after="0" w:line="35" w:lineRule="exact"/>
        <w:rPr>
          <w:sz w:val="20"/>
          <w:szCs w:val="20"/>
          <w:color w:val="auto"/>
        </w:rPr>
      </w:pPr>
    </w:p>
    <w:p>
      <w:pPr>
        <w:sectPr>
          <w:pgSz w:w="12240" w:h="15841" w:orient="portrait"/>
          <w:cols w:equalWidth="0" w:num="2">
            <w:col w:w="7040" w:space="720"/>
            <w:col w:w="2500"/>
          </w:cols>
          <w:pgMar w:left="1000" w:top="777" w:right="981" w:bottom="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6580" w:type="dxa"/>
            <w:vAlign w:val="bottom"/>
            <w:tcBorders>
              <w:top w:val="single" w:sz="8" w:color="auto"/>
            </w:tcBorders>
            <w:gridSpan w:val="3"/>
            <w:shd w:val="clear" w:color="auto" w:fill="E4E4E4"/>
          </w:tcPr>
          <w:p>
            <w:pPr>
              <w:ind w:left="40"/>
              <w:spacing w:after="0"/>
              <w:rPr>
                <w:sz w:val="20"/>
                <w:szCs w:val="20"/>
                <w:color w:val="auto"/>
              </w:rPr>
            </w:pPr>
            <w:r>
              <w:rPr>
                <w:rFonts w:ascii="Arial" w:cs="Arial" w:eastAsia="Arial" w:hAnsi="Arial"/>
                <w:sz w:val="20"/>
                <w:szCs w:val="20"/>
                <w:color w:val="auto"/>
              </w:rPr>
              <w:t>Net sales</w:t>
            </w:r>
          </w:p>
        </w:tc>
        <w:tc>
          <w:tcPr>
            <w:tcW w:w="1480" w:type="dxa"/>
            <w:vAlign w:val="bottom"/>
            <w:tcBorders>
              <w:top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7,986</w:t>
            </w:r>
          </w:p>
        </w:tc>
        <w:tc>
          <w:tcPr>
            <w:tcW w:w="620" w:type="dxa"/>
            <w:vAlign w:val="bottom"/>
            <w:tcBorders>
              <w:top w:val="single" w:sz="8" w:color="auto"/>
            </w:tcBorders>
            <w:shd w:val="clear" w:color="auto" w:fill="E4E4E4"/>
          </w:tcPr>
          <w:p>
            <w:pPr>
              <w:jc w:val="center"/>
              <w:ind w:right="220"/>
              <w:spacing w:after="0"/>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w w:val="95"/>
              </w:rPr>
              <w:t>7,181</w:t>
            </w:r>
          </w:p>
        </w:tc>
      </w:tr>
      <w:tr>
        <w:trPr>
          <w:trHeight w:val="293"/>
        </w:trPr>
        <w:tc>
          <w:tcPr>
            <w:tcW w:w="658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Segment profit</w:t>
            </w:r>
          </w:p>
        </w:tc>
        <w:tc>
          <w:tcPr>
            <w:tcW w:w="148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558</w:t>
            </w:r>
          </w:p>
        </w:tc>
        <w:tc>
          <w:tcPr>
            <w:tcW w:w="620" w:type="dxa"/>
            <w:vAlign w:val="bottom"/>
            <w:shd w:val="clear" w:color="auto" w:fill="FEFEFE"/>
          </w:tcPr>
          <w:p>
            <w:pPr>
              <w:jc w:val="center"/>
              <w:ind w:right="2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422</w:t>
            </w:r>
          </w:p>
        </w:tc>
      </w:tr>
      <w:tr>
        <w:trPr>
          <w:trHeight w:val="307"/>
        </w:trPr>
        <w:tc>
          <w:tcPr>
            <w:tcW w:w="658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Segment profit margin</w:t>
            </w:r>
          </w:p>
        </w:tc>
        <w:tc>
          <w:tcPr>
            <w:tcW w:w="148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7.0</w:t>
            </w:r>
          </w:p>
        </w:tc>
        <w:tc>
          <w:tcPr>
            <w:tcW w:w="620" w:type="dxa"/>
            <w:vAlign w:val="bottom"/>
            <w:shd w:val="clear" w:color="auto" w:fill="E4E4E4"/>
          </w:tcPr>
          <w:p>
            <w:pPr>
              <w:spacing w:after="0"/>
              <w:rPr>
                <w:sz w:val="24"/>
                <w:szCs w:val="24"/>
                <w:color w:val="auto"/>
              </w:rPr>
            </w:pPr>
          </w:p>
        </w:tc>
        <w:tc>
          <w:tcPr>
            <w:tcW w:w="760" w:type="dxa"/>
            <w:vAlign w:val="bottom"/>
            <w:shd w:val="clear" w:color="auto" w:fill="E4E4E4"/>
          </w:tcPr>
          <w:p>
            <w:pPr>
              <w:jc w:val="right"/>
              <w:ind w:right="260"/>
              <w:spacing w:after="0"/>
              <w:rPr>
                <w:sz w:val="20"/>
                <w:szCs w:val="20"/>
                <w:color w:val="auto"/>
              </w:rPr>
            </w:pPr>
            <w:r>
              <w:rPr>
                <w:rFonts w:ascii="Arial" w:cs="Arial" w:eastAsia="Arial" w:hAnsi="Arial"/>
                <w:sz w:val="20"/>
                <w:szCs w:val="20"/>
                <w:color w:val="auto"/>
              </w:rPr>
              <w:t>5.</w:t>
            </w:r>
          </w:p>
        </w:tc>
      </w:tr>
      <w:tr>
        <w:trPr>
          <w:trHeight w:val="293"/>
        </w:trPr>
        <w:tc>
          <w:tcPr>
            <w:tcW w:w="658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Comp sales</w:t>
            </w:r>
          </w:p>
        </w:tc>
        <w:tc>
          <w:tcPr>
            <w:tcW w:w="148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4</w:t>
            </w:r>
          </w:p>
        </w:tc>
        <w:tc>
          <w:tcPr>
            <w:tcW w:w="620" w:type="dxa"/>
            <w:vAlign w:val="bottom"/>
            <w:shd w:val="clear" w:color="auto" w:fill="FEFEFE"/>
          </w:tcPr>
          <w:p>
            <w:pPr>
              <w:spacing w:after="0"/>
              <w:rPr>
                <w:sz w:val="24"/>
                <w:szCs w:val="24"/>
                <w:color w:val="auto"/>
              </w:rPr>
            </w:pPr>
          </w:p>
        </w:tc>
        <w:tc>
          <w:tcPr>
            <w:tcW w:w="76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w:t>
            </w:r>
          </w:p>
        </w:tc>
      </w:tr>
      <w:tr>
        <w:trPr>
          <w:trHeight w:val="287"/>
        </w:trPr>
        <w:tc>
          <w:tcPr>
            <w:tcW w:w="6580" w:type="dxa"/>
            <w:vAlign w:val="bottom"/>
            <w:tcBorders>
              <w:bottom w:val="single" w:sz="8" w:color="E4E4E4"/>
            </w:tcBorders>
            <w:gridSpan w:val="3"/>
            <w:shd w:val="clear" w:color="auto" w:fill="E4E4E4"/>
          </w:tcPr>
          <w:p>
            <w:pPr>
              <w:ind w:left="40"/>
              <w:spacing w:after="0"/>
              <w:rPr>
                <w:sz w:val="20"/>
                <w:szCs w:val="20"/>
                <w:color w:val="auto"/>
              </w:rPr>
            </w:pPr>
            <w:r>
              <w:rPr>
                <w:rFonts w:ascii="Arial" w:cs="Arial" w:eastAsia="Arial" w:hAnsi="Arial"/>
                <w:sz w:val="20"/>
                <w:szCs w:val="20"/>
                <w:color w:val="auto"/>
              </w:rPr>
              <w:t>Stores in operation at end of period:</w:t>
            </w:r>
          </w:p>
        </w:tc>
        <w:tc>
          <w:tcPr>
            <w:tcW w:w="148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spacing w:after="0"/>
              <w:rPr>
                <w:sz w:val="24"/>
                <w:szCs w:val="24"/>
                <w:color w:val="auto"/>
              </w:rPr>
            </w:pPr>
          </w:p>
        </w:tc>
        <w:tc>
          <w:tcPr>
            <w:tcW w:w="62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spacing w:after="0"/>
              <w:rPr>
                <w:sz w:val="24"/>
                <w:szCs w:val="24"/>
                <w:color w:val="auto"/>
              </w:rPr>
            </w:pPr>
          </w:p>
        </w:tc>
      </w:tr>
      <w:tr>
        <w:trPr>
          <w:trHeight w:val="293"/>
        </w:trPr>
        <w:tc>
          <w:tcPr>
            <w:tcW w:w="400" w:type="dxa"/>
            <w:vAlign w:val="bottom"/>
            <w:shd w:val="clear" w:color="auto" w:fill="FEFEFE"/>
          </w:tcPr>
          <w:p>
            <w:pPr>
              <w:ind w:left="260"/>
              <w:spacing w:after="0"/>
              <w:rPr>
                <w:sz w:val="20"/>
                <w:szCs w:val="20"/>
                <w:color w:val="auto"/>
              </w:rPr>
            </w:pPr>
            <w:r>
              <w:rPr>
                <w:rFonts w:ascii="Arial" w:cs="Arial" w:eastAsia="Arial" w:hAnsi="Arial"/>
                <w:sz w:val="20"/>
                <w:szCs w:val="20"/>
                <w:color w:val="auto"/>
                <w:w w:val="97"/>
              </w:rPr>
              <w:t>T</w:t>
            </w:r>
          </w:p>
        </w:tc>
        <w:tc>
          <w:tcPr>
            <w:tcW w:w="340" w:type="dxa"/>
            <w:vAlign w:val="bottom"/>
            <w:shd w:val="clear" w:color="auto" w:fill="FEFEFE"/>
          </w:tcPr>
          <w:p>
            <w:pPr>
              <w:spacing w:after="0"/>
              <w:rPr>
                <w:sz w:val="24"/>
                <w:szCs w:val="24"/>
                <w:color w:val="auto"/>
              </w:rPr>
            </w:pPr>
          </w:p>
        </w:tc>
        <w:tc>
          <w:tcPr>
            <w:tcW w:w="58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axx (Europe)</w:t>
            </w:r>
          </w:p>
        </w:tc>
        <w:tc>
          <w:tcPr>
            <w:tcW w:w="148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673</w:t>
            </w:r>
          </w:p>
        </w:tc>
        <w:tc>
          <w:tcPr>
            <w:tcW w:w="620" w:type="dxa"/>
            <w:vAlign w:val="bottom"/>
            <w:shd w:val="clear" w:color="auto" w:fill="FEFEFE"/>
          </w:tcPr>
          <w:p>
            <w:pPr>
              <w:spacing w:after="0"/>
              <w:rPr>
                <w:sz w:val="24"/>
                <w:szCs w:val="24"/>
                <w:color w:val="auto"/>
              </w:rPr>
            </w:pPr>
          </w:p>
        </w:tc>
        <w:tc>
          <w:tcPr>
            <w:tcW w:w="76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655</w:t>
            </w:r>
          </w:p>
        </w:tc>
      </w:tr>
      <w:tr>
        <w:trPr>
          <w:trHeight w:val="307"/>
        </w:trPr>
        <w:tc>
          <w:tcPr>
            <w:tcW w:w="400" w:type="dxa"/>
            <w:vAlign w:val="bottom"/>
            <w:shd w:val="clear" w:color="auto" w:fill="E4E4E4"/>
          </w:tcPr>
          <w:p>
            <w:pPr>
              <w:spacing w:after="0"/>
              <w:rPr>
                <w:sz w:val="24"/>
                <w:szCs w:val="24"/>
                <w:color w:val="auto"/>
              </w:rPr>
            </w:pPr>
          </w:p>
        </w:tc>
        <w:tc>
          <w:tcPr>
            <w:tcW w:w="6180" w:type="dxa"/>
            <w:vAlign w:val="bottom"/>
            <w:gridSpan w:val="2"/>
            <w:shd w:val="clear" w:color="auto" w:fill="E4E4E4"/>
          </w:tcPr>
          <w:p>
            <w:pPr>
              <w:ind w:left="20"/>
              <w:spacing w:after="0"/>
              <w:rPr>
                <w:sz w:val="20"/>
                <w:szCs w:val="20"/>
                <w:color w:val="auto"/>
              </w:rPr>
            </w:pPr>
            <w:r>
              <w:rPr>
                <w:rFonts w:ascii="Arial" w:cs="Arial" w:eastAsia="Arial" w:hAnsi="Arial"/>
                <w:sz w:val="20"/>
                <w:szCs w:val="20"/>
                <w:color w:val="auto"/>
              </w:rPr>
              <w:t>omesense (Europe)</w:t>
            </w:r>
          </w:p>
        </w:tc>
        <w:tc>
          <w:tcPr>
            <w:tcW w:w="148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74</w:t>
            </w:r>
          </w:p>
        </w:tc>
        <w:tc>
          <w:tcPr>
            <w:tcW w:w="620" w:type="dxa"/>
            <w:vAlign w:val="bottom"/>
            <w:shd w:val="clear" w:color="auto" w:fill="E4E4E4"/>
          </w:tcPr>
          <w:p>
            <w:pPr>
              <w:spacing w:after="0"/>
              <w:rPr>
                <w:sz w:val="24"/>
                <w:szCs w:val="24"/>
                <w:color w:val="auto"/>
              </w:rPr>
            </w:pPr>
          </w:p>
        </w:tc>
        <w:tc>
          <w:tcPr>
            <w:tcW w:w="76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75</w:t>
            </w:r>
          </w:p>
        </w:tc>
      </w:tr>
      <w:tr>
        <w:trPr>
          <w:trHeight w:val="290"/>
        </w:trPr>
        <w:tc>
          <w:tcPr>
            <w:tcW w:w="4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w w:val="97"/>
              </w:rPr>
              <w:t>T</w:t>
            </w:r>
          </w:p>
        </w:tc>
        <w:tc>
          <w:tcPr>
            <w:tcW w:w="340" w:type="dxa"/>
            <w:vAlign w:val="bottom"/>
            <w:tcBorders>
              <w:bottom w:val="single" w:sz="8" w:color="auto"/>
            </w:tcBorders>
            <w:shd w:val="clear" w:color="auto" w:fill="FEFEFE"/>
          </w:tcPr>
          <w:p>
            <w:pPr>
              <w:spacing w:after="0"/>
              <w:rPr>
                <w:sz w:val="24"/>
                <w:szCs w:val="24"/>
                <w:color w:val="auto"/>
              </w:rPr>
            </w:pPr>
          </w:p>
        </w:tc>
        <w:tc>
          <w:tcPr>
            <w:tcW w:w="58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axx (Australia)</w:t>
            </w:r>
          </w:p>
        </w:tc>
        <w:tc>
          <w:tcPr>
            <w:tcW w:w="14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88</w:t>
            </w:r>
          </w:p>
        </w:tc>
        <w:tc>
          <w:tcPr>
            <w:tcW w:w="620" w:type="dxa"/>
            <w:vAlign w:val="bottom"/>
            <w:tcBorders>
              <w:bottom w:val="single" w:sz="8" w:color="auto"/>
            </w:tcBorders>
            <w:shd w:val="clear" w:color="auto" w:fill="FEFEFE"/>
          </w:tcPr>
          <w:p>
            <w:pPr>
              <w:spacing w:after="0"/>
              <w:rPr>
                <w:sz w:val="24"/>
                <w:szCs w:val="24"/>
                <w:color w:val="auto"/>
              </w:rPr>
            </w:pPr>
          </w:p>
        </w:tc>
        <w:tc>
          <w:tcPr>
            <w:tcW w:w="76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84</w:t>
            </w:r>
          </w:p>
        </w:tc>
      </w:tr>
      <w:tr>
        <w:trPr>
          <w:trHeight w:val="280"/>
        </w:trPr>
        <w:tc>
          <w:tcPr>
            <w:tcW w:w="400" w:type="dxa"/>
            <w:vAlign w:val="bottom"/>
            <w:tcBorders>
              <w:bottom w:val="single" w:sz="8" w:color="auto"/>
            </w:tcBorders>
            <w:shd w:val="clear" w:color="auto" w:fill="E4E4E4"/>
          </w:tcPr>
          <w:p>
            <w:pPr>
              <w:spacing w:after="0"/>
              <w:rPr>
                <w:sz w:val="24"/>
                <w:szCs w:val="24"/>
                <w:color w:val="auto"/>
              </w:rPr>
            </w:pPr>
          </w:p>
        </w:tc>
        <w:tc>
          <w:tcPr>
            <w:tcW w:w="6180" w:type="dxa"/>
            <w:vAlign w:val="bottom"/>
            <w:tcBorders>
              <w:bottom w:val="single" w:sz="8" w:color="auto"/>
            </w:tcBorders>
            <w:gridSpan w:val="2"/>
            <w:shd w:val="clear" w:color="auto" w:fill="E4E4E4"/>
          </w:tcPr>
          <w:p>
            <w:pPr>
              <w:ind w:left="140"/>
              <w:spacing w:after="0"/>
              <w:rPr>
                <w:sz w:val="20"/>
                <w:szCs w:val="20"/>
                <w:color w:val="auto"/>
              </w:rPr>
            </w:pPr>
            <w:r>
              <w:rPr>
                <w:rFonts w:ascii="Arial" w:cs="Arial" w:eastAsia="Arial" w:hAnsi="Arial"/>
                <w:sz w:val="20"/>
                <w:szCs w:val="20"/>
                <w:color w:val="auto"/>
              </w:rPr>
              <w:t>Total</w:t>
            </w:r>
          </w:p>
        </w:tc>
        <w:tc>
          <w:tcPr>
            <w:tcW w:w="148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835</w:t>
            </w:r>
          </w:p>
        </w:tc>
        <w:tc>
          <w:tcPr>
            <w:tcW w:w="62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814</w:t>
            </w:r>
          </w:p>
        </w:tc>
      </w:tr>
      <w:tr>
        <w:trPr>
          <w:trHeight w:val="270"/>
        </w:trPr>
        <w:tc>
          <w:tcPr>
            <w:tcW w:w="740" w:type="dxa"/>
            <w:vAlign w:val="bottom"/>
            <w:tcBorders>
              <w:bottom w:val="single" w:sz="8" w:color="FEFEFE"/>
            </w:tcBorders>
            <w:gridSpan w:val="2"/>
            <w:shd w:val="clear" w:color="auto" w:fill="FEFEFE"/>
          </w:tcPr>
          <w:p>
            <w:pPr>
              <w:ind w:left="40"/>
              <w:spacing w:after="0"/>
              <w:rPr>
                <w:sz w:val="20"/>
                <w:szCs w:val="20"/>
                <w:color w:val="auto"/>
              </w:rPr>
            </w:pPr>
            <w:r>
              <w:rPr>
                <w:rFonts w:ascii="Arial" w:cs="Arial" w:eastAsia="Arial" w:hAnsi="Arial"/>
                <w:sz w:val="20"/>
                <w:szCs w:val="20"/>
                <w:color w:val="auto"/>
                <w:w w:val="89"/>
              </w:rPr>
              <w:t>Selling s</w:t>
            </w:r>
          </w:p>
        </w:tc>
        <w:tc>
          <w:tcPr>
            <w:tcW w:w="5840" w:type="dxa"/>
            <w:vAlign w:val="bottom"/>
            <w:tcBorders>
              <w:bottom w:val="single" w:sz="8" w:color="FEFEFE"/>
            </w:tcBorders>
            <w:shd w:val="clear" w:color="auto" w:fill="FEFEFE"/>
          </w:tcPr>
          <w:p>
            <w:pPr>
              <w:ind w:left="100"/>
              <w:spacing w:after="0"/>
              <w:rPr>
                <w:sz w:val="20"/>
                <w:szCs w:val="20"/>
                <w:color w:val="auto"/>
              </w:rPr>
            </w:pPr>
            <w:r>
              <w:rPr>
                <w:rFonts w:ascii="Arial" w:cs="Arial" w:eastAsia="Arial" w:hAnsi="Arial"/>
                <w:sz w:val="20"/>
                <w:szCs w:val="20"/>
                <w:color w:val="auto"/>
              </w:rPr>
              <w:t>uare footage at end of period (in millions):</w:t>
            </w:r>
          </w:p>
        </w:tc>
        <w:tc>
          <w:tcPr>
            <w:tcW w:w="1480" w:type="dxa"/>
            <w:vAlign w:val="bottom"/>
            <w:tcBorders>
              <w:bottom w:val="single" w:sz="8" w:color="FEFEFE"/>
            </w:tcBorders>
            <w:shd w:val="clear" w:color="auto" w:fill="FEFEFE"/>
          </w:tcPr>
          <w:p>
            <w:pPr>
              <w:spacing w:after="0"/>
              <w:rPr>
                <w:sz w:val="23"/>
                <w:szCs w:val="23"/>
                <w:color w:val="auto"/>
              </w:rPr>
            </w:pPr>
          </w:p>
        </w:tc>
        <w:tc>
          <w:tcPr>
            <w:tcW w:w="820" w:type="dxa"/>
            <w:vAlign w:val="bottom"/>
            <w:tcBorders>
              <w:bottom w:val="single" w:sz="8" w:color="FEFEFE"/>
            </w:tcBorders>
            <w:shd w:val="clear" w:color="auto" w:fill="FEFEFE"/>
          </w:tcPr>
          <w:p>
            <w:pPr>
              <w:spacing w:after="0"/>
              <w:rPr>
                <w:sz w:val="23"/>
                <w:szCs w:val="23"/>
                <w:color w:val="auto"/>
              </w:rPr>
            </w:pPr>
          </w:p>
        </w:tc>
        <w:tc>
          <w:tcPr>
            <w:tcW w:w="620" w:type="dxa"/>
            <w:vAlign w:val="bottom"/>
            <w:tcBorders>
              <w:bottom w:val="single" w:sz="8" w:color="FEFEFE"/>
            </w:tcBorders>
            <w:shd w:val="clear" w:color="auto" w:fill="FEFEFE"/>
          </w:tcPr>
          <w:p>
            <w:pPr>
              <w:spacing w:after="0"/>
              <w:rPr>
                <w:sz w:val="23"/>
                <w:szCs w:val="23"/>
                <w:color w:val="auto"/>
              </w:rPr>
            </w:pPr>
          </w:p>
        </w:tc>
        <w:tc>
          <w:tcPr>
            <w:tcW w:w="760" w:type="dxa"/>
            <w:vAlign w:val="bottom"/>
            <w:tcBorders>
              <w:bottom w:val="single" w:sz="8" w:color="FEFEFE"/>
            </w:tcBorders>
            <w:shd w:val="clear" w:color="auto" w:fill="FEFEFE"/>
          </w:tcPr>
          <w:p>
            <w:pPr>
              <w:spacing w:after="0"/>
              <w:rPr>
                <w:sz w:val="23"/>
                <w:szCs w:val="23"/>
                <w:color w:val="auto"/>
              </w:rPr>
            </w:pPr>
          </w:p>
        </w:tc>
      </w:tr>
      <w:tr>
        <w:trPr>
          <w:trHeight w:val="300"/>
        </w:trPr>
        <w:tc>
          <w:tcPr>
            <w:tcW w:w="40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7"/>
              </w:rPr>
              <w:t>T</w:t>
            </w:r>
          </w:p>
        </w:tc>
        <w:tc>
          <w:tcPr>
            <w:tcW w:w="340" w:type="dxa"/>
            <w:vAlign w:val="bottom"/>
            <w:shd w:val="clear" w:color="auto" w:fill="E4E4E4"/>
          </w:tcPr>
          <w:p>
            <w:pPr>
              <w:spacing w:after="0"/>
              <w:rPr>
                <w:sz w:val="24"/>
                <w:szCs w:val="24"/>
                <w:color w:val="auto"/>
              </w:rPr>
            </w:pPr>
          </w:p>
        </w:tc>
        <w:tc>
          <w:tcPr>
            <w:tcW w:w="5840" w:type="dxa"/>
            <w:vAlign w:val="bottom"/>
            <w:shd w:val="clear" w:color="auto" w:fill="E4E4E4"/>
          </w:tcPr>
          <w:p>
            <w:pPr>
              <w:ind w:left="20"/>
              <w:spacing w:after="0"/>
              <w:rPr>
                <w:sz w:val="20"/>
                <w:szCs w:val="20"/>
                <w:color w:val="auto"/>
              </w:rPr>
            </w:pPr>
            <w:r>
              <w:rPr>
                <w:rFonts w:ascii="Arial" w:cs="Arial" w:eastAsia="Arial" w:hAnsi="Arial"/>
                <w:sz w:val="20"/>
                <w:szCs w:val="20"/>
                <w:color w:val="auto"/>
              </w:rPr>
              <w:t>axx (Europe)</w:t>
            </w:r>
          </w:p>
        </w:tc>
        <w:tc>
          <w:tcPr>
            <w:tcW w:w="148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13</w:t>
            </w:r>
          </w:p>
        </w:tc>
        <w:tc>
          <w:tcPr>
            <w:tcW w:w="620" w:type="dxa"/>
            <w:vAlign w:val="bottom"/>
            <w:shd w:val="clear" w:color="auto" w:fill="E4E4E4"/>
          </w:tcPr>
          <w:p>
            <w:pPr>
              <w:spacing w:after="0"/>
              <w:rPr>
                <w:sz w:val="24"/>
                <w:szCs w:val="24"/>
                <w:color w:val="auto"/>
              </w:rPr>
            </w:pPr>
          </w:p>
        </w:tc>
        <w:tc>
          <w:tcPr>
            <w:tcW w:w="76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13</w:t>
            </w:r>
          </w:p>
        </w:tc>
      </w:tr>
      <w:tr>
        <w:trPr>
          <w:trHeight w:val="293"/>
        </w:trPr>
        <w:tc>
          <w:tcPr>
            <w:tcW w:w="400" w:type="dxa"/>
            <w:vAlign w:val="bottom"/>
            <w:shd w:val="clear" w:color="auto" w:fill="FEFEFE"/>
          </w:tcPr>
          <w:p>
            <w:pPr>
              <w:spacing w:after="0"/>
              <w:rPr>
                <w:sz w:val="24"/>
                <w:szCs w:val="24"/>
                <w:color w:val="auto"/>
              </w:rPr>
            </w:pPr>
          </w:p>
        </w:tc>
        <w:tc>
          <w:tcPr>
            <w:tcW w:w="6180" w:type="dxa"/>
            <w:vAlign w:val="bottom"/>
            <w:gridSpan w:val="2"/>
            <w:shd w:val="clear" w:color="auto" w:fill="FEFEFE"/>
          </w:tcPr>
          <w:p>
            <w:pPr>
              <w:ind w:left="20"/>
              <w:spacing w:after="0"/>
              <w:rPr>
                <w:sz w:val="20"/>
                <w:szCs w:val="20"/>
                <w:color w:val="auto"/>
              </w:rPr>
            </w:pPr>
            <w:r>
              <w:rPr>
                <w:rFonts w:ascii="Arial" w:cs="Arial" w:eastAsia="Arial" w:hAnsi="Arial"/>
                <w:sz w:val="20"/>
                <w:szCs w:val="20"/>
                <w:color w:val="auto"/>
              </w:rPr>
              <w:t>omesense (Europe)</w:t>
            </w:r>
          </w:p>
        </w:tc>
        <w:tc>
          <w:tcPr>
            <w:tcW w:w="148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1</w:t>
            </w:r>
          </w:p>
        </w:tc>
        <w:tc>
          <w:tcPr>
            <w:tcW w:w="620" w:type="dxa"/>
            <w:vAlign w:val="bottom"/>
            <w:shd w:val="clear" w:color="auto" w:fill="FEFEFE"/>
          </w:tcPr>
          <w:p>
            <w:pPr>
              <w:spacing w:after="0"/>
              <w:rPr>
                <w:sz w:val="24"/>
                <w:szCs w:val="24"/>
                <w:color w:val="auto"/>
              </w:rPr>
            </w:pPr>
          </w:p>
        </w:tc>
        <w:tc>
          <w:tcPr>
            <w:tcW w:w="76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1</w:t>
            </w:r>
          </w:p>
        </w:tc>
      </w:tr>
      <w:tr>
        <w:trPr>
          <w:trHeight w:val="297"/>
        </w:trPr>
        <w:tc>
          <w:tcPr>
            <w:tcW w:w="4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w w:val="97"/>
              </w:rPr>
              <w:t>T</w:t>
            </w:r>
          </w:p>
        </w:tc>
        <w:tc>
          <w:tcPr>
            <w:tcW w:w="340" w:type="dxa"/>
            <w:vAlign w:val="bottom"/>
            <w:tcBorders>
              <w:bottom w:val="single" w:sz="8" w:color="auto"/>
            </w:tcBorders>
            <w:shd w:val="clear" w:color="auto" w:fill="E4E4E4"/>
          </w:tcPr>
          <w:p>
            <w:pPr>
              <w:spacing w:after="0"/>
              <w:rPr>
                <w:sz w:val="24"/>
                <w:szCs w:val="24"/>
                <w:color w:val="auto"/>
              </w:rPr>
            </w:pPr>
          </w:p>
        </w:tc>
        <w:tc>
          <w:tcPr>
            <w:tcW w:w="58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20"/>
                <w:szCs w:val="20"/>
                <w:color w:val="auto"/>
              </w:rPr>
              <w:t>axx (Australia)</w:t>
            </w:r>
          </w:p>
        </w:tc>
        <w:tc>
          <w:tcPr>
            <w:tcW w:w="148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1</w:t>
            </w:r>
          </w:p>
        </w:tc>
        <w:tc>
          <w:tcPr>
            <w:tcW w:w="62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w:t>
            </w:r>
          </w:p>
        </w:tc>
      </w:tr>
      <w:tr>
        <w:trPr>
          <w:trHeight w:val="280"/>
        </w:trPr>
        <w:tc>
          <w:tcPr>
            <w:tcW w:w="400" w:type="dxa"/>
            <w:vAlign w:val="bottom"/>
            <w:tcBorders>
              <w:bottom w:val="single" w:sz="8" w:color="auto"/>
            </w:tcBorders>
            <w:shd w:val="clear" w:color="auto" w:fill="FEFEFE"/>
          </w:tcPr>
          <w:p>
            <w:pPr>
              <w:spacing w:after="0"/>
              <w:rPr>
                <w:sz w:val="24"/>
                <w:szCs w:val="24"/>
                <w:color w:val="auto"/>
              </w:rPr>
            </w:pPr>
          </w:p>
        </w:tc>
        <w:tc>
          <w:tcPr>
            <w:tcW w:w="6180" w:type="dxa"/>
            <w:vAlign w:val="bottom"/>
            <w:tcBorders>
              <w:bottom w:val="single" w:sz="8" w:color="auto"/>
            </w:tcBorders>
            <w:gridSpan w:val="2"/>
            <w:shd w:val="clear" w:color="auto" w:fill="FEFEFE"/>
          </w:tcPr>
          <w:p>
            <w:pPr>
              <w:ind w:left="140"/>
              <w:spacing w:after="0"/>
              <w:rPr>
                <w:sz w:val="20"/>
                <w:szCs w:val="20"/>
                <w:color w:val="auto"/>
              </w:rPr>
            </w:pPr>
            <w:r>
              <w:rPr>
                <w:rFonts w:ascii="Arial" w:cs="Arial" w:eastAsia="Arial" w:hAnsi="Arial"/>
                <w:sz w:val="20"/>
                <w:szCs w:val="20"/>
                <w:color w:val="auto"/>
              </w:rPr>
              <w:t>Total</w:t>
            </w:r>
          </w:p>
        </w:tc>
        <w:tc>
          <w:tcPr>
            <w:tcW w:w="14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15</w:t>
            </w:r>
          </w:p>
        </w:tc>
        <w:tc>
          <w:tcPr>
            <w:tcW w:w="620" w:type="dxa"/>
            <w:vAlign w:val="bottom"/>
            <w:tcBorders>
              <w:bottom w:val="single" w:sz="8" w:color="auto"/>
            </w:tcBorders>
            <w:shd w:val="clear" w:color="auto" w:fill="FEFEFE"/>
          </w:tcPr>
          <w:p>
            <w:pPr>
              <w:spacing w:after="0"/>
              <w:rPr>
                <w:sz w:val="24"/>
                <w:szCs w:val="24"/>
                <w:color w:val="auto"/>
              </w:rPr>
            </w:pPr>
          </w:p>
        </w:tc>
        <w:tc>
          <w:tcPr>
            <w:tcW w:w="76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15</w:t>
            </w:r>
          </w:p>
        </w:tc>
      </w:tr>
      <w:tr>
        <w:trPr>
          <w:trHeight w:val="369"/>
        </w:trPr>
        <w:tc>
          <w:tcPr>
            <w:tcW w:w="400" w:type="dxa"/>
            <w:vAlign w:val="bottom"/>
          </w:tcPr>
          <w:p>
            <w:pPr>
              <w:ind w:left="140"/>
              <w:spacing w:after="0"/>
              <w:rPr>
                <w:sz w:val="20"/>
                <w:szCs w:val="20"/>
                <w:color w:val="auto"/>
              </w:rPr>
            </w:pPr>
            <w:r>
              <w:rPr>
                <w:rFonts w:ascii="Arial" w:cs="Arial" w:eastAsia="Arial" w:hAnsi="Arial"/>
                <w:sz w:val="22"/>
                <w:szCs w:val="22"/>
                <w:i w:val="1"/>
                <w:iCs w:val="1"/>
                <w:color w:val="auto"/>
              </w:rPr>
              <w:t>et</w:t>
            </w:r>
          </w:p>
        </w:tc>
        <w:tc>
          <w:tcPr>
            <w:tcW w:w="6180" w:type="dxa"/>
            <w:vAlign w:val="bottom"/>
            <w:gridSpan w:val="2"/>
          </w:tcPr>
          <w:p>
            <w:pPr>
              <w:ind w:left="60"/>
              <w:spacing w:after="0"/>
              <w:rPr>
                <w:sz w:val="20"/>
                <w:szCs w:val="20"/>
                <w:color w:val="auto"/>
              </w:rPr>
            </w:pPr>
            <w:r>
              <w:rPr>
                <w:rFonts w:ascii="Arial" w:cs="Arial" w:eastAsia="Arial" w:hAnsi="Arial"/>
                <w:sz w:val="22"/>
                <w:szCs w:val="22"/>
                <w:i w:val="1"/>
                <w:iCs w:val="1"/>
                <w:color w:val="auto"/>
              </w:rPr>
              <w:t>ales</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3"/>
        </w:trPr>
        <w:tc>
          <w:tcPr>
            <w:tcW w:w="6580" w:type="dxa"/>
            <w:vAlign w:val="bottom"/>
            <w:gridSpan w:val="3"/>
          </w:tcPr>
          <w:p>
            <w:pPr>
              <w:spacing w:after="0"/>
              <w:rPr>
                <w:sz w:val="20"/>
                <w:szCs w:val="20"/>
                <w:color w:val="auto"/>
              </w:rPr>
            </w:pPr>
            <w:r>
              <w:rPr>
                <w:rFonts w:ascii="Arial" w:cs="Arial" w:eastAsia="Arial" w:hAnsi="Arial"/>
                <w:sz w:val="20"/>
                <w:szCs w:val="20"/>
                <w:color w:val="auto"/>
                <w:w w:val="94"/>
              </w:rPr>
              <w:t>Net sales for TJX International were $8 billion for fiscal 2026, an increase of 11</w:t>
            </w:r>
          </w:p>
        </w:tc>
        <w:tc>
          <w:tcPr>
            <w:tcW w:w="3680" w:type="dxa"/>
            <w:vAlign w:val="bottom"/>
            <w:gridSpan w:val="4"/>
          </w:tcPr>
          <w:p>
            <w:pPr>
              <w:jc w:val="right"/>
              <w:spacing w:after="0"/>
              <w:rPr>
                <w:sz w:val="20"/>
                <w:szCs w:val="20"/>
                <w:color w:val="auto"/>
              </w:rPr>
            </w:pPr>
            <w:r>
              <w:rPr>
                <w:rFonts w:ascii="Arial" w:cs="Arial" w:eastAsia="Arial" w:hAnsi="Arial"/>
                <w:sz w:val="20"/>
                <w:szCs w:val="20"/>
                <w:color w:val="auto"/>
                <w:w w:val="92"/>
              </w:rPr>
              <w:t>compared to $7.2 billion for fiscal 2025. The</w:t>
            </w:r>
          </w:p>
        </w:tc>
      </w:tr>
      <w:tr>
        <w:trPr>
          <w:trHeight w:val="240"/>
        </w:trPr>
        <w:tc>
          <w:tcPr>
            <w:tcW w:w="6580" w:type="dxa"/>
            <w:vAlign w:val="bottom"/>
            <w:gridSpan w:val="3"/>
          </w:tcPr>
          <w:p>
            <w:pPr>
              <w:spacing w:after="0"/>
              <w:rPr>
                <w:sz w:val="20"/>
                <w:szCs w:val="20"/>
                <w:color w:val="auto"/>
              </w:rPr>
            </w:pPr>
            <w:r>
              <w:rPr>
                <w:rFonts w:ascii="Arial" w:cs="Arial" w:eastAsia="Arial" w:hAnsi="Arial"/>
                <w:sz w:val="20"/>
                <w:szCs w:val="20"/>
                <w:color w:val="auto"/>
                <w:w w:val="90"/>
              </w:rPr>
              <w:t>increase in net sales reflects a positive foreign currency exchange rate impact of 5</w:t>
            </w:r>
          </w:p>
        </w:tc>
        <w:tc>
          <w:tcPr>
            <w:tcW w:w="3680" w:type="dxa"/>
            <w:vAlign w:val="bottom"/>
            <w:gridSpan w:val="4"/>
          </w:tcPr>
          <w:p>
            <w:pPr>
              <w:jc w:val="right"/>
              <w:ind w:right="480"/>
              <w:spacing w:after="0"/>
              <w:rPr>
                <w:sz w:val="20"/>
                <w:szCs w:val="20"/>
                <w:color w:val="auto"/>
              </w:rPr>
            </w:pPr>
            <w:r>
              <w:rPr>
                <w:rFonts w:ascii="Arial" w:cs="Arial" w:eastAsia="Arial" w:hAnsi="Arial"/>
                <w:sz w:val="20"/>
                <w:szCs w:val="20"/>
                <w:color w:val="auto"/>
                <w:w w:val="94"/>
              </w:rPr>
              <w:t>, a 4  increase in comp sales and a 2</w:t>
            </w:r>
          </w:p>
        </w:tc>
      </w:tr>
      <w:tr>
        <w:trPr>
          <w:trHeight w:val="261"/>
        </w:trPr>
        <w:tc>
          <w:tcPr>
            <w:tcW w:w="8880" w:type="dxa"/>
            <w:vAlign w:val="bottom"/>
            <w:gridSpan w:val="5"/>
          </w:tcPr>
          <w:p>
            <w:pPr>
              <w:spacing w:after="0"/>
              <w:rPr>
                <w:sz w:val="20"/>
                <w:szCs w:val="20"/>
                <w:color w:val="auto"/>
              </w:rPr>
            </w:pPr>
            <w:r>
              <w:rPr>
                <w:rFonts w:ascii="Arial" w:cs="Arial" w:eastAsia="Arial" w:hAnsi="Arial"/>
                <w:sz w:val="20"/>
                <w:szCs w:val="20"/>
                <w:color w:val="auto"/>
                <w:w w:val="89"/>
              </w:rPr>
              <w:t>increase from non-comp sales. The increase in comp sales was driven by an increase in customer transactions.</w:t>
            </w: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60"/>
        </w:trPr>
        <w:tc>
          <w:tcPr>
            <w:tcW w:w="9500" w:type="dxa"/>
            <w:vAlign w:val="bottom"/>
            <w:gridSpan w:val="6"/>
          </w:tcPr>
          <w:p>
            <w:pPr>
              <w:spacing w:after="0"/>
              <w:rPr>
                <w:sz w:val="20"/>
                <w:szCs w:val="20"/>
                <w:color w:val="auto"/>
              </w:rPr>
            </w:pPr>
            <w:r>
              <w:rPr>
                <w:rFonts w:ascii="Arial" w:cs="Arial" w:eastAsia="Arial" w:hAnsi="Arial"/>
                <w:sz w:val="20"/>
                <w:szCs w:val="20"/>
                <w:color w:val="auto"/>
                <w:w w:val="92"/>
              </w:rPr>
              <w:t>E-commerce sales represented approximately 3  of TJX International’s net sales for both fiscal 2026 and fiscal 2025.</w:t>
            </w:r>
          </w:p>
        </w:tc>
        <w:tc>
          <w:tcPr>
            <w:tcW w:w="760" w:type="dxa"/>
            <w:vAlign w:val="bottom"/>
          </w:tcPr>
          <w:p>
            <w:pPr>
              <w:spacing w:after="0"/>
              <w:rPr>
                <w:sz w:val="24"/>
                <w:szCs w:val="24"/>
                <w:color w:val="auto"/>
              </w:rPr>
            </w:pPr>
          </w:p>
        </w:tc>
      </w:tr>
      <w:tr>
        <w:trPr>
          <w:trHeight w:val="380"/>
        </w:trPr>
        <w:tc>
          <w:tcPr>
            <w:tcW w:w="400" w:type="dxa"/>
            <w:vAlign w:val="bottom"/>
          </w:tcPr>
          <w:p>
            <w:pPr>
              <w:ind w:left="100"/>
              <w:spacing w:after="0"/>
              <w:rPr>
                <w:sz w:val="20"/>
                <w:szCs w:val="20"/>
                <w:color w:val="auto"/>
              </w:rPr>
            </w:pPr>
            <w:r>
              <w:rPr>
                <w:rFonts w:ascii="Arial" w:cs="Arial" w:eastAsia="Arial" w:hAnsi="Arial"/>
                <w:sz w:val="22"/>
                <w:szCs w:val="22"/>
                <w:i w:val="1"/>
                <w:iCs w:val="1"/>
                <w:color w:val="auto"/>
              </w:rPr>
              <w:t>eg</w:t>
            </w:r>
          </w:p>
        </w:tc>
        <w:tc>
          <w:tcPr>
            <w:tcW w:w="340" w:type="dxa"/>
            <w:vAlign w:val="bottom"/>
          </w:tcPr>
          <w:p>
            <w:pPr>
              <w:ind w:left="60"/>
              <w:spacing w:after="0"/>
              <w:rPr>
                <w:sz w:val="20"/>
                <w:szCs w:val="20"/>
                <w:color w:val="auto"/>
              </w:rPr>
            </w:pPr>
            <w:r>
              <w:rPr>
                <w:rFonts w:ascii="Arial" w:cs="Arial" w:eastAsia="Arial" w:hAnsi="Arial"/>
                <w:sz w:val="22"/>
                <w:szCs w:val="22"/>
                <w:i w:val="1"/>
                <w:iCs w:val="1"/>
                <w:color w:val="auto"/>
                <w:w w:val="84"/>
              </w:rPr>
              <w:t>ent</w:t>
            </w:r>
          </w:p>
        </w:tc>
        <w:tc>
          <w:tcPr>
            <w:tcW w:w="5840" w:type="dxa"/>
            <w:vAlign w:val="bottom"/>
          </w:tcPr>
          <w:p>
            <w:pPr>
              <w:ind w:left="180"/>
              <w:spacing w:after="0"/>
              <w:rPr>
                <w:sz w:val="20"/>
                <w:szCs w:val="20"/>
                <w:color w:val="auto"/>
              </w:rPr>
            </w:pPr>
            <w:r>
              <w:rPr>
                <w:rFonts w:ascii="Arial" w:cs="Arial" w:eastAsia="Arial" w:hAnsi="Arial"/>
                <w:sz w:val="22"/>
                <w:szCs w:val="22"/>
                <w:i w:val="1"/>
                <w:iCs w:val="1"/>
                <w:color w:val="auto"/>
              </w:rPr>
              <w:t>r  it  argin</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3"/>
        </w:trPr>
        <w:tc>
          <w:tcPr>
            <w:tcW w:w="8060" w:type="dxa"/>
            <w:vAlign w:val="bottom"/>
            <w:gridSpan w:val="4"/>
          </w:tcPr>
          <w:p>
            <w:pPr>
              <w:spacing w:after="0"/>
              <w:rPr>
                <w:sz w:val="20"/>
                <w:szCs w:val="20"/>
                <w:color w:val="auto"/>
              </w:rPr>
            </w:pPr>
            <w:r>
              <w:rPr>
                <w:rFonts w:ascii="Arial" w:cs="Arial" w:eastAsia="Arial" w:hAnsi="Arial"/>
                <w:sz w:val="20"/>
                <w:szCs w:val="20"/>
                <w:color w:val="auto"/>
                <w:w w:val="93"/>
              </w:rPr>
              <w:t>Segment profit margin increased to 7.0  for fiscal 2026 compared to a segment profit margin of 5.</w:t>
            </w:r>
          </w:p>
        </w:tc>
        <w:tc>
          <w:tcPr>
            <w:tcW w:w="2200" w:type="dxa"/>
            <w:vAlign w:val="bottom"/>
            <w:gridSpan w:val="3"/>
          </w:tcPr>
          <w:p>
            <w:pPr>
              <w:jc w:val="center"/>
              <w:ind w:right="120"/>
              <w:spacing w:after="0"/>
              <w:rPr>
                <w:sz w:val="20"/>
                <w:szCs w:val="20"/>
                <w:color w:val="auto"/>
              </w:rPr>
            </w:pPr>
            <w:r>
              <w:rPr>
                <w:rFonts w:ascii="Arial" w:cs="Arial" w:eastAsia="Arial" w:hAnsi="Arial"/>
                <w:sz w:val="20"/>
                <w:szCs w:val="20"/>
                <w:color w:val="auto"/>
                <w:w w:val="93"/>
              </w:rPr>
              <w:t>for fiscal 2025. This</w:t>
            </w:r>
          </w:p>
        </w:tc>
      </w:tr>
    </w:tbl>
    <w:p>
      <w:pPr>
        <w:ind w:right="140"/>
        <w:spacing w:after="0" w:line="266" w:lineRule="auto"/>
        <w:rPr>
          <w:sz w:val="20"/>
          <w:szCs w:val="20"/>
          <w:color w:val="auto"/>
        </w:rPr>
      </w:pPr>
      <w:r>
        <w:rPr>
          <w:rFonts w:ascii="Arial" w:cs="Arial" w:eastAsia="Arial" w:hAnsi="Arial"/>
          <w:sz w:val="20"/>
          <w:szCs w:val="20"/>
          <w:color w:val="auto"/>
        </w:rPr>
        <w:t>increase was primarily due to higher merchandise margin, favorable store occupancy costs and lower administrative costs, partially offset by expenses related to the credit card interchange fees litigation settlement. erchandise margin reflects higher markon.</w:t>
      </w:r>
    </w:p>
    <w:p>
      <w:pPr>
        <w:spacing w:after="0" w:line="75"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In fiscal 2027, we expect to open 1 net new stores in Europe and 10 new stores in Australia, which would increase selling s uare footage by approximately 3 .</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940" w:type="dxa"/>
            <w:vAlign w:val="bottom"/>
          </w:tcPr>
          <w:p>
            <w:pPr>
              <w:jc w:val="center"/>
              <w:ind w:right="83"/>
              <w:spacing w:after="0"/>
              <w:rPr>
                <w:sz w:val="20"/>
                <w:szCs w:val="20"/>
                <w:color w:val="auto"/>
              </w:rPr>
            </w:pPr>
            <w:r>
              <w:rPr>
                <w:rFonts w:ascii="Arial" w:cs="Arial" w:eastAsia="Arial" w:hAnsi="Arial"/>
                <w:sz w:val="22"/>
                <w:szCs w:val="22"/>
                <w:color w:val="auto"/>
              </w:rPr>
              <w:t>N</w:t>
            </w:r>
          </w:p>
        </w:tc>
        <w:tc>
          <w:tcPr>
            <w:tcW w:w="1740" w:type="dxa"/>
            <w:vAlign w:val="bottom"/>
          </w:tcPr>
          <w:p>
            <w:pPr>
              <w:ind w:left="200"/>
              <w:spacing w:after="0"/>
              <w:rPr>
                <w:sz w:val="20"/>
                <w:szCs w:val="20"/>
                <w:color w:val="auto"/>
              </w:rPr>
            </w:pPr>
            <w:r>
              <w:rPr>
                <w:rFonts w:ascii="Arial" w:cs="Arial" w:eastAsia="Arial" w:hAnsi="Arial"/>
                <w:sz w:val="22"/>
                <w:szCs w:val="22"/>
                <w:color w:val="auto"/>
              </w:rPr>
              <w:t>CO   O</w:t>
            </w:r>
          </w:p>
        </w:tc>
        <w:tc>
          <w:tcPr>
            <w:tcW w:w="5080" w:type="dxa"/>
            <w:vAlign w:val="bottom"/>
            <w:gridSpan w:val="2"/>
          </w:tcPr>
          <w:p>
            <w:pPr>
              <w:jc w:val="right"/>
              <w:ind w:right="4300"/>
              <w:spacing w:after="0"/>
              <w:rPr>
                <w:sz w:val="20"/>
                <w:szCs w:val="20"/>
                <w:color w:val="auto"/>
              </w:rPr>
            </w:pPr>
            <w:r>
              <w:rPr>
                <w:rFonts w:ascii="Arial" w:cs="Arial" w:eastAsia="Arial" w:hAnsi="Arial"/>
                <w:sz w:val="22"/>
                <w:szCs w:val="22"/>
                <w:color w:val="auto"/>
              </w:rPr>
              <w:t>NS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178"/>
        </w:trPr>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40"/>
              <w:spacing w:after="0" w:line="178" w:lineRule="exact"/>
              <w:rPr>
                <w:sz w:val="20"/>
                <w:szCs w:val="20"/>
                <w:color w:val="auto"/>
              </w:rPr>
            </w:pPr>
            <w:r>
              <w:rPr>
                <w:rFonts w:ascii="Arial" w:cs="Arial" w:eastAsia="Arial" w:hAnsi="Arial"/>
                <w:sz w:val="20"/>
                <w:szCs w:val="20"/>
                <w:color w:val="auto"/>
                <w:w w:val="97"/>
              </w:rPr>
              <w:t>January 31,</w:t>
            </w:r>
          </w:p>
        </w:tc>
        <w:tc>
          <w:tcPr>
            <w:tcW w:w="180" w:type="dxa"/>
            <w:vAlign w:val="bottom"/>
          </w:tcPr>
          <w:p>
            <w:pPr>
              <w:spacing w:after="0"/>
              <w:rPr>
                <w:sz w:val="15"/>
                <w:szCs w:val="15"/>
                <w:color w:val="auto"/>
              </w:rPr>
            </w:pPr>
          </w:p>
        </w:tc>
        <w:tc>
          <w:tcPr>
            <w:tcW w:w="1160" w:type="dxa"/>
            <w:vAlign w:val="bottom"/>
          </w:tcPr>
          <w:p>
            <w:pPr>
              <w:jc w:val="center"/>
              <w:ind w:right="80"/>
              <w:spacing w:after="0" w:line="178" w:lineRule="exact"/>
              <w:rPr>
                <w:sz w:val="20"/>
                <w:szCs w:val="20"/>
                <w:color w:val="auto"/>
              </w:rPr>
            </w:pPr>
            <w:r>
              <w:rPr>
                <w:rFonts w:ascii="Arial" w:cs="Arial" w:eastAsia="Arial" w:hAnsi="Arial"/>
                <w:sz w:val="20"/>
                <w:szCs w:val="20"/>
                <w:color w:val="auto"/>
                <w:w w:val="91"/>
              </w:rPr>
              <w:t>February 1,</w:t>
            </w:r>
          </w:p>
        </w:tc>
      </w:tr>
      <w:tr>
        <w:trPr>
          <w:trHeight w:val="237"/>
        </w:trPr>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color w:val="auto"/>
                <w:w w:val="98"/>
              </w:rPr>
              <w:t>In millions</w:t>
            </w:r>
          </w:p>
        </w:tc>
        <w:tc>
          <w:tcPr>
            <w:tcW w:w="17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65"/>
        </w:trPr>
        <w:tc>
          <w:tcPr>
            <w:tcW w:w="2680" w:type="dxa"/>
            <w:vAlign w:val="bottom"/>
            <w:tcBorders>
              <w:bottom w:val="single" w:sz="8" w:color="auto"/>
            </w:tcBorders>
            <w:gridSpan w:val="2"/>
            <w:shd w:val="clear" w:color="auto" w:fill="E4E4E4"/>
          </w:tcPr>
          <w:p>
            <w:pPr>
              <w:ind w:left="180"/>
              <w:spacing w:after="0"/>
              <w:rPr>
                <w:sz w:val="20"/>
                <w:szCs w:val="20"/>
                <w:color w:val="auto"/>
              </w:rPr>
            </w:pPr>
            <w:r>
              <w:rPr>
                <w:rFonts w:ascii="Arial" w:cs="Arial" w:eastAsia="Arial" w:hAnsi="Arial"/>
                <w:sz w:val="20"/>
                <w:szCs w:val="20"/>
                <w:color w:val="auto"/>
              </w:rPr>
              <w:t>eneral corporate expense</w:t>
            </w:r>
          </w:p>
        </w:tc>
        <w:tc>
          <w:tcPr>
            <w:tcW w:w="508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911</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73</w:t>
            </w:r>
          </w:p>
        </w:tc>
      </w:tr>
    </w:tbl>
    <w:p>
      <w:pPr>
        <w:spacing w:after="0" w:line="87" w:lineRule="exact"/>
        <w:rPr>
          <w:sz w:val="20"/>
          <w:szCs w:val="20"/>
          <w:color w:val="auto"/>
        </w:rPr>
      </w:pPr>
    </w:p>
    <w:p>
      <w:pPr>
        <w:ind w:right="40" w:firstLine="145"/>
        <w:spacing w:after="0" w:line="287" w:lineRule="auto"/>
        <w:rPr>
          <w:sz w:val="20"/>
          <w:szCs w:val="20"/>
          <w:color w:val="auto"/>
        </w:rPr>
      </w:pPr>
      <w:r>
        <w:rPr>
          <w:rFonts w:ascii="Arial" w:cs="Arial" w:eastAsia="Arial" w:hAnsi="Arial"/>
          <w:sz w:val="19"/>
          <w:szCs w:val="19"/>
          <w:color w:val="auto"/>
        </w:rPr>
        <w:t>eneral corporate expense for segment reporting purposes represents those costs not specifically related to the operations of our segments. eneral corporate expenses are primarily included in S A expenses. The mark-to-market adjustment of our fuel and inventory hedges is included in cost of sales, including buying and occupancy costs.</w:t>
      </w:r>
    </w:p>
    <w:p>
      <w:pPr>
        <w:spacing w:after="0" w:line="56" w:lineRule="exact"/>
        <w:rPr>
          <w:sz w:val="20"/>
          <w:szCs w:val="20"/>
          <w:color w:val="auto"/>
        </w:rPr>
      </w:pPr>
    </w:p>
    <w:p>
      <w:pPr>
        <w:ind w:right="180"/>
        <w:spacing w:after="0" w:line="266" w:lineRule="auto"/>
        <w:rPr>
          <w:sz w:val="20"/>
          <w:szCs w:val="20"/>
          <w:color w:val="auto"/>
        </w:rPr>
      </w:pPr>
      <w:r>
        <w:rPr>
          <w:rFonts w:ascii="Arial" w:cs="Arial" w:eastAsia="Arial" w:hAnsi="Arial"/>
          <w:sz w:val="20"/>
          <w:szCs w:val="20"/>
          <w:color w:val="auto"/>
        </w:rPr>
        <w:t>The increase in general corporate expense for fiscal 2026 was primarily driven by higher administrative costs, the unfavorable year-over-year impacts related to the mark-to-market adjustments on inventory hedges, expenses related to the credit card interchange fees litigation settlement and contributions to our charitable foundations.</w:t>
      </w:r>
    </w:p>
    <w:p>
      <w:pPr>
        <w:sectPr>
          <w:pgSz w:w="12240" w:h="15841" w:orient="portrait"/>
          <w:cols w:equalWidth="0" w:num="1">
            <w:col w:w="10260"/>
          </w:cols>
          <w:pgMar w:left="1000" w:top="777"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ectPr>
          <w:pgSz w:w="12240" w:h="15841" w:orient="portrait"/>
          <w:cols w:equalWidth="0" w:num="1">
            <w:col w:w="10260"/>
          </w:cols>
          <w:pgMar w:left="1000" w:top="777" w:right="981" w:bottom="0" w:gutter="0" w:footer="0" w:header="0"/>
          <w:type w:val="continuous"/>
        </w:sectPr>
      </w:pPr>
    </w:p>
    <w:bookmarkStart w:id="44" w:name="page45"/>
    <w:bookmarkEnd w:id="44"/>
    <w:p>
      <w:pPr>
        <w:ind w:left="140"/>
        <w:spacing w:after="0"/>
        <w:tabs>
          <w:tab w:leader="none" w:pos="760" w:val="left"/>
          <w:tab w:leader="none" w:pos="28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w:t>
      </w:r>
      <w:r>
        <w:rPr>
          <w:sz w:val="20"/>
          <w:szCs w:val="20"/>
          <w:color w:val="auto"/>
        </w:rPr>
        <w:tab/>
      </w:r>
      <w:r>
        <w:rPr>
          <w:rFonts w:ascii="Arial" w:cs="Arial" w:eastAsia="Arial" w:hAnsi="Arial"/>
          <w:sz w:val="22"/>
          <w:szCs w:val="22"/>
          <w:color w:val="auto"/>
        </w:rPr>
        <w:t>SIS OF FIN  NCI</w:t>
        <w:tab/>
        <w:t>CON  I ION</w:t>
      </w:r>
    </w:p>
    <w:p>
      <w:pPr>
        <w:spacing w:after="0" w:line="130"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i w:val="1"/>
          <w:iCs w:val="1"/>
          <w:color w:val="auto"/>
        </w:rPr>
        <w:t>Li uidit  and Ca ital</w:t>
      </w:r>
      <w:r>
        <w:rPr>
          <w:sz w:val="20"/>
          <w:szCs w:val="20"/>
          <w:color w:val="auto"/>
        </w:rPr>
        <w:tab/>
      </w:r>
      <w:r>
        <w:rPr>
          <w:rFonts w:ascii="Arial" w:cs="Arial" w:eastAsia="Arial" w:hAnsi="Arial"/>
          <w:sz w:val="19"/>
          <w:szCs w:val="19"/>
          <w:i w:val="1"/>
          <w:iCs w:val="1"/>
          <w:color w:val="auto"/>
        </w:rPr>
        <w:t>esources</w:t>
      </w:r>
    </w:p>
    <w:p>
      <w:pPr>
        <w:spacing w:after="0" w:line="147" w:lineRule="exact"/>
        <w:rPr>
          <w:sz w:val="20"/>
          <w:szCs w:val="20"/>
          <w:color w:val="auto"/>
        </w:rPr>
      </w:pPr>
    </w:p>
    <w:p>
      <w:pPr>
        <w:ind w:right="40" w:firstLine="145"/>
        <w:spacing w:after="0" w:line="278" w:lineRule="auto"/>
        <w:rPr>
          <w:sz w:val="20"/>
          <w:szCs w:val="20"/>
          <w:color w:val="auto"/>
        </w:rPr>
      </w:pPr>
      <w:r>
        <w:rPr>
          <w:rFonts w:ascii="Arial" w:cs="Arial" w:eastAsia="Arial" w:hAnsi="Arial"/>
          <w:sz w:val="18"/>
          <w:szCs w:val="18"/>
          <w:color w:val="auto"/>
        </w:rPr>
        <w:t>ur li uidity re uirements have traditionally been funded through cash generated from operations, supplemented, as needed, by short-term bank borrowings and the issuance of commercial paper. As of January 31, 2026, there were no short-term bank borrowings or commercial paper outstanding. e believe our existing cash and cash e uivalents, internally generated funds and our credit facilities, under which facilities we have $1.5 billion available as of the period ended January 31, 2026, are ade uate to meet our operating needs for the foreseeable future. ur 2.25 ten-year Notes due September 2026 will mature during our third uarter of fiscal 2027 and are included within our current maturities of long-term debt. For further information, see Note J</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Long-Term Debt and Credit Lines of Notes to Consolidated Financial Statements.</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As of January 31, 2026, we held $6.2 billion in cash. Approximately $2 billion of our cash was held by our foreign subsidiaries with $1.5 billion held in countries where we have indefinitely reinvested the undistributed earnings and are evaluating this assertion with regard to future earnings of certain foreign subsidiaries. e have provided for and recorded a deferred tax liability for all applicable taxes on undistributed earnings of our foreign subsidiaries that are not indefinitely reinvested through January 31, 2026. If we repatriate cash from such subsidiaries, we should not incur additional tax expense and our cash would be reduced by the amount of withholding taxes paid.</w:t>
      </w:r>
    </w:p>
    <w:p>
      <w:pPr>
        <w:spacing w:after="0" w:line="188" w:lineRule="exact"/>
        <w:rPr>
          <w:sz w:val="20"/>
          <w:szCs w:val="20"/>
          <w:color w:val="auto"/>
        </w:rPr>
      </w:pPr>
    </w:p>
    <w:p>
      <w:pPr>
        <w:ind w:right="20" w:firstLine="189"/>
        <w:spacing w:after="0" w:line="271" w:lineRule="auto"/>
        <w:rPr>
          <w:sz w:val="20"/>
          <w:szCs w:val="20"/>
          <w:color w:val="auto"/>
        </w:rPr>
      </w:pPr>
      <w:r>
        <w:rPr>
          <w:rFonts w:ascii="Arial" w:cs="Arial" w:eastAsia="Arial" w:hAnsi="Arial"/>
          <w:sz w:val="19"/>
          <w:szCs w:val="19"/>
          <w:color w:val="auto"/>
        </w:rPr>
        <w:t>e monitor debt financing markets on an ongoing basis and from time to time may incur additional long-term indebtedness depending on prevailing market conditions, li uidity re uirements, existing economic conditions and other factors. Periodically, we have used, and in the future we may again use, operating cash flow and cash on hand to repay portions of our indebtedness, depending on prevailing market conditions, li uidity re uirements, existing economic conditions, contractual restrictions and other factors. As such, we may, from time to time, seek to retire, redeem, prepay or purchase our outstanding debt through redemptions, cash purchases, prepayments, refinancings and or exchanges, in open market purchases, privately negotiated transactions, by tender offer or otherwise.</w:t>
      </w:r>
    </w:p>
    <w:p>
      <w:pPr>
        <w:spacing w:after="0" w:line="63"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22"/>
          <w:szCs w:val="22"/>
          <w:i w:val="1"/>
          <w:iCs w:val="1"/>
          <w:color w:val="auto"/>
        </w:rPr>
        <w:t>perating</w:t>
      </w:r>
      <w:r>
        <w:rPr>
          <w:sz w:val="20"/>
          <w:szCs w:val="20"/>
          <w:color w:val="auto"/>
        </w:rPr>
        <w:tab/>
      </w:r>
      <w:r>
        <w:rPr>
          <w:rFonts w:ascii="Arial" w:cs="Arial" w:eastAsia="Arial" w:hAnsi="Arial"/>
          <w:sz w:val="20"/>
          <w:szCs w:val="20"/>
          <w:i w:val="1"/>
          <w:iCs w:val="1"/>
          <w:color w:val="auto"/>
        </w:rPr>
        <w:t>ctivities</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Net cash provided by operating activities was $6. billion in fiscal 2026 and $6.1 billion in fiscal 2025. ur operating cash flows increased by $758 million compared to fiscal 2025 primarily due to an increase in net income and an increase in accrued expenses reflecting higher incentive compensation costs. This was partially offset by an increase in merchandise inventories net of accounts payable.</w:t>
      </w:r>
    </w:p>
    <w:p>
      <w:pPr>
        <w:spacing w:after="0" w:line="7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22"/>
          <w:szCs w:val="22"/>
          <w:i w:val="1"/>
          <w:iCs w:val="1"/>
          <w:color w:val="auto"/>
        </w:rPr>
        <w:t>nvesting</w:t>
      </w:r>
      <w:r>
        <w:rPr>
          <w:sz w:val="20"/>
          <w:szCs w:val="20"/>
          <w:color w:val="auto"/>
        </w:rPr>
        <w:tab/>
      </w:r>
      <w:r>
        <w:rPr>
          <w:rFonts w:ascii="Arial" w:cs="Arial" w:eastAsia="Arial" w:hAnsi="Arial"/>
          <w:sz w:val="21"/>
          <w:szCs w:val="21"/>
          <w:i w:val="1"/>
          <w:iCs w:val="1"/>
          <w:color w:val="auto"/>
        </w:rPr>
        <w:t>ctivities</w:t>
      </w:r>
    </w:p>
    <w:p>
      <w:pPr>
        <w:spacing w:after="0" w:line="141" w:lineRule="exact"/>
        <w:rPr>
          <w:sz w:val="20"/>
          <w:szCs w:val="20"/>
          <w:color w:val="auto"/>
        </w:rPr>
      </w:pPr>
    </w:p>
    <w:p>
      <w:pPr>
        <w:jc w:val="both"/>
        <w:ind w:right="220"/>
        <w:spacing w:after="0" w:line="309" w:lineRule="auto"/>
        <w:rPr>
          <w:sz w:val="20"/>
          <w:szCs w:val="20"/>
          <w:color w:val="auto"/>
        </w:rPr>
      </w:pPr>
      <w:r>
        <w:rPr>
          <w:rFonts w:ascii="Arial" w:cs="Arial" w:eastAsia="Arial" w:hAnsi="Arial"/>
          <w:sz w:val="18"/>
          <w:szCs w:val="18"/>
          <w:color w:val="auto"/>
        </w:rPr>
        <w:t>Investing activities resulted in net cash outflows of $2 billion in fiscal 2026 and $2.5 billion in fiscal 2025. The cash outflows for both periods were primarily driven by capital expenditures. In addition, fiscal 2025 cash outflows include the purchase of our e uity method investments related to our joint venture with rupo Axo and a minority ownership position in BFL.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include capital expenditures for the last two fiscal years as set forth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208"/>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line="207" w:lineRule="exact"/>
              <w:rPr>
                <w:sz w:val="20"/>
                <w:szCs w:val="20"/>
                <w:color w:val="auto"/>
              </w:rPr>
            </w:pPr>
            <w:r>
              <w:rPr>
                <w:rFonts w:ascii="Arial" w:cs="Arial" w:eastAsia="Arial" w:hAnsi="Arial"/>
                <w:sz w:val="20"/>
                <w:szCs w:val="20"/>
                <w:color w:val="auto"/>
                <w:w w:val="95"/>
              </w:rPr>
              <w:t>January 31,</w:t>
            </w:r>
          </w:p>
        </w:tc>
        <w:tc>
          <w:tcPr>
            <w:tcW w:w="180" w:type="dxa"/>
            <w:vAlign w:val="bottom"/>
          </w:tcPr>
          <w:p>
            <w:pPr>
              <w:spacing w:after="0"/>
              <w:rPr>
                <w:sz w:val="18"/>
                <w:szCs w:val="18"/>
                <w:color w:val="auto"/>
              </w:rPr>
            </w:pPr>
          </w:p>
        </w:tc>
        <w:tc>
          <w:tcPr>
            <w:tcW w:w="1160" w:type="dxa"/>
            <w:vAlign w:val="bottom"/>
          </w:tcPr>
          <w:p>
            <w:pPr>
              <w:jc w:val="right"/>
              <w:ind w:right="100"/>
              <w:spacing w:after="0" w:line="207" w:lineRule="exact"/>
              <w:rPr>
                <w:sz w:val="20"/>
                <w:szCs w:val="20"/>
                <w:color w:val="auto"/>
              </w:rPr>
            </w:pPr>
            <w:r>
              <w:rPr>
                <w:rFonts w:ascii="Arial" w:cs="Arial" w:eastAsia="Arial" w:hAnsi="Arial"/>
                <w:sz w:val="20"/>
                <w:szCs w:val="20"/>
                <w:color w:val="auto"/>
                <w:w w:val="91"/>
              </w:rPr>
              <w:t>February 1,</w:t>
            </w:r>
          </w:p>
        </w:tc>
      </w:tr>
      <w:tr>
        <w:trPr>
          <w:trHeight w:val="267"/>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7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New stores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185</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176</w:t>
            </w:r>
          </w:p>
        </w:tc>
      </w:tr>
      <w:tr>
        <w:trPr>
          <w:trHeight w:val="297"/>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Store renovations and improvements</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921</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788</w:t>
            </w:r>
          </w:p>
        </w:tc>
      </w:tr>
      <w:tr>
        <w:trPr>
          <w:trHeight w:val="293"/>
        </w:trPr>
        <w:tc>
          <w:tcPr>
            <w:tcW w:w="7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ffice and distribution centers</w:t>
            </w:r>
          </w:p>
        </w:tc>
        <w:tc>
          <w:tcPr>
            <w:tcW w:w="1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851</w:t>
            </w: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54</w:t>
            </w:r>
          </w:p>
        </w:tc>
      </w:tr>
      <w:tr>
        <w:trPr>
          <w:trHeight w:val="280"/>
        </w:trPr>
        <w:tc>
          <w:tcPr>
            <w:tcW w:w="7620" w:type="dxa"/>
            <w:vAlign w:val="bottom"/>
            <w:tcBorders>
              <w:bottom w:val="single" w:sz="8" w:color="auto"/>
            </w:tcBorders>
            <w:shd w:val="clear" w:color="auto" w:fill="FEFEFE"/>
          </w:tcPr>
          <w:p>
            <w:pPr>
              <w:ind w:left="220"/>
              <w:spacing w:after="0"/>
              <w:rPr>
                <w:sz w:val="20"/>
                <w:szCs w:val="20"/>
                <w:color w:val="auto"/>
              </w:rPr>
            </w:pPr>
            <w:r>
              <w:rPr>
                <w:rFonts w:ascii="Arial" w:cs="Arial" w:eastAsia="Arial" w:hAnsi="Arial"/>
                <w:sz w:val="20"/>
                <w:szCs w:val="20"/>
                <w:color w:val="auto"/>
              </w:rPr>
              <w:t>Total capital expenditures</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1,957</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1, 18</w:t>
            </w:r>
          </w:p>
        </w:tc>
      </w:tr>
    </w:tbl>
    <w:p>
      <w:pPr>
        <w:spacing w:after="0" w:line="87" w:lineRule="exact"/>
        <w:rPr>
          <w:sz w:val="20"/>
          <w:szCs w:val="20"/>
          <w:color w:val="auto"/>
        </w:rPr>
      </w:pPr>
    </w:p>
    <w:p>
      <w:pPr>
        <w:ind w:right="280" w:firstLine="189"/>
        <w:spacing w:after="0" w:line="279" w:lineRule="auto"/>
        <w:rPr>
          <w:sz w:val="20"/>
          <w:szCs w:val="20"/>
          <w:color w:val="auto"/>
        </w:rPr>
      </w:pPr>
      <w:r>
        <w:rPr>
          <w:rFonts w:ascii="Arial" w:cs="Arial" w:eastAsia="Arial" w:hAnsi="Arial"/>
          <w:sz w:val="19"/>
          <w:szCs w:val="19"/>
          <w:color w:val="auto"/>
        </w:rPr>
        <w:t xml:space="preserve">e expect our capital expenditures in fiscal 2027 will be in the range of approximately $2.2 billion to $2.3 billion to support growth, </w:t>
      </w:r>
      <w:r>
        <w:rPr>
          <w:rFonts w:ascii="Arial" w:cs="Arial" w:eastAsia="Arial" w:hAnsi="Arial"/>
          <w:sz w:val="19"/>
          <w:szCs w:val="19"/>
          <w:color w:val="auto"/>
          <w:highlight w:val="white"/>
        </w:rPr>
        <w:t>including</w:t>
      </w:r>
      <w:r>
        <w:rPr>
          <w:rFonts w:ascii="Arial" w:cs="Arial" w:eastAsia="Arial" w:hAnsi="Arial"/>
          <w:sz w:val="19"/>
          <w:szCs w:val="19"/>
          <w:color w:val="auto"/>
        </w:rPr>
        <w:t xml:space="preserve"> approximately $1 billion for store renovations, approximately</w:t>
      </w:r>
      <w:r>
        <w:rPr>
          <w:sz w:val="1"/>
          <w:szCs w:val="1"/>
          <w:color w:val="auto"/>
        </w:rPr>
        <w:drawing>
          <wp:inline distT="0" distB="0" distL="0" distR="0">
            <wp:extent cx="31750" cy="1123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750" cy="112395"/>
                    </a:xfrm>
                    <a:prstGeom prst="rect">
                      <a:avLst/>
                    </a:prstGeom>
                    <a:noFill/>
                    <a:ln>
                      <a:noFill/>
                    </a:ln>
                  </pic:spPr>
                </pic:pic>
              </a:graphicData>
            </a:graphic>
          </wp:inline>
        </w:drawing>
      </w:r>
      <w:r>
        <w:rPr>
          <w:rFonts w:ascii="Arial" w:cs="Arial" w:eastAsia="Arial" w:hAnsi="Arial"/>
          <w:sz w:val="19"/>
          <w:szCs w:val="19"/>
          <w:color w:val="auto"/>
        </w:rPr>
        <w:t xml:space="preserve">$ 2 million for our offices and distribution centers (including information technology systems) and approximately $222 million </w:t>
      </w:r>
      <w:r>
        <w:rPr>
          <w:rFonts w:ascii="Arial" w:cs="Arial" w:eastAsia="Arial" w:hAnsi="Arial"/>
          <w:sz w:val="19"/>
          <w:szCs w:val="19"/>
          <w:color w:val="auto"/>
          <w:highlight w:val="white"/>
        </w:rPr>
        <w:t>for new stores. e plan to fund these</w:t>
      </w:r>
      <w:r>
        <w:rPr>
          <w:rFonts w:ascii="Arial" w:cs="Arial" w:eastAsia="Arial" w:hAnsi="Arial"/>
          <w:sz w:val="19"/>
          <w:szCs w:val="19"/>
          <w:color w:val="auto"/>
        </w:rPr>
        <w:t xml:space="preserve"> </w:t>
      </w:r>
      <w:r>
        <w:rPr>
          <w:rFonts w:ascii="Arial" w:cs="Arial" w:eastAsia="Arial" w:hAnsi="Arial"/>
          <w:sz w:val="19"/>
          <w:szCs w:val="19"/>
          <w:color w:val="auto"/>
          <w:highlight w:val="white"/>
        </w:rPr>
        <w:t>expenditures with our existing cash balances and through internally generated funds.</w:t>
      </w:r>
    </w:p>
    <w:p>
      <w:pPr>
        <w:spacing w:after="0" w:line="54"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22"/>
          <w:szCs w:val="22"/>
          <w:i w:val="1"/>
          <w:iCs w:val="1"/>
          <w:color w:val="auto"/>
        </w:rPr>
        <w:t>inancing</w:t>
      </w:r>
      <w:r>
        <w:rPr>
          <w:sz w:val="20"/>
          <w:szCs w:val="20"/>
          <w:color w:val="auto"/>
        </w:rPr>
        <w:tab/>
      </w:r>
      <w:r>
        <w:rPr>
          <w:rFonts w:ascii="Arial" w:cs="Arial" w:eastAsia="Arial" w:hAnsi="Arial"/>
          <w:sz w:val="20"/>
          <w:szCs w:val="20"/>
          <w:i w:val="1"/>
          <w:iCs w:val="1"/>
          <w:color w:val="auto"/>
        </w:rPr>
        <w:t>ctivities</w:t>
      </w:r>
    </w:p>
    <w:p>
      <w:pPr>
        <w:spacing w:after="0" w:line="141" w:lineRule="exact"/>
        <w:rPr>
          <w:sz w:val="20"/>
          <w:szCs w:val="20"/>
          <w:color w:val="auto"/>
        </w:rPr>
      </w:pPr>
    </w:p>
    <w:p>
      <w:pPr>
        <w:ind w:right="220"/>
        <w:spacing w:after="0" w:line="266" w:lineRule="auto"/>
        <w:rPr>
          <w:sz w:val="20"/>
          <w:szCs w:val="20"/>
          <w:color w:val="auto"/>
        </w:rPr>
      </w:pPr>
      <w:r>
        <w:rPr>
          <w:rFonts w:ascii="Arial" w:cs="Arial" w:eastAsia="Arial" w:hAnsi="Arial"/>
          <w:sz w:val="20"/>
          <w:szCs w:val="20"/>
          <w:color w:val="auto"/>
        </w:rPr>
        <w:t>Net cash used in financing activities resulted in net cash outflows of $4.1 billion in fiscal 2026 compared to net cash outflows of $3.8 billion in fiscal 2025. The cash outflows for both periods were primarily driven by e uity repurchases and dividend payments.</w:t>
      </w:r>
    </w:p>
    <w:p>
      <w:pPr>
        <w:sectPr>
          <w:pgSz w:w="12240" w:h="15841" w:orient="portrait"/>
          <w:cols w:equalWidth="0" w:num="1">
            <w:col w:w="10260"/>
          </w:cols>
          <w:pgMar w:left="1000" w:top="77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ectPr>
          <w:pgSz w:w="12240" w:h="15841" w:orient="portrait"/>
          <w:cols w:equalWidth="0" w:num="1">
            <w:col w:w="10260"/>
          </w:cols>
          <w:pgMar w:left="1000" w:top="778" w:right="981" w:bottom="0" w:gutter="0" w:footer="0" w:header="0"/>
          <w:type w:val="continuous"/>
        </w:sectPr>
      </w:pPr>
    </w:p>
    <w:bookmarkStart w:id="45" w:name="page46"/>
    <w:bookmarkEnd w:id="45"/>
    <w:p>
      <w:pPr>
        <w:ind w:left="220"/>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uit</w:t>
      </w:r>
    </w:p>
    <w:p>
      <w:pPr>
        <w:spacing w:after="0" w:line="133" w:lineRule="exact"/>
        <w:rPr>
          <w:sz w:val="20"/>
          <w:szCs w:val="20"/>
          <w:color w:val="auto"/>
        </w:rPr>
      </w:pPr>
    </w:p>
    <w:p>
      <w:pPr>
        <w:ind w:right="420" w:firstLine="145"/>
        <w:spacing w:after="0" w:line="283" w:lineRule="auto"/>
        <w:rPr>
          <w:sz w:val="20"/>
          <w:szCs w:val="20"/>
          <w:color w:val="auto"/>
        </w:rPr>
      </w:pPr>
      <w:r>
        <w:rPr>
          <w:rFonts w:ascii="Arial" w:cs="Arial" w:eastAsia="Arial" w:hAnsi="Arial"/>
          <w:sz w:val="20"/>
          <w:szCs w:val="20"/>
          <w:color w:val="auto"/>
        </w:rPr>
        <w:t>nder our stock repurchase program, we paid $2.5 billion to repurchase and retire 18.5 million shares of our stock in fiscal 2026. e paid $2.5 billion to repurchase and retire 22.3 million shares of our stock in fiscal 2025.</w:t>
      </w:r>
    </w:p>
    <w:p>
      <w:pPr>
        <w:spacing w:after="0" w:line="58"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color w:val="auto"/>
        </w:rPr>
        <w:t>In February 2026, we announced that in January 2026 our Board of Directors had approved a new stock repurchase program that authori es the repurchase of up to an additional $3 billion of our common stock from time to time. e currently plan to repurchase approximately $2.5 billion to $2.75 billion of stock under our stock repurchase programs in fiscal 2027. e determine the timing and amount of repurchases based on our assessment of various factors including excess cash flow,</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 uidity, economic and market conditions, our assessment of prospects for our business, legal re uirements, and other factors. The timing and amount of these purchases may change. As of January 31, 2026, approximately $4.1 billion remained available under our existing stock repurchase programs. For further information regarding e uity repurchases, see Note D Capital Stock and Earnings Per Share of 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33" w:lineRule="exact"/>
        <w:rPr>
          <w:sz w:val="20"/>
          <w:szCs w:val="20"/>
          <w:color w:val="auto"/>
        </w:rPr>
      </w:pPr>
    </w:p>
    <w:p>
      <w:pPr>
        <w:jc w:val="both"/>
        <w:ind w:firstLine="189"/>
        <w:spacing w:after="0" w:line="278" w:lineRule="auto"/>
        <w:rPr>
          <w:sz w:val="20"/>
          <w:szCs w:val="20"/>
          <w:color w:val="auto"/>
        </w:rPr>
      </w:pPr>
      <w:r>
        <w:rPr>
          <w:rFonts w:ascii="Arial" w:cs="Arial" w:eastAsia="Arial" w:hAnsi="Arial"/>
          <w:sz w:val="18"/>
          <w:szCs w:val="18"/>
          <w:color w:val="auto"/>
        </w:rPr>
        <w:t>e declared uarterly dividends on our common stock which totaled $1.70 per share in fiscal 2026 and $1.50 per share in fiscal 2025. Cash payments for dividends on our common stock totaled $1.8 billion for fiscal 2026 and $1.6 billion for fiscal 2025.</w:t>
      </w:r>
    </w:p>
    <w:p>
      <w:pPr>
        <w:jc w:val="both"/>
        <w:ind w:right="60" w:firstLine="189"/>
        <w:spacing w:after="0" w:line="266" w:lineRule="auto"/>
        <w:rPr>
          <w:sz w:val="20"/>
          <w:szCs w:val="20"/>
          <w:color w:val="auto"/>
        </w:rPr>
      </w:pPr>
      <w:r>
        <w:rPr>
          <w:rFonts w:ascii="Arial" w:cs="Arial" w:eastAsia="Arial" w:hAnsi="Arial"/>
          <w:sz w:val="20"/>
          <w:szCs w:val="20"/>
          <w:color w:val="auto"/>
        </w:rPr>
        <w:t>e expect to pay uarterly dividends for fiscal 2027 of $0.48 per share, or an annual dividend of $1. 2 per share, subject to the declaration and approval by our Board of Directors. This would represent a 13 increase over the per share dividends declared and paid in fiscal 2026.</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See the descriptions of our financing arrangements, commitments and contingencies, and contractual obligations outlined below and within the following Notes to Consolidated Financial Statements.</w:t>
      </w:r>
    </w:p>
    <w:p>
      <w:pPr>
        <w:spacing w:after="0" w:line="58" w:lineRule="exact"/>
        <w:rPr>
          <w:sz w:val="20"/>
          <w:szCs w:val="20"/>
          <w:color w:val="auto"/>
        </w:rPr>
      </w:pPr>
    </w:p>
    <w:p>
      <w:pPr>
        <w:ind w:left="720" w:right="340"/>
        <w:spacing w:after="0" w:line="283" w:lineRule="auto"/>
        <w:rPr>
          <w:sz w:val="20"/>
          <w:szCs w:val="20"/>
          <w:color w:val="auto"/>
        </w:rPr>
      </w:pPr>
      <w:r>
        <w:rPr>
          <w:rFonts w:ascii="Arial" w:cs="Arial" w:eastAsia="Arial" w:hAnsi="Arial"/>
          <w:sz w:val="20"/>
          <w:szCs w:val="20"/>
          <w:color w:val="auto"/>
        </w:rPr>
        <w:t>See Note J Long-Term Debt and Credit Lines of Notes to Consolidated Financial Statements for future payments under long-term debt arrangements (including current installments).</w:t>
      </w:r>
    </w:p>
    <w:p>
      <w:pPr>
        <w:spacing w:after="0" w:line="28" w:lineRule="exact"/>
        <w:rPr>
          <w:sz w:val="20"/>
          <w:szCs w:val="20"/>
          <w:color w:val="auto"/>
        </w:rPr>
      </w:pPr>
    </w:p>
    <w:p>
      <w:pPr>
        <w:ind w:left="720"/>
        <w:spacing w:after="0" w:line="257" w:lineRule="auto"/>
        <w:rPr>
          <w:sz w:val="20"/>
          <w:szCs w:val="20"/>
          <w:color w:val="auto"/>
        </w:rPr>
      </w:pPr>
      <w:r>
        <w:rPr>
          <w:rFonts w:ascii="Arial" w:cs="Arial" w:eastAsia="Arial" w:hAnsi="Arial"/>
          <w:sz w:val="20"/>
          <w:szCs w:val="20"/>
          <w:color w:val="auto"/>
        </w:rPr>
        <w:t>See Note L Leases of Notes to Consolidated Financial Statements. perating lease liabilities exclude legally binding minimum lease payments for approximately 180 leases signed but not yet commenced and include options to extend lease terms that are now deemed reasonably certain of being exercised according to our Lease Accounting Policy. The balances do not include variable costs for insurance, real estate taxes, other operating expenses and, in some cases, rent payments based on a percentage of sales these items totaled approximately one-third of the total minimum rent for fiscal 2026.</w:t>
      </w:r>
    </w:p>
    <w:p>
      <w:pPr>
        <w:spacing w:after="0" w:line="52" w:lineRule="exact"/>
        <w:rPr>
          <w:sz w:val="20"/>
          <w:szCs w:val="20"/>
          <w:color w:val="auto"/>
        </w:rPr>
      </w:pPr>
    </w:p>
    <w:p>
      <w:pPr>
        <w:jc w:val="both"/>
        <w:ind w:left="720" w:right="340"/>
        <w:spacing w:after="0" w:line="309" w:lineRule="auto"/>
        <w:rPr>
          <w:sz w:val="20"/>
          <w:szCs w:val="20"/>
          <w:color w:val="auto"/>
        </w:rPr>
      </w:pPr>
      <w:r>
        <w:rPr>
          <w:rFonts w:ascii="Arial" w:cs="Arial" w:eastAsia="Arial" w:hAnsi="Arial"/>
          <w:sz w:val="18"/>
          <w:szCs w:val="18"/>
          <w:color w:val="auto"/>
        </w:rPr>
        <w:t>See Note Accrued Expenses and ther Liabilities, Current and Long-Term of Notes to Consolidated Financial Statements for long-term liabilities for which it is not reasonably possible for us to predict when they may be paid, which includes $835 million for employee compensation and benefits and $22 million for uncertain tax positions.</w:t>
      </w:r>
    </w:p>
    <w:p>
      <w:pPr>
        <w:spacing w:after="0" w:line="11" w:lineRule="exact"/>
        <w:rPr>
          <w:sz w:val="20"/>
          <w:szCs w:val="20"/>
          <w:color w:val="auto"/>
        </w:rPr>
      </w:pPr>
    </w:p>
    <w:p>
      <w:pPr>
        <w:ind w:left="720" w:right="200" w:firstLine="189"/>
        <w:spacing w:after="0" w:line="359" w:lineRule="auto"/>
        <w:rPr>
          <w:sz w:val="20"/>
          <w:szCs w:val="20"/>
          <w:color w:val="auto"/>
        </w:rPr>
      </w:pPr>
      <w:r>
        <w:rPr>
          <w:rFonts w:ascii="Arial" w:cs="Arial" w:eastAsia="Arial" w:hAnsi="Arial"/>
          <w:sz w:val="17"/>
          <w:szCs w:val="17"/>
          <w:color w:val="auto"/>
        </w:rPr>
        <w:t>e also have non-cancellable purchase obligations under purchase orders for merchandise and under agreements for capital items, products and services used in our business, including executive employment and other agreements.</w:t>
      </w:r>
    </w:p>
    <w:p>
      <w:pPr>
        <w:spacing w:after="0" w:line="1" w:lineRule="exact"/>
        <w:rPr>
          <w:sz w:val="20"/>
          <w:szCs w:val="20"/>
          <w:color w:val="auto"/>
        </w:rPr>
      </w:pPr>
    </w:p>
    <w:p>
      <w:pPr>
        <w:spacing w:after="0"/>
        <w:tabs>
          <w:tab w:leader="none" w:pos="1280" w:val="left"/>
          <w:tab w:leader="none" w:pos="2860" w:val="left"/>
          <w:tab w:leader="none" w:pos="3860" w:val="left"/>
        </w:tabs>
        <w:rPr>
          <w:sz w:val="20"/>
          <w:szCs w:val="20"/>
          <w:color w:val="auto"/>
        </w:rPr>
      </w:pPr>
      <w:r>
        <w:rPr>
          <w:rFonts w:ascii="Arial" w:cs="Arial" w:eastAsia="Arial" w:hAnsi="Arial"/>
          <w:sz w:val="22"/>
          <w:szCs w:val="22"/>
          <w:color w:val="auto"/>
        </w:rPr>
        <w:t>C  I IC</w:t>
      </w:r>
      <w:r>
        <w:rPr>
          <w:sz w:val="20"/>
          <w:szCs w:val="20"/>
          <w:color w:val="auto"/>
        </w:rPr>
        <w:tab/>
      </w:r>
      <w:r>
        <w:rPr>
          <w:rFonts w:ascii="Arial" w:cs="Arial" w:eastAsia="Arial" w:hAnsi="Arial"/>
          <w:sz w:val="22"/>
          <w:szCs w:val="22"/>
          <w:color w:val="auto"/>
        </w:rPr>
        <w:t>CCO  N IN</w:t>
      </w:r>
      <w:r>
        <w:rPr>
          <w:sz w:val="20"/>
          <w:szCs w:val="20"/>
          <w:color w:val="auto"/>
        </w:rPr>
        <w:tab/>
      </w:r>
      <w:r>
        <w:rPr>
          <w:rFonts w:ascii="Arial" w:cs="Arial" w:eastAsia="Arial" w:hAnsi="Arial"/>
          <w:sz w:val="22"/>
          <w:szCs w:val="22"/>
          <w:color w:val="auto"/>
        </w:rPr>
        <w:t>S I</w:t>
      </w:r>
      <w:r>
        <w:rPr>
          <w:sz w:val="20"/>
          <w:szCs w:val="20"/>
          <w:color w:val="auto"/>
        </w:rPr>
        <w:tab/>
      </w:r>
      <w:r>
        <w:rPr>
          <w:rFonts w:ascii="Arial" w:cs="Arial" w:eastAsia="Arial" w:hAnsi="Arial"/>
          <w:sz w:val="20"/>
          <w:szCs w:val="20"/>
          <w:color w:val="auto"/>
        </w:rPr>
        <w:t>S</w:t>
      </w:r>
    </w:p>
    <w:p>
      <w:pPr>
        <w:spacing w:after="0" w:line="145" w:lineRule="exact"/>
        <w:rPr>
          <w:sz w:val="20"/>
          <w:szCs w:val="20"/>
          <w:color w:val="auto"/>
        </w:rPr>
      </w:pPr>
    </w:p>
    <w:p>
      <w:pPr>
        <w:ind w:right="120" w:firstLine="189"/>
        <w:spacing w:after="0" w:line="279" w:lineRule="auto"/>
        <w:rPr>
          <w:sz w:val="20"/>
          <w:szCs w:val="20"/>
          <w:color w:val="auto"/>
        </w:rPr>
      </w:pPr>
      <w:r>
        <w:rPr>
          <w:rFonts w:ascii="Arial" w:cs="Arial" w:eastAsia="Arial" w:hAnsi="Arial"/>
          <w:sz w:val="19"/>
          <w:szCs w:val="19"/>
          <w:color w:val="auto"/>
        </w:rPr>
        <w:t>e prepare our Consolidated Financial Statements in accordance with AAP which re uires us to make certain estimates and judgments that impact our reported results. These judgments and estimates are based on historical experience and other factors which we continually review and believe are reasonable. e consider our most critical accounting estimates, involving uncertainty re uiring management estimates and judgments, to be those relating to the areas described below.</w:t>
      </w:r>
    </w:p>
    <w:p>
      <w:pPr>
        <w:spacing w:after="0" w:line="49"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22"/>
          <w:szCs w:val="22"/>
          <w:i w:val="1"/>
          <w:iCs w:val="1"/>
          <w:color w:val="auto"/>
        </w:rPr>
        <w:t>n entor</w:t>
      </w:r>
      <w:r>
        <w:rPr>
          <w:sz w:val="20"/>
          <w:szCs w:val="20"/>
          <w:color w:val="auto"/>
        </w:rPr>
        <w:tab/>
      </w:r>
      <w:r>
        <w:rPr>
          <w:rFonts w:ascii="Arial" w:cs="Arial" w:eastAsia="Arial" w:hAnsi="Arial"/>
          <w:sz w:val="21"/>
          <w:szCs w:val="21"/>
          <w:i w:val="1"/>
          <w:iCs w:val="1"/>
          <w:color w:val="auto"/>
        </w:rPr>
        <w:t>aluation</w:t>
      </w:r>
    </w:p>
    <w:p>
      <w:pPr>
        <w:spacing w:after="0" w:line="146" w:lineRule="exact"/>
        <w:rPr>
          <w:sz w:val="20"/>
          <w:szCs w:val="20"/>
          <w:color w:val="auto"/>
        </w:rPr>
      </w:pPr>
    </w:p>
    <w:p>
      <w:pPr>
        <w:ind w:firstLine="189"/>
        <w:spacing w:after="0" w:line="285" w:lineRule="auto"/>
        <w:rPr>
          <w:sz w:val="20"/>
          <w:szCs w:val="20"/>
          <w:color w:val="auto"/>
        </w:rPr>
      </w:pPr>
      <w:r>
        <w:rPr>
          <w:rFonts w:ascii="Arial" w:cs="Arial" w:eastAsia="Arial" w:hAnsi="Arial"/>
          <w:sz w:val="18"/>
          <w:szCs w:val="18"/>
          <w:color w:val="auto"/>
        </w:rPr>
        <w:t>e use the retail method for valuing inventory for all our businesses except T axx in Australia. The businesses that utili e the retail method have some inventory that is initially valued at cost before the retail method is applied as it has not been fully processed for sale (i.e. inventory in transit and unprocessed inventory in our distribution centers). nder the retail method, the cost value of inventory and gross margins are determined by calculating a cost-to-retail ratio and applying it to the retail value of inventory. It involves management estimates with regard to markdowns and inventory shrinkage. nder the retail method, permanent markdowns are reflected in inventory valuation when the price of an item is reduced. e have a specific policy as to when and how markdowns are to be taken, greatly reducing management’s discretion and the need for management estimates as to markdowns. Inventory shrinkage re uires estimating a shrinkage rate for interim periods however, we take a full physical inventory near the fiscal year-end to determine shrinkage at year-end. e do not generally enter into arrangements with vendors that provide for rebates and allowances that could ultimately affect the value of inventory.</w:t>
      </w:r>
    </w:p>
    <w:p>
      <w:pPr>
        <w:sectPr>
          <w:pgSz w:w="12240" w:h="15841" w:orient="portrait"/>
          <w:cols w:equalWidth="0" w:num="1">
            <w:col w:w="10240"/>
          </w:cols>
          <w:pgMar w:left="1000" w:top="789"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2240" w:h="15841" w:orient="portrait"/>
          <w:cols w:equalWidth="0" w:num="1">
            <w:col w:w="10240"/>
          </w:cols>
          <w:pgMar w:left="1000" w:top="789" w:right="1001" w:bottom="0" w:gutter="0" w:footer="0" w:header="0"/>
          <w:type w:val="continuous"/>
        </w:sectPr>
      </w:pPr>
    </w:p>
    <w:bookmarkStart w:id="46" w:name="page47"/>
    <w:bookmarkEnd w:id="46"/>
    <w:p>
      <w:pPr>
        <w:ind w:left="140"/>
        <w:spacing w:after="0"/>
        <w:tabs>
          <w:tab w:leader="none" w:pos="1300" w:val="left"/>
          <w:tab w:leader="none" w:pos="2240" w:val="left"/>
          <w:tab w:leader="none" w:pos="266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eser es for</w:t>
        <w:tab/>
        <w:t>ncertain</w:t>
        <w:tab/>
        <w:t>a</w:t>
      </w:r>
      <w:r>
        <w:rPr>
          <w:sz w:val="20"/>
          <w:szCs w:val="20"/>
          <w:color w:val="auto"/>
        </w:rPr>
        <w:tab/>
      </w:r>
      <w:r>
        <w:rPr>
          <w:rFonts w:ascii="Arial" w:cs="Arial" w:eastAsia="Arial" w:hAnsi="Arial"/>
          <w:sz w:val="20"/>
          <w:szCs w:val="20"/>
          <w:i w:val="1"/>
          <w:iCs w:val="1"/>
          <w:color w:val="auto"/>
        </w:rPr>
        <w:t>ositions</w:t>
      </w:r>
    </w:p>
    <w:p>
      <w:pPr>
        <w:spacing w:after="0" w:line="146" w:lineRule="exact"/>
        <w:rPr>
          <w:sz w:val="20"/>
          <w:szCs w:val="20"/>
          <w:color w:val="auto"/>
        </w:rPr>
      </w:pPr>
    </w:p>
    <w:p>
      <w:pPr>
        <w:ind w:firstLine="145"/>
        <w:spacing w:after="0" w:line="268" w:lineRule="auto"/>
        <w:rPr>
          <w:sz w:val="20"/>
          <w:szCs w:val="20"/>
          <w:color w:val="auto"/>
        </w:rPr>
      </w:pPr>
      <w:r>
        <w:rPr>
          <w:rFonts w:ascii="Arial" w:cs="Arial" w:eastAsia="Arial" w:hAnsi="Arial"/>
          <w:sz w:val="19"/>
          <w:szCs w:val="19"/>
          <w:color w:val="auto"/>
        </w:rPr>
        <w:t>ur income and other tax returns and reports are regularly audited by federal, state and local tax authorities in the nited States and in foreign jurisdictions where we operate, and such authorities may challenge positions we take. e are engaged in various administrative and judicial proceedings in multiple jurisdictions with respect to assessments, claims, deficiencies and refunds and other tax matters, which proceedings are in various stages of negotiation, assessment, examination, litigation and settlement. The outcomes of these proceedings are uncertain. In accordance with AAP, we evaluate our uncertain tax positions based on our understanding of the facts, circumstances and information available at the reporting date, and we accrue for exposure when we believe that it is more likely than not, based on the technical merits, that the positions we have taken will not be sustained. e adjust our unrecogni ed tax liability or benefit and income tax expense in the period in which the uncertain tax position is effectively settled, the statute of limitations expires for the relevant taxing authority to examine the tax position, or when new information becomes available.</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Loss Contingencies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Certain conditions may exist as of the date the Consolidated Financial Statements are issued that may result in a loss to us but will not be resolved until one or more future events occur or fail to occur. ur management, with the assistance of our legal counsel, assesses such contingent liabilities. Such assessments inherently involve the exercise of judgment. In assessing loss contingencies related to legal proceedings that are pending against us or claims that may result in such proceedings, our legal counsel assists us in evaluating the perceived merits of any legal proceedings or claims as well as the perceived merits of the relief sought or expected to be sought therein.</w:t>
      </w:r>
    </w:p>
    <w:p>
      <w:pPr>
        <w:spacing w:after="0" w:line="8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If the assessment of a contingency indicates that it is probable that a material loss has been incurred and the amount of the liability can be reasonably estimated, we will accrue for the estimated liability in the Consolidated Financial Statements. If the assessment indicates that a potentially material loss contingency is not probable, but is reasonably possible, or is probable but cannot be reasonably estimated, we will disclose the nature of the contingent liability, together with an estimate of the range of the possible loss or a statement that such loss is not reasonably estimable.</w:t>
      </w:r>
    </w:p>
    <w:p>
      <w:pPr>
        <w:spacing w:after="0" w:line="54" w:lineRule="exact"/>
        <w:rPr>
          <w:sz w:val="20"/>
          <w:szCs w:val="20"/>
          <w:color w:val="auto"/>
        </w:rPr>
      </w:pPr>
    </w:p>
    <w:p>
      <w:pPr>
        <w:ind w:left="300"/>
        <w:spacing w:after="0"/>
        <w:tabs>
          <w:tab w:leader="none" w:pos="1240" w:val="left"/>
          <w:tab w:leader="none" w:pos="2260" w:val="left"/>
          <w:tab w:leader="none" w:pos="3980" w:val="left"/>
          <w:tab w:leader="none" w:pos="5460" w:val="left"/>
        </w:tabs>
        <w:rPr>
          <w:sz w:val="20"/>
          <w:szCs w:val="20"/>
          <w:color w:val="auto"/>
        </w:rPr>
      </w:pPr>
      <w:r>
        <w:rPr>
          <w:rFonts w:ascii="Arial" w:cs="Arial" w:eastAsia="Arial" w:hAnsi="Arial"/>
          <w:sz w:val="22"/>
          <w:szCs w:val="22"/>
          <w:color w:val="auto"/>
        </w:rPr>
        <w:t>C N</w:t>
      </w:r>
      <w:r>
        <w:rPr>
          <w:sz w:val="20"/>
          <w:szCs w:val="20"/>
          <w:color w:val="auto"/>
        </w:rPr>
        <w:tab/>
      </w:r>
      <w:r>
        <w:rPr>
          <w:rFonts w:ascii="Arial" w:cs="Arial" w:eastAsia="Arial" w:hAnsi="Arial"/>
          <w:sz w:val="22"/>
          <w:szCs w:val="22"/>
          <w:color w:val="auto"/>
        </w:rPr>
        <w:t>ISS</w:t>
      </w:r>
      <w:r>
        <w:rPr>
          <w:sz w:val="20"/>
          <w:szCs w:val="20"/>
          <w:color w:val="auto"/>
        </w:rPr>
        <w:tab/>
      </w:r>
      <w:r>
        <w:rPr>
          <w:rFonts w:ascii="Arial" w:cs="Arial" w:eastAsia="Arial" w:hAnsi="Arial"/>
          <w:sz w:val="22"/>
          <w:szCs w:val="22"/>
          <w:color w:val="auto"/>
        </w:rPr>
        <w:t>CCO  N IN</w:t>
      </w:r>
      <w:r>
        <w:rPr>
          <w:sz w:val="20"/>
          <w:szCs w:val="20"/>
          <w:color w:val="auto"/>
        </w:rPr>
        <w:tab/>
      </w:r>
      <w:r>
        <w:rPr>
          <w:rFonts w:ascii="Arial" w:cs="Arial" w:eastAsia="Arial" w:hAnsi="Arial"/>
          <w:sz w:val="22"/>
          <w:szCs w:val="22"/>
          <w:color w:val="auto"/>
        </w:rPr>
        <w:t>ONO  NC</w:t>
      </w:r>
      <w:r>
        <w:rPr>
          <w:sz w:val="20"/>
          <w:szCs w:val="20"/>
          <w:color w:val="auto"/>
        </w:rPr>
        <w:tab/>
      </w:r>
      <w:r>
        <w:rPr>
          <w:rFonts w:ascii="Arial" w:cs="Arial" w:eastAsia="Arial" w:hAnsi="Arial"/>
          <w:sz w:val="22"/>
          <w:szCs w:val="22"/>
          <w:color w:val="auto"/>
        </w:rPr>
        <w:t>N S</w:t>
      </w:r>
    </w:p>
    <w:p>
      <w:pPr>
        <w:spacing w:after="0" w:line="145" w:lineRule="exact"/>
        <w:rPr>
          <w:sz w:val="20"/>
          <w:szCs w:val="20"/>
          <w:color w:val="auto"/>
        </w:rPr>
      </w:pPr>
    </w:p>
    <w:p>
      <w:pPr>
        <w:ind w:right="380"/>
        <w:spacing w:after="0" w:line="299" w:lineRule="auto"/>
        <w:rPr>
          <w:sz w:val="20"/>
          <w:szCs w:val="20"/>
          <w:color w:val="auto"/>
        </w:rPr>
      </w:pPr>
      <w:r>
        <w:rPr>
          <w:rFonts w:ascii="Arial" w:cs="Arial" w:eastAsia="Arial" w:hAnsi="Arial"/>
          <w:sz w:val="18"/>
          <w:szCs w:val="18"/>
          <w:color w:val="auto"/>
        </w:rPr>
        <w:t>For a discussion of any new accounting pronouncements, see Note A Basis of Presentation and Summary of Accounting Policies of Notes to Consolidated Financial Statements included in this annual report on Form 10- , including the dates of adoption and estimated effects on our results of operations, financial position or cash flows. e do not expect any other recently issued accounting pronouncements will have a material effect on our Consolidated Financial Statements.</w:t>
      </w:r>
    </w:p>
    <w:p>
      <w:pPr>
        <w:spacing w:after="0" w:line="147" w:lineRule="exact"/>
        <w:rPr>
          <w:sz w:val="20"/>
          <w:szCs w:val="20"/>
          <w:color w:val="auto"/>
        </w:rPr>
      </w:pPr>
    </w:p>
    <w:p>
      <w:pPr>
        <w:spacing w:after="0"/>
        <w:tabs>
          <w:tab w:leader="none" w:pos="680" w:val="left"/>
          <w:tab w:leader="none" w:pos="1340" w:val="left"/>
          <w:tab w:leader="none" w:pos="3140" w:val="left"/>
          <w:tab w:leader="none" w:pos="4320" w:val="left"/>
          <w:tab w:leader="none" w:pos="6160" w:val="left"/>
          <w:tab w:leader="none" w:pos="694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7  .</w:t>
        <w:tab/>
        <w:t>uantitati e and</w:t>
        <w:tab/>
        <w:t>ualitati e</w:t>
        <w:tab/>
        <w:t>isclosure about</w:t>
        <w:tab/>
        <w:t>ar et</w:t>
      </w:r>
      <w:r>
        <w:rPr>
          <w:sz w:val="20"/>
          <w:szCs w:val="20"/>
          <w:color w:val="auto"/>
        </w:rPr>
        <w:tab/>
      </w:r>
      <w:r>
        <w:rPr>
          <w:rFonts w:ascii="Arial" w:cs="Arial" w:eastAsia="Arial" w:hAnsi="Arial"/>
          <w:sz w:val="22"/>
          <w:szCs w:val="22"/>
          <w:color w:val="auto"/>
        </w:rPr>
        <w:t>is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 are exposed to market risks in the ordinary course of business. Some potential market risks are discussed below:</w:t>
      </w:r>
    </w:p>
    <w:p>
      <w:pPr>
        <w:spacing w:after="0" w:line="127" w:lineRule="exact"/>
        <w:rPr>
          <w:sz w:val="20"/>
          <w:szCs w:val="20"/>
          <w:color w:val="auto"/>
        </w:rPr>
      </w:pPr>
    </w:p>
    <w:p>
      <w:pPr>
        <w:spacing w:after="0"/>
        <w:tabs>
          <w:tab w:leader="none" w:pos="580" w:val="left"/>
          <w:tab w:leader="none" w:pos="1840" w:val="left"/>
          <w:tab w:leader="none" w:pos="2680" w:val="left"/>
          <w:tab w:leader="none" w:pos="3160" w:val="left"/>
          <w:tab w:leader="none" w:pos="3860" w:val="left"/>
        </w:tabs>
        <w:rPr>
          <w:sz w:val="20"/>
          <w:szCs w:val="20"/>
          <w:color w:val="auto"/>
        </w:rPr>
      </w:pPr>
      <w:r>
        <w:rPr>
          <w:rFonts w:ascii="Arial" w:cs="Arial" w:eastAsia="Arial" w:hAnsi="Arial"/>
          <w:sz w:val="22"/>
          <w:szCs w:val="22"/>
          <w:color w:val="auto"/>
        </w:rPr>
        <w:t>FO</w:t>
        <w:tab/>
        <w:t>I  N C</w:t>
      </w:r>
      <w:r>
        <w:rPr>
          <w:sz w:val="20"/>
          <w:szCs w:val="20"/>
          <w:color w:val="auto"/>
        </w:rPr>
        <w:tab/>
      </w:r>
      <w:r>
        <w:rPr>
          <w:rFonts w:ascii="Arial" w:cs="Arial" w:eastAsia="Arial" w:hAnsi="Arial"/>
          <w:sz w:val="22"/>
          <w:szCs w:val="22"/>
          <w:color w:val="auto"/>
        </w:rPr>
        <w:t>NC</w:t>
      </w:r>
      <w:r>
        <w:rPr>
          <w:sz w:val="20"/>
          <w:szCs w:val="20"/>
          <w:color w:val="auto"/>
        </w:rPr>
        <w:tab/>
      </w:r>
      <w:r>
        <w:rPr>
          <w:rFonts w:ascii="Arial" w:cs="Arial" w:eastAsia="Arial" w:hAnsi="Arial"/>
          <w:sz w:val="22"/>
          <w:szCs w:val="22"/>
          <w:color w:val="auto"/>
        </w:rPr>
        <w:t>C</w:t>
        <w:tab/>
        <w:t>N</w:t>
      </w:r>
      <w:r>
        <w:rPr>
          <w:sz w:val="20"/>
          <w:szCs w:val="20"/>
          <w:color w:val="auto"/>
        </w:rPr>
        <w:tab/>
      </w:r>
      <w:r>
        <w:rPr>
          <w:rFonts w:ascii="Arial" w:cs="Arial" w:eastAsia="Arial" w:hAnsi="Arial"/>
          <w:sz w:val="21"/>
          <w:szCs w:val="21"/>
          <w:color w:val="auto"/>
        </w:rPr>
        <w:t>IS</w:t>
      </w:r>
    </w:p>
    <w:p>
      <w:pPr>
        <w:spacing w:after="0" w:line="145" w:lineRule="exact"/>
        <w:rPr>
          <w:sz w:val="20"/>
          <w:szCs w:val="20"/>
          <w:color w:val="auto"/>
        </w:rPr>
      </w:pPr>
    </w:p>
    <w:p>
      <w:pPr>
        <w:ind w:right="60" w:firstLine="189"/>
        <w:spacing w:after="0" w:line="294" w:lineRule="auto"/>
        <w:rPr>
          <w:sz w:val="20"/>
          <w:szCs w:val="20"/>
          <w:color w:val="auto"/>
        </w:rPr>
      </w:pPr>
      <w:r>
        <w:rPr>
          <w:rFonts w:ascii="Arial" w:cs="Arial" w:eastAsia="Arial" w:hAnsi="Arial"/>
          <w:sz w:val="17"/>
          <w:szCs w:val="17"/>
          <w:color w:val="auto"/>
        </w:rPr>
        <w:t>e are exposed to foreign currency exchange rate risk on the translation of our foreign operations into the .S. dollar and on purchases of goods in currencies that are not the local currencies where the goods are sold and on intercompany debt and interest payable between and among our domestic and international operations. ur currency risk primarily relates to our activity in the Canadian dollar, British pound and Euro. As more fully described in Note E Financial Instruments of Notes to Consolidated Financial Statements, we use derivative financial instruments to hedge a portion of certain merchandise purchase commitments, primarily at our international operations, and a portion of our intercompany transactions with and within our international operations. e enter into derivative contracts only for the purpose of hedging the underlying economic exposure.</w:t>
      </w:r>
    </w:p>
    <w:p>
      <w:pPr>
        <w:spacing w:after="0" w:line="4" w:lineRule="exact"/>
        <w:rPr>
          <w:sz w:val="20"/>
          <w:szCs w:val="20"/>
          <w:color w:val="auto"/>
        </w:rPr>
      </w:pPr>
    </w:p>
    <w:p>
      <w:pPr>
        <w:ind w:right="60" w:firstLine="189"/>
        <w:spacing w:after="0" w:line="278" w:lineRule="auto"/>
        <w:rPr>
          <w:sz w:val="20"/>
          <w:szCs w:val="20"/>
          <w:color w:val="auto"/>
        </w:rPr>
      </w:pPr>
      <w:r>
        <w:rPr>
          <w:rFonts w:ascii="Arial" w:cs="Arial" w:eastAsia="Arial" w:hAnsi="Arial"/>
          <w:sz w:val="18"/>
          <w:szCs w:val="18"/>
          <w:color w:val="auto"/>
        </w:rPr>
        <w:t>e utili e currency forward and swap contracts, designed to offset the gains or losses on the underlying exposures. The contracts are executed with banks we believe are creditworthy and are denominated in currencies of major industrial countries.</w:t>
      </w:r>
    </w:p>
    <w:p>
      <w:pPr>
        <w:ind w:right="200" w:firstLine="145"/>
        <w:spacing w:after="0" w:line="258" w:lineRule="auto"/>
        <w:rPr>
          <w:sz w:val="20"/>
          <w:szCs w:val="20"/>
          <w:color w:val="auto"/>
        </w:rPr>
      </w:pPr>
      <w:r>
        <w:rPr>
          <w:rFonts w:ascii="Arial" w:cs="Arial" w:eastAsia="Arial" w:hAnsi="Arial"/>
          <w:sz w:val="20"/>
          <w:szCs w:val="20"/>
          <w:color w:val="auto"/>
        </w:rPr>
        <w:t>ur foreign exchange risk management policy prohibits us from using derivative financial instruments for trading or other speculative purposes and we do not use any leveraged derivative financial instruments. e have performed a sensitivity analysis assuming a hypothetical 10 movement in the translation of our foreign operations into our reporting currency. The analysis indicated a potential impact of approximately $132 million on our pre-tax income in fiscal 2026 and approximately $112 million in fiscal 2025.</w:t>
      </w:r>
    </w:p>
    <w:p>
      <w:pPr>
        <w:sectPr>
          <w:pgSz w:w="12240" w:h="15841" w:orient="portrait"/>
          <w:cols w:equalWidth="0" w:num="1">
            <w:col w:w="10180"/>
          </w:cols>
          <w:pgMar w:left="1000" w:top="777" w:right="10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2240" w:h="15841" w:orient="portrait"/>
          <w:cols w:equalWidth="0" w:num="1">
            <w:col w:w="10180"/>
          </w:cols>
          <w:pgMar w:left="1000" w:top="777" w:right="1061" w:bottom="0" w:gutter="0" w:footer="0" w:header="0"/>
          <w:type w:val="continuous"/>
        </w:sectPr>
      </w:pPr>
    </w:p>
    <w:bookmarkStart w:id="47" w:name="page48"/>
    <w:bookmarkEnd w:id="47"/>
    <w:p>
      <w:pPr>
        <w:ind w:left="460"/>
        <w:spacing w:after="0"/>
        <w:tabs>
          <w:tab w:leader="none" w:pos="1180" w:val="left"/>
          <w:tab w:leader="none" w:pos="1800" w:val="left"/>
          <w:tab w:leader="none" w:pos="2160" w:val="left"/>
          <w:tab w:leader="none" w:pos="42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r>
        <w:rPr>
          <w:sz w:val="20"/>
          <w:szCs w:val="20"/>
          <w:color w:val="auto"/>
        </w:rPr>
        <w:tab/>
      </w:r>
      <w:r>
        <w:rPr>
          <w:rFonts w:ascii="Arial" w:cs="Arial" w:eastAsia="Arial" w:hAnsi="Arial"/>
          <w:sz w:val="22"/>
          <w:szCs w:val="22"/>
          <w:color w:val="auto"/>
        </w:rPr>
        <w:t>IC</w:t>
        <w:tab/>
        <w:t>N</w:t>
        <w:tab/>
        <w:t>O</w:t>
      </w:r>
      <w:r>
        <w:rPr>
          <w:sz w:val="20"/>
          <w:szCs w:val="20"/>
          <w:color w:val="auto"/>
        </w:rPr>
        <w:tab/>
      </w:r>
      <w:r>
        <w:rPr>
          <w:rFonts w:ascii="Arial" w:cs="Arial" w:eastAsia="Arial" w:hAnsi="Arial"/>
          <w:sz w:val="21"/>
          <w:szCs w:val="21"/>
          <w:color w:val="auto"/>
        </w:rPr>
        <w:t>IS</w:t>
      </w:r>
    </w:p>
    <w:p>
      <w:pPr>
        <w:spacing w:after="0" w:line="145"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color w:val="auto"/>
        </w:rPr>
        <w:t>The assets of our funded ualified pension plan, a portion of which are e uity securities, are subject to the risks and uncertainties of the financial markets. e invest the pension assets (described further in Note I Pension Plans and ther</w:t>
      </w:r>
    </w:p>
    <w:p>
      <w:pPr>
        <w:ind w:right="60" w:firstLine="133"/>
        <w:spacing w:after="0" w:line="278" w:lineRule="auto"/>
        <w:rPr>
          <w:sz w:val="20"/>
          <w:szCs w:val="20"/>
          <w:color w:val="auto"/>
        </w:rPr>
      </w:pPr>
      <w:r>
        <w:rPr>
          <w:rFonts w:ascii="Arial" w:cs="Arial" w:eastAsia="Arial" w:hAnsi="Arial"/>
          <w:sz w:val="18"/>
          <w:szCs w:val="18"/>
          <w:color w:val="auto"/>
        </w:rPr>
        <w:t>etirement Benefits of Notes to Consolidated Financial Statements) in a manner that attempts to manage our exposure to market uncertainties. Investments, in general, are exposed to various risks, such as interest rate, credit, and overall market volatility risks. A significant decline in the financial markets could adversely affect the value of our pension plan assets and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20" w:type="dxa"/>
            <w:vAlign w:val="bottom"/>
            <w:gridSpan w:val="3"/>
          </w:tcPr>
          <w:p>
            <w:pPr>
              <w:spacing w:after="0"/>
              <w:rPr>
                <w:sz w:val="20"/>
                <w:szCs w:val="20"/>
                <w:color w:val="auto"/>
              </w:rPr>
            </w:pPr>
            <w:r>
              <w:rPr>
                <w:rFonts w:ascii="Arial" w:cs="Arial" w:eastAsia="Arial" w:hAnsi="Arial"/>
                <w:sz w:val="20"/>
                <w:szCs w:val="20"/>
                <w:color w:val="auto"/>
                <w:w w:val="90"/>
              </w:rPr>
              <w:t>funded status of our pension plan, resulting in increased re</w:t>
            </w:r>
          </w:p>
        </w:tc>
        <w:tc>
          <w:tcPr>
            <w:tcW w:w="5420" w:type="dxa"/>
            <w:vAlign w:val="bottom"/>
            <w:gridSpan w:val="5"/>
          </w:tcPr>
          <w:p>
            <w:pPr>
              <w:ind w:left="40"/>
              <w:spacing w:after="0"/>
              <w:rPr>
                <w:sz w:val="20"/>
                <w:szCs w:val="20"/>
                <w:color w:val="auto"/>
              </w:rPr>
            </w:pPr>
            <w:r>
              <w:rPr>
                <w:rFonts w:ascii="Arial" w:cs="Arial" w:eastAsia="Arial" w:hAnsi="Arial"/>
                <w:sz w:val="20"/>
                <w:szCs w:val="20"/>
                <w:color w:val="auto"/>
                <w:w w:val="95"/>
              </w:rPr>
              <w:t>uired contributions to the plan or other plan-related liabilities.  ur</w:t>
            </w:r>
          </w:p>
        </w:tc>
      </w:tr>
      <w:tr>
        <w:trPr>
          <w:trHeight w:val="261"/>
        </w:trPr>
        <w:tc>
          <w:tcPr>
            <w:tcW w:w="10140" w:type="dxa"/>
            <w:vAlign w:val="bottom"/>
            <w:gridSpan w:val="8"/>
          </w:tcPr>
          <w:p>
            <w:pPr>
              <w:spacing w:after="0"/>
              <w:rPr>
                <w:sz w:val="20"/>
                <w:szCs w:val="20"/>
                <w:color w:val="auto"/>
              </w:rPr>
            </w:pPr>
            <w:r>
              <w:rPr>
                <w:rFonts w:ascii="Arial" w:cs="Arial" w:eastAsia="Arial" w:hAnsi="Arial"/>
                <w:sz w:val="20"/>
                <w:szCs w:val="20"/>
                <w:color w:val="auto"/>
              </w:rPr>
              <w:t>pension plan investment policy prohibits the use of derivatives for speculative purposes.</w:t>
            </w:r>
          </w:p>
        </w:tc>
      </w:tr>
      <w:tr>
        <w:trPr>
          <w:trHeight w:val="396"/>
        </w:trPr>
        <w:tc>
          <w:tcPr>
            <w:tcW w:w="380" w:type="dxa"/>
            <w:vAlign w:val="bottom"/>
          </w:tcPr>
          <w:p>
            <w:pPr>
              <w:spacing w:after="0"/>
              <w:rPr>
                <w:sz w:val="20"/>
                <w:szCs w:val="20"/>
                <w:color w:val="auto"/>
              </w:rPr>
            </w:pPr>
            <w:r>
              <w:rPr>
                <w:rFonts w:ascii="Arial" w:cs="Arial" w:eastAsia="Arial" w:hAnsi="Arial"/>
                <w:sz w:val="24"/>
                <w:szCs w:val="24"/>
                <w:color w:val="auto"/>
              </w:rPr>
              <w:t>I</w:t>
            </w:r>
          </w:p>
        </w:tc>
        <w:tc>
          <w:tcPr>
            <w:tcW w:w="560" w:type="dxa"/>
            <w:vAlign w:val="bottom"/>
          </w:tcPr>
          <w:p>
            <w:pPr>
              <w:jc w:val="right"/>
              <w:spacing w:after="0"/>
              <w:rPr>
                <w:sz w:val="20"/>
                <w:szCs w:val="20"/>
                <w:color w:val="auto"/>
              </w:rPr>
            </w:pPr>
            <w:r>
              <w:rPr>
                <w:rFonts w:ascii="Arial" w:cs="Arial" w:eastAsia="Arial" w:hAnsi="Arial"/>
                <w:sz w:val="24"/>
                <w:szCs w:val="24"/>
                <w:color w:val="auto"/>
              </w:rPr>
              <w:t>8.</w:t>
            </w:r>
          </w:p>
        </w:tc>
        <w:tc>
          <w:tcPr>
            <w:tcW w:w="9200" w:type="dxa"/>
            <w:vAlign w:val="bottom"/>
            <w:gridSpan w:val="6"/>
          </w:tcPr>
          <w:p>
            <w:pPr>
              <w:ind w:left="60"/>
              <w:spacing w:after="0"/>
              <w:rPr>
                <w:sz w:val="20"/>
                <w:szCs w:val="20"/>
                <w:color w:val="auto"/>
              </w:rPr>
            </w:pPr>
            <w:r>
              <w:rPr>
                <w:rFonts w:ascii="Arial" w:cs="Arial" w:eastAsia="Arial" w:hAnsi="Arial"/>
                <w:sz w:val="24"/>
                <w:szCs w:val="24"/>
                <w:color w:val="auto"/>
              </w:rPr>
              <w:t>Financial Statements and Supplementary  ata</w:t>
            </w:r>
          </w:p>
        </w:tc>
      </w:tr>
      <w:tr>
        <w:trPr>
          <w:trHeight w:val="329"/>
        </w:trPr>
        <w:tc>
          <w:tcPr>
            <w:tcW w:w="10140" w:type="dxa"/>
            <w:vAlign w:val="bottom"/>
            <w:gridSpan w:val="8"/>
          </w:tcPr>
          <w:p>
            <w:pPr>
              <w:spacing w:after="0"/>
              <w:rPr>
                <w:sz w:val="20"/>
                <w:szCs w:val="20"/>
                <w:color w:val="auto"/>
              </w:rPr>
            </w:pPr>
            <w:r>
              <w:rPr>
                <w:rFonts w:ascii="Arial" w:cs="Arial" w:eastAsia="Arial" w:hAnsi="Arial"/>
                <w:sz w:val="20"/>
                <w:szCs w:val="20"/>
                <w:color w:val="auto"/>
              </w:rPr>
              <w:t xml:space="preserve">The information re uired by this Item may be found on pages </w:t>
            </w:r>
            <w:r>
              <w:rPr>
                <w:rFonts w:ascii="Arial" w:cs="Arial" w:eastAsia="Arial" w:hAnsi="Arial"/>
                <w:sz w:val="20"/>
                <w:szCs w:val="20"/>
                <w:color w:val="303030"/>
              </w:rPr>
              <w:t>F-1</w:t>
            </w:r>
            <w:r>
              <w:rPr>
                <w:rFonts w:ascii="Arial" w:cs="Arial" w:eastAsia="Arial" w:hAnsi="Arial"/>
                <w:sz w:val="20"/>
                <w:szCs w:val="20"/>
                <w:color w:val="auto"/>
              </w:rPr>
              <w:t xml:space="preserve"> through </w:t>
            </w:r>
            <w:r>
              <w:rPr>
                <w:rFonts w:ascii="Arial" w:cs="Arial" w:eastAsia="Arial" w:hAnsi="Arial"/>
                <w:sz w:val="20"/>
                <w:szCs w:val="20"/>
                <w:color w:val="303030"/>
              </w:rPr>
              <w:t>F-38</w:t>
            </w:r>
            <w:r>
              <w:rPr>
                <w:rFonts w:ascii="Arial" w:cs="Arial" w:eastAsia="Arial" w:hAnsi="Arial"/>
                <w:sz w:val="20"/>
                <w:szCs w:val="20"/>
                <w:color w:val="auto"/>
              </w:rPr>
              <w:t xml:space="preserve"> of this annual report on Form 10-  .</w:t>
            </w:r>
          </w:p>
        </w:tc>
      </w:tr>
      <w:tr>
        <w:trPr>
          <w:trHeight w:val="20"/>
        </w:trPr>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30303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30303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19"/>
        </w:trPr>
        <w:tc>
          <w:tcPr>
            <w:tcW w:w="380" w:type="dxa"/>
            <w:vAlign w:val="bottom"/>
          </w:tcPr>
          <w:p>
            <w:pPr>
              <w:spacing w:after="0"/>
              <w:rPr>
                <w:sz w:val="20"/>
                <w:szCs w:val="20"/>
                <w:color w:val="auto"/>
              </w:rPr>
            </w:pPr>
            <w:r>
              <w:rPr>
                <w:rFonts w:ascii="Arial" w:cs="Arial" w:eastAsia="Arial" w:hAnsi="Arial"/>
                <w:sz w:val="24"/>
                <w:szCs w:val="24"/>
                <w:color w:val="auto"/>
              </w:rPr>
              <w:t>I</w:t>
            </w:r>
          </w:p>
        </w:tc>
        <w:tc>
          <w:tcPr>
            <w:tcW w:w="560" w:type="dxa"/>
            <w:vAlign w:val="bottom"/>
          </w:tcPr>
          <w:p>
            <w:pPr>
              <w:jc w:val="right"/>
              <w:spacing w:after="0"/>
              <w:rPr>
                <w:sz w:val="20"/>
                <w:szCs w:val="20"/>
                <w:color w:val="auto"/>
              </w:rPr>
            </w:pPr>
            <w:r>
              <w:rPr>
                <w:rFonts w:ascii="Arial" w:cs="Arial" w:eastAsia="Arial" w:hAnsi="Arial"/>
                <w:sz w:val="24"/>
                <w:szCs w:val="24"/>
                <w:color w:val="auto"/>
              </w:rPr>
              <w:t>9.</w:t>
            </w:r>
          </w:p>
        </w:tc>
        <w:tc>
          <w:tcPr>
            <w:tcW w:w="3780" w:type="dxa"/>
            <w:vAlign w:val="bottom"/>
          </w:tcPr>
          <w:p>
            <w:pPr>
              <w:ind w:left="60"/>
              <w:spacing w:after="0"/>
              <w:rPr>
                <w:sz w:val="20"/>
                <w:szCs w:val="20"/>
                <w:color w:val="auto"/>
              </w:rPr>
            </w:pPr>
            <w:r>
              <w:rPr>
                <w:rFonts w:ascii="Arial" w:cs="Arial" w:eastAsia="Arial" w:hAnsi="Arial"/>
                <w:sz w:val="24"/>
                <w:szCs w:val="24"/>
                <w:color w:val="auto"/>
                <w:w w:val="98"/>
              </w:rPr>
              <w:t>Changes in and  isagreements with</w:t>
            </w:r>
          </w:p>
        </w:tc>
        <w:tc>
          <w:tcPr>
            <w:tcW w:w="5420" w:type="dxa"/>
            <w:vAlign w:val="bottom"/>
            <w:gridSpan w:val="5"/>
          </w:tcPr>
          <w:p>
            <w:pPr>
              <w:ind w:left="180"/>
              <w:spacing w:after="0"/>
              <w:rPr>
                <w:sz w:val="20"/>
                <w:szCs w:val="20"/>
                <w:color w:val="auto"/>
              </w:rPr>
            </w:pPr>
            <w:r>
              <w:rPr>
                <w:rFonts w:ascii="Arial" w:cs="Arial" w:eastAsia="Arial" w:hAnsi="Arial"/>
                <w:sz w:val="24"/>
                <w:szCs w:val="24"/>
                <w:color w:val="auto"/>
                <w:w w:val="99"/>
              </w:rPr>
              <w:t>ccountants on  ccounting and Financial  isclosure</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09" w:lineRule="exact"/>
        <w:rPr>
          <w:sz w:val="20"/>
          <w:szCs w:val="20"/>
          <w:color w:val="auto"/>
        </w:rPr>
      </w:pPr>
    </w:p>
    <w:p>
      <w:pPr>
        <w:spacing w:after="0"/>
        <w:tabs>
          <w:tab w:leader="none" w:pos="680" w:val="left"/>
          <w:tab w:leader="none" w:pos="270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9  . Controls and</w:t>
      </w:r>
      <w:r>
        <w:rPr>
          <w:sz w:val="20"/>
          <w:szCs w:val="20"/>
          <w:color w:val="auto"/>
        </w:rPr>
        <w:tab/>
      </w:r>
      <w:r>
        <w:rPr>
          <w:rFonts w:ascii="Arial" w:cs="Arial" w:eastAsia="Arial" w:hAnsi="Arial"/>
          <w:sz w:val="22"/>
          <w:szCs w:val="22"/>
          <w:color w:val="auto"/>
        </w:rPr>
        <w:t>rocedures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 Evaluation of Disclosure Controls and Procedures</w:t>
      </w:r>
    </w:p>
    <w:p>
      <w:pPr>
        <w:spacing w:after="0" w:line="137" w:lineRule="exact"/>
        <w:rPr>
          <w:sz w:val="20"/>
          <w:szCs w:val="20"/>
          <w:color w:val="auto"/>
        </w:rPr>
      </w:pPr>
    </w:p>
    <w:p>
      <w:pPr>
        <w:ind w:firstLine="189"/>
        <w:spacing w:after="0" w:line="284" w:lineRule="auto"/>
        <w:rPr>
          <w:sz w:val="20"/>
          <w:szCs w:val="20"/>
          <w:color w:val="auto"/>
        </w:rPr>
      </w:pPr>
      <w:r>
        <w:rPr>
          <w:rFonts w:ascii="Arial" w:cs="Arial" w:eastAsia="Arial" w:hAnsi="Arial"/>
          <w:sz w:val="18"/>
          <w:szCs w:val="18"/>
          <w:color w:val="auto"/>
        </w:rPr>
        <w:t>e have carried out an evaluation, under the supervision and with the participation of our management, including our Chief Executive fficer and Chief Financial fficer, of the effectiveness of the design and operation of our disclosure controls and procedures, as defined in ules 13a-15(e) and 15d-15(e) under the Securities Exchange Act of 1 34, as amended (the Exchange Act ), as of the end of the period covered by this report pursuant to ules 13a-15 and 15d-15 of the Exchange Act. Based upon that evaluation, our Chief Executive fficer and Chief Financial fficer concluded that our disclosure controls and procedures are effective at a reasonable assurance level in ensuring that information re uired to be disclosed by us in the reports that we file or submit under the Exchange Act is (i) recorded, processed, summari 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re uired disclosures. anagement recogni 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54" w:lineRule="exact"/>
        <w:rPr>
          <w:sz w:val="20"/>
          <w:szCs w:val="20"/>
          <w:color w:val="auto"/>
        </w:rPr>
      </w:pPr>
    </w:p>
    <w:p>
      <w:pPr>
        <w:spacing w:after="0"/>
        <w:tabs>
          <w:tab w:leader="none" w:pos="2940" w:val="left"/>
          <w:tab w:leader="none" w:pos="4300" w:val="left"/>
        </w:tabs>
        <w:rPr>
          <w:sz w:val="20"/>
          <w:szCs w:val="20"/>
          <w:color w:val="auto"/>
        </w:rPr>
      </w:pPr>
      <w:r>
        <w:rPr>
          <w:rFonts w:ascii="Arial" w:cs="Arial" w:eastAsia="Arial" w:hAnsi="Arial"/>
          <w:sz w:val="22"/>
          <w:szCs w:val="22"/>
          <w:color w:val="auto"/>
        </w:rPr>
        <w:t>(b) Changes in Internal Control</w:t>
        <w:tab/>
        <w:t>ver Financial</w:t>
      </w:r>
      <w:r>
        <w:rPr>
          <w:sz w:val="20"/>
          <w:szCs w:val="20"/>
          <w:color w:val="auto"/>
        </w:rPr>
        <w:tab/>
      </w:r>
      <w:r>
        <w:rPr>
          <w:rFonts w:ascii="Arial" w:cs="Arial" w:eastAsia="Arial" w:hAnsi="Arial"/>
          <w:sz w:val="20"/>
          <w:szCs w:val="20"/>
          <w:color w:val="auto"/>
        </w:rPr>
        <w:t>eporting</w:t>
      </w:r>
    </w:p>
    <w:p>
      <w:pPr>
        <w:spacing w:after="0" w:line="137"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There were no changes in our internal control over financial reporting (as defined in ules 13a-15(f) and 15d-15(f) under the Exchange Act) during the fiscal uarter ended January 31, 2026 identified in connection with our Chief Executive fficer’s and Chief Financial fficer’s evaluation that have materially affected, or are reasonably likely to materially affect, our internal control over financial reporting.</w:t>
      </w:r>
    </w:p>
    <w:p>
      <w:pPr>
        <w:spacing w:after="0" w:line="73" w:lineRule="exact"/>
        <w:rPr>
          <w:sz w:val="20"/>
          <w:szCs w:val="20"/>
          <w:color w:val="auto"/>
        </w:rPr>
      </w:pPr>
    </w:p>
    <w:p>
      <w:pPr>
        <w:spacing w:after="0"/>
        <w:tabs>
          <w:tab w:leader="none" w:pos="460" w:val="left"/>
          <w:tab w:leader="none" w:pos="2480" w:val="left"/>
          <w:tab w:leader="none" w:pos="4880" w:val="left"/>
          <w:tab w:leader="none" w:pos="6240" w:val="left"/>
        </w:tabs>
        <w:rPr>
          <w:sz w:val="20"/>
          <w:szCs w:val="20"/>
          <w:color w:val="auto"/>
        </w:rPr>
      </w:pPr>
      <w:r>
        <w:rPr>
          <w:rFonts w:ascii="Arial" w:cs="Arial" w:eastAsia="Arial" w:hAnsi="Arial"/>
          <w:sz w:val="22"/>
          <w:szCs w:val="22"/>
          <w:color w:val="auto"/>
        </w:rPr>
        <w:t>(c)</w:t>
        <w:tab/>
        <w:t>anagement’s Annual</w:t>
        <w:tab/>
        <w:t>eport on Internal Control</w:t>
        <w:tab/>
        <w:t>ver Financial</w:t>
      </w:r>
      <w:r>
        <w:rPr>
          <w:sz w:val="20"/>
          <w:szCs w:val="20"/>
          <w:color w:val="auto"/>
        </w:rPr>
        <w:tab/>
      </w:r>
      <w:r>
        <w:rPr>
          <w:rFonts w:ascii="Arial" w:cs="Arial" w:eastAsia="Arial" w:hAnsi="Arial"/>
          <w:sz w:val="20"/>
          <w:szCs w:val="20"/>
          <w:color w:val="auto"/>
        </w:rPr>
        <w:t>eporting</w:t>
      </w:r>
    </w:p>
    <w:p>
      <w:pPr>
        <w:spacing w:after="0" w:line="137" w:lineRule="exact"/>
        <w:rPr>
          <w:sz w:val="20"/>
          <w:szCs w:val="20"/>
          <w:color w:val="auto"/>
        </w:rPr>
      </w:pPr>
    </w:p>
    <w:p>
      <w:pPr>
        <w:ind w:right="100" w:firstLine="145"/>
        <w:spacing w:after="0" w:line="257" w:lineRule="auto"/>
        <w:rPr>
          <w:sz w:val="20"/>
          <w:szCs w:val="20"/>
          <w:color w:val="auto"/>
        </w:rPr>
      </w:pPr>
      <w:r>
        <w:rPr>
          <w:rFonts w:ascii="Arial" w:cs="Arial" w:eastAsia="Arial" w:hAnsi="Arial"/>
          <w:sz w:val="20"/>
          <w:szCs w:val="20"/>
          <w:color w:val="auto"/>
        </w:rPr>
        <w:t>ur management is responsible for establishing and maintaining ade uate internal control over financial reporting. Internal control over financial reporting is defined in 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AAP and includes those policies and procedures that:</w:t>
      </w:r>
    </w:p>
    <w:p>
      <w:pPr>
        <w:spacing w:after="0" w:line="82" w:lineRule="exact"/>
        <w:rPr>
          <w:sz w:val="20"/>
          <w:szCs w:val="20"/>
          <w:color w:val="auto"/>
        </w:rPr>
      </w:pPr>
    </w:p>
    <w:p>
      <w:pPr>
        <w:ind w:left="720" w:right="700"/>
        <w:spacing w:after="0" w:line="283" w:lineRule="auto"/>
        <w:rPr>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assets of TJX</w:t>
      </w:r>
    </w:p>
    <w:p>
      <w:pPr>
        <w:spacing w:after="0" w:line="28" w:lineRule="exact"/>
        <w:rPr>
          <w:sz w:val="20"/>
          <w:szCs w:val="20"/>
          <w:color w:val="auto"/>
        </w:rPr>
      </w:pPr>
    </w:p>
    <w:p>
      <w:pPr>
        <w:ind w:left="720" w:right="140"/>
        <w:spacing w:after="0" w:line="266" w:lineRule="auto"/>
        <w:rPr>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AAP, and that receipts and expenditures of TJX are being made only in accordance with authori ations of management and directors of TJX and</w:t>
      </w:r>
    </w:p>
    <w:p>
      <w:pPr>
        <w:spacing w:after="0" w:line="45" w:lineRule="exact"/>
        <w:rPr>
          <w:sz w:val="20"/>
          <w:szCs w:val="20"/>
          <w:color w:val="auto"/>
        </w:rPr>
      </w:pPr>
    </w:p>
    <w:p>
      <w:pPr>
        <w:ind w:left="720" w:right="160"/>
        <w:spacing w:after="0" w:line="283" w:lineRule="auto"/>
        <w:rPr>
          <w:sz w:val="20"/>
          <w:szCs w:val="20"/>
          <w:color w:val="auto"/>
        </w:rPr>
      </w:pPr>
      <w:r>
        <w:rPr>
          <w:rFonts w:ascii="Arial" w:cs="Arial" w:eastAsia="Arial" w:hAnsi="Arial"/>
          <w:sz w:val="20"/>
          <w:szCs w:val="20"/>
          <w:color w:val="auto"/>
        </w:rPr>
        <w:t>Provide reasonable assurance regarding prevention or timely detection of unauthori ed ac uisition, use or disposition of TJX’s assets that could have a material effect on the Consolidated Financial Statements.</w:t>
      </w:r>
    </w:p>
    <w:p>
      <w:pPr>
        <w:spacing w:after="0" w:line="58" w:lineRule="exact"/>
        <w:rPr>
          <w:sz w:val="20"/>
          <w:szCs w:val="20"/>
          <w:color w:val="auto"/>
        </w:rPr>
      </w:pPr>
    </w:p>
    <w:p>
      <w:pPr>
        <w:jc w:val="both"/>
        <w:ind w:right="460"/>
        <w:spacing w:after="0" w:line="30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 uate because of changes in conditions, or that the degree of compliance with the policies or procedures may deteriorate.</w:t>
      </w:r>
    </w:p>
    <w:p>
      <w:pPr>
        <w:sectPr>
          <w:pgSz w:w="12240" w:h="15841" w:orient="portrait"/>
          <w:cols w:equalWidth="0" w:num="1">
            <w:col w:w="10240"/>
          </w:cols>
          <w:pgMar w:left="1000" w:top="77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2240" w:h="15841" w:orient="portrait"/>
          <w:cols w:equalWidth="0" w:num="1">
            <w:col w:w="10240"/>
          </w:cols>
          <w:pgMar w:left="1000" w:top="778" w:right="1001" w:bottom="0" w:gutter="0" w:footer="0" w:header="0"/>
          <w:type w:val="continuous"/>
        </w:sectPr>
      </w:pPr>
    </w:p>
    <w:bookmarkStart w:id="48" w:name="page49"/>
    <w:bookmarkEnd w:id="48"/>
    <w:p>
      <w:pPr>
        <w:ind w:left="140" w:right="2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nder the supervision and with the participation of our management, including our Chief Executive fficer and Chief Financial fficer, we conducted an evaluation of the effectiveness of our internal control over financial reporting as of January 31, 2026</w:t>
      </w:r>
    </w:p>
    <w:p>
      <w:pPr>
        <w:spacing w:after="0" w:line="1" w:lineRule="exact"/>
        <w:rPr>
          <w:sz w:val="20"/>
          <w:szCs w:val="20"/>
          <w:color w:val="auto"/>
        </w:rPr>
      </w:pPr>
    </w:p>
    <w:p>
      <w:pPr>
        <w:spacing w:after="0"/>
        <w:tabs>
          <w:tab w:leader="none" w:pos="4040" w:val="left"/>
          <w:tab w:leader="none" w:pos="4980" w:val="left"/>
          <w:tab w:leader="none" w:pos="5620" w:val="left"/>
          <w:tab w:leader="none" w:pos="6300" w:val="left"/>
        </w:tabs>
        <w:rPr>
          <w:sz w:val="20"/>
          <w:szCs w:val="20"/>
          <w:color w:val="auto"/>
        </w:rPr>
      </w:pPr>
      <w:r>
        <w:rPr>
          <w:rFonts w:ascii="Arial" w:cs="Arial" w:eastAsia="Arial" w:hAnsi="Arial"/>
          <w:sz w:val="20"/>
          <w:szCs w:val="20"/>
          <w:color w:val="auto"/>
        </w:rPr>
        <w:t xml:space="preserve">based on criteria established in </w:t>
      </w:r>
      <w:r>
        <w:rPr>
          <w:rFonts w:ascii="Arial" w:cs="Arial" w:eastAsia="Arial" w:hAnsi="Arial"/>
          <w:sz w:val="20"/>
          <w:szCs w:val="20"/>
          <w:i w:val="1"/>
          <w:iCs w:val="1"/>
          <w:color w:val="auto"/>
        </w:rPr>
        <w:t>nternal C ntr l</w:t>
      </w:r>
      <w:r>
        <w:rPr>
          <w:sz w:val="20"/>
          <w:szCs w:val="20"/>
          <w:color w:val="auto"/>
        </w:rPr>
        <w:tab/>
      </w:r>
      <w:r>
        <w:rPr>
          <w:rFonts w:ascii="Arial" w:cs="Arial" w:eastAsia="Arial" w:hAnsi="Arial"/>
          <w:sz w:val="20"/>
          <w:szCs w:val="20"/>
          <w:i w:val="1"/>
          <w:iCs w:val="1"/>
          <w:color w:val="auto"/>
        </w:rPr>
        <w:t>ntegrated</w:t>
        <w:tab/>
        <w:t>ra  e</w:t>
        <w:tab/>
        <w:t>r</w:t>
      </w:r>
      <w:r>
        <w:rPr>
          <w:sz w:val="20"/>
          <w:szCs w:val="20"/>
          <w:color w:val="auto"/>
        </w:rPr>
        <w:tab/>
      </w:r>
      <w:r>
        <w:rPr>
          <w:rFonts w:ascii="Arial" w:cs="Arial" w:eastAsia="Arial" w:hAnsi="Arial"/>
          <w:sz w:val="18"/>
          <w:szCs w:val="18"/>
          <w:color w:val="auto"/>
        </w:rPr>
        <w:t>issued by the Committee of Sponsoring</w:t>
      </w:r>
    </w:p>
    <w:p>
      <w:pPr>
        <w:spacing w:after="0" w:line="13" w:lineRule="exact"/>
        <w:rPr>
          <w:sz w:val="20"/>
          <w:szCs w:val="20"/>
          <w:color w:val="auto"/>
        </w:rPr>
      </w:pPr>
    </w:p>
    <w:p>
      <w:pPr>
        <w:ind w:right="500" w:firstLine="145"/>
        <w:spacing w:after="0" w:line="283" w:lineRule="auto"/>
        <w:rPr>
          <w:sz w:val="20"/>
          <w:szCs w:val="20"/>
          <w:color w:val="auto"/>
        </w:rPr>
      </w:pPr>
      <w:r>
        <w:rPr>
          <w:rFonts w:ascii="Arial" w:cs="Arial" w:eastAsia="Arial" w:hAnsi="Arial"/>
          <w:sz w:val="20"/>
          <w:szCs w:val="20"/>
          <w:color w:val="auto"/>
        </w:rPr>
        <w:t>rgani ations of the Treadway Commission ( C S ). Based on that evaluation, management concluded that its internal control over financial reporting was effective as of January 31, 2026.</w:t>
      </w:r>
    </w:p>
    <w:p>
      <w:pPr>
        <w:spacing w:after="0" w:line="58"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PricewaterhouseCoopers LLP, the independent registered public accounting firm that audited and reported on the Consolidated Financial Statements contained herein, has audited the effectiveness of our internal control over financial reporting as of January 31, 2026, and has issued an attestation report on the effectiveness of our internal controls over financial reporting included herein.</w:t>
      </w:r>
    </w:p>
    <w:p>
      <w:pPr>
        <w:spacing w:after="0" w:line="59" w:lineRule="exact"/>
        <w:rPr>
          <w:sz w:val="20"/>
          <w:szCs w:val="20"/>
          <w:color w:val="auto"/>
        </w:rPr>
      </w:pPr>
    </w:p>
    <w:p>
      <w:pPr>
        <w:spacing w:after="0"/>
        <w:tabs>
          <w:tab w:leader="none" w:pos="6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9 . Other Information</w:t>
      </w:r>
    </w:p>
    <w:p>
      <w:pPr>
        <w:spacing w:after="0" w:line="153" w:lineRule="exact"/>
        <w:rPr>
          <w:sz w:val="20"/>
          <w:szCs w:val="20"/>
          <w:color w:val="auto"/>
        </w:rPr>
      </w:pPr>
    </w:p>
    <w:p>
      <w:pPr>
        <w:ind w:left="220" w:right="20" w:hanging="221"/>
        <w:spacing w:after="0" w:line="278" w:lineRule="auto"/>
        <w:rPr>
          <w:sz w:val="20"/>
          <w:szCs w:val="20"/>
          <w:color w:val="auto"/>
        </w:rPr>
      </w:pPr>
      <w:r>
        <w:rPr>
          <w:rFonts w:ascii="Arial" w:cs="Arial" w:eastAsia="Arial" w:hAnsi="Arial"/>
          <w:sz w:val="18"/>
          <w:szCs w:val="18"/>
          <w:color w:val="auto"/>
        </w:rPr>
        <w:t>During the fiscal uarter ended January 31, 2026, none of our directors or officers adopted, materially modified, or terminated a ule 10b5-1 trading arrangement or non- ule 10b5-1 trading arrangement, as those terms are defined in Item 408(a) of</w:t>
      </w:r>
    </w:p>
    <w:p>
      <w:pPr>
        <w:ind w:left="120"/>
        <w:spacing w:after="0"/>
        <w:tabs>
          <w:tab w:leader="none" w:pos="1260" w:val="left"/>
        </w:tabs>
        <w:rPr>
          <w:sz w:val="20"/>
          <w:szCs w:val="20"/>
          <w:color w:val="auto"/>
        </w:rPr>
      </w:pPr>
      <w:r>
        <w:rPr>
          <w:rFonts w:ascii="Arial" w:cs="Arial" w:eastAsia="Arial" w:hAnsi="Arial"/>
          <w:sz w:val="20"/>
          <w:szCs w:val="20"/>
          <w:color w:val="auto"/>
        </w:rPr>
        <w:t>egulation S-</w:t>
      </w:r>
      <w:r>
        <w:rPr>
          <w:sz w:val="20"/>
          <w:szCs w:val="20"/>
          <w:color w:val="auto"/>
        </w:rPr>
        <w:tab/>
      </w:r>
      <w:r>
        <w:rPr>
          <w:rFonts w:ascii="Arial" w:cs="Arial" w:eastAsia="Arial" w:hAnsi="Arial"/>
          <w:sz w:val="18"/>
          <w:szCs w:val="18"/>
          <w:color w:val="auto"/>
        </w:rPr>
        <w:t>under the Exchange Act.</w:t>
      </w:r>
    </w:p>
    <w:p>
      <w:pPr>
        <w:spacing w:after="0" w:line="109" w:lineRule="exact"/>
        <w:rPr>
          <w:sz w:val="20"/>
          <w:szCs w:val="20"/>
          <w:color w:val="auto"/>
        </w:rPr>
      </w:pPr>
    </w:p>
    <w:p>
      <w:pPr>
        <w:spacing w:after="0"/>
        <w:tabs>
          <w:tab w:leader="none" w:pos="680" w:val="left"/>
          <w:tab w:leader="none" w:pos="1320" w:val="left"/>
          <w:tab w:leader="none" w:pos="2440" w:val="left"/>
          <w:tab w:leader="none" w:pos="62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9C.</w:t>
        <w:tab/>
        <w:t>isclosure</w:t>
        <w:tab/>
        <w:t>egarding Foreign Jurisdictions that</w:t>
      </w:r>
      <w:r>
        <w:rPr>
          <w:sz w:val="20"/>
          <w:szCs w:val="20"/>
          <w:color w:val="auto"/>
        </w:rPr>
        <w:tab/>
      </w:r>
      <w:r>
        <w:rPr>
          <w:rFonts w:ascii="Arial" w:cs="Arial" w:eastAsia="Arial" w:hAnsi="Arial"/>
          <w:sz w:val="23"/>
          <w:szCs w:val="23"/>
          <w:color w:val="auto"/>
        </w:rPr>
        <w:t>re ent Inspections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67" w:lineRule="exact"/>
        <w:rPr>
          <w:sz w:val="20"/>
          <w:szCs w:val="20"/>
          <w:color w:val="auto"/>
        </w:rPr>
      </w:pPr>
    </w:p>
    <w:p>
      <w:pPr>
        <w:ind w:left="5440"/>
        <w:spacing w:after="0"/>
        <w:rPr>
          <w:sz w:val="20"/>
          <w:szCs w:val="20"/>
          <w:color w:val="auto"/>
        </w:rPr>
      </w:pPr>
      <w:r>
        <w:rPr>
          <w:rFonts w:ascii="Arial" w:cs="Arial" w:eastAsia="Arial" w:hAnsi="Arial"/>
          <w:sz w:val="36"/>
          <w:szCs w:val="36"/>
          <w:color w:val="auto"/>
        </w:rPr>
        <w:t>III</w:t>
      </w:r>
    </w:p>
    <w:p>
      <w:pPr>
        <w:spacing w:after="0" w:line="180" w:lineRule="exact"/>
        <w:rPr>
          <w:sz w:val="20"/>
          <w:szCs w:val="20"/>
          <w:color w:val="auto"/>
        </w:rPr>
      </w:pPr>
    </w:p>
    <w:p>
      <w:pPr>
        <w:spacing w:after="0"/>
        <w:tabs>
          <w:tab w:leader="none" w:pos="680" w:val="left"/>
          <w:tab w:leader="none" w:pos="1260" w:val="left"/>
          <w:tab w:leader="none" w:pos="2460" w:val="left"/>
          <w:tab w:leader="none" w:pos="58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10.</w:t>
        <w:tab/>
        <w:t>irectors,</w:t>
        <w:tab/>
        <w:t>ecuti e Officers and Corporate</w:t>
      </w:r>
      <w:r>
        <w:rPr>
          <w:sz w:val="20"/>
          <w:szCs w:val="20"/>
          <w:color w:val="auto"/>
        </w:rPr>
        <w:tab/>
      </w:r>
      <w:r>
        <w:rPr>
          <w:rFonts w:ascii="Arial" w:cs="Arial" w:eastAsia="Arial" w:hAnsi="Arial"/>
          <w:sz w:val="23"/>
          <w:szCs w:val="23"/>
          <w:color w:val="auto"/>
        </w:rPr>
        <w:t>o ernance</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information concerning our executive officers is set forth under the heading Information about our Executive fficers in Part I of this report. TJX will file with the Securities and Exchange Commission (SEC) a definitive proxy statement no later than 120 days after the close of its fiscal year ended January 31, 2026 ( Proxy Statement ). The other information re uired by this Item and not given in this Item will appear under the headings Election of Directors, Corporate overnance and Audit and Finance Committee eport, including in Board Leadership and Committees, overnance Policies and Practices and, if applicable, Beneficial wnership in our Proxy Statement, which sections are incorporated herein by reference.</w:t>
      </w:r>
    </w:p>
    <w:p>
      <w:pPr>
        <w:spacing w:after="0" w:line="69"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In addition to our</w:t>
      </w:r>
      <w:r>
        <w:rPr>
          <w:sz w:val="20"/>
          <w:szCs w:val="20"/>
          <w:color w:val="auto"/>
        </w:rPr>
        <w:tab/>
      </w:r>
      <w:r>
        <w:rPr>
          <w:rFonts w:ascii="Arial" w:cs="Arial" w:eastAsia="Arial" w:hAnsi="Arial"/>
          <w:sz w:val="18"/>
          <w:szCs w:val="18"/>
          <w:color w:val="auto"/>
        </w:rPr>
        <w:t>lobal Code of Conduct, TJX has a Code of Ethics for TJX Executives governing its Executive Chairman,</w:t>
      </w:r>
    </w:p>
    <w:p>
      <w:pPr>
        <w:spacing w:after="0" w:line="1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Chief Executive fficer and President, Chief Financial fficer, Principal Accounting fficer and other senior operating and financial executives. The Code of Ethics for TJX Executives is designed to ensure integrity in TJX’s financial reports and public disclosures. TJX also has a Director Code of Business Conduct Ethics which promotes honest and ethical conduct, compliance with applicable laws, rules and regulations and the avoidance of conflicts of interest. Both of these codes of conduct are published at tjx.com. e intend to disclose any future amendments to, or waivers from, the Code of Ethics for TJX Executives or the Director Code of Business Conduct and Ethics within four business days of the waiver or amendment through a website posting or by filing a Current eport on Form 8- with the SEC.</w:t>
      </w:r>
    </w:p>
    <w:p>
      <w:pPr>
        <w:spacing w:after="0" w:line="73"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TJX has an insider trading policy which governs the purchase, sale, and or other dispositions of its securities by TJX and its officers, directors, Associates, and other covered persons. TJX believes its insider trading policy is reasonably designed to promote compliance with insider trading laws, rules and regulations, as well as the New York Stock Exchange listing standards applicable to TJX. A copy of TJX s Insider Trading Policy and its Pre-Clearance Trading Policy are filed as Exhibit 1 .1 and Exhibit 1 .2, respectively, to this Annual eport on Form 10- .</w:t>
      </w:r>
    </w:p>
    <w:p>
      <w:pPr>
        <w:spacing w:after="0" w:line="63" w:lineRule="exact"/>
        <w:rPr>
          <w:sz w:val="20"/>
          <w:szCs w:val="20"/>
          <w:color w:val="auto"/>
        </w:rPr>
      </w:pPr>
    </w:p>
    <w:p>
      <w:pPr>
        <w:spacing w:after="0"/>
        <w:tabs>
          <w:tab w:leader="none" w:pos="680" w:val="left"/>
          <w:tab w:leader="none" w:pos="13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11.</w:t>
      </w:r>
      <w:r>
        <w:rPr>
          <w:sz w:val="20"/>
          <w:szCs w:val="20"/>
          <w:color w:val="auto"/>
        </w:rPr>
        <w:tab/>
      </w:r>
      <w:r>
        <w:rPr>
          <w:rFonts w:ascii="Arial" w:cs="Arial" w:eastAsia="Arial" w:hAnsi="Arial"/>
          <w:sz w:val="23"/>
          <w:szCs w:val="23"/>
          <w:color w:val="auto"/>
        </w:rPr>
        <w:t>ecuti e Compensation</w:t>
      </w:r>
    </w:p>
    <w:p>
      <w:pPr>
        <w:spacing w:after="0" w:line="153"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The information re uired by this Item will appear under the headings Select Areas of Board versight - Compensation isk Assessment, Compensation Discussion and Analysis, Compensation Tables and Director Compensation in our Proxy Statement, which sections (excluding Compensation Tables - Pay ersus Performance ) are incorporated herein by reference.</w:t>
      </w:r>
    </w:p>
    <w:p>
      <w:pPr>
        <w:spacing w:after="0" w:line="18" w:lineRule="exact"/>
        <w:rPr>
          <w:sz w:val="20"/>
          <w:szCs w:val="20"/>
          <w:color w:val="auto"/>
        </w:rPr>
      </w:pPr>
    </w:p>
    <w:p>
      <w:pPr>
        <w:spacing w:after="0"/>
        <w:tabs>
          <w:tab w:leader="none" w:pos="680" w:val="left"/>
          <w:tab w:leader="none" w:pos="4460" w:val="left"/>
          <w:tab w:leader="none" w:pos="6920" w:val="left"/>
          <w:tab w:leader="none" w:pos="872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12. Security Ownership of Certain</w:t>
        <w:tab/>
        <w:t>eneficial Owners and</w:t>
        <w:tab/>
        <w:t>anagement and</w:t>
      </w:r>
      <w:r>
        <w:rPr>
          <w:sz w:val="20"/>
          <w:szCs w:val="20"/>
          <w:color w:val="auto"/>
        </w:rPr>
        <w:tab/>
      </w:r>
      <w:r>
        <w:rPr>
          <w:rFonts w:ascii="Arial" w:cs="Arial" w:eastAsia="Arial" w:hAnsi="Arial"/>
          <w:sz w:val="22"/>
          <w:szCs w:val="22"/>
          <w:color w:val="auto"/>
        </w:rPr>
        <w:t>elated</w:t>
      </w:r>
    </w:p>
    <w:p>
      <w:pPr>
        <w:spacing w:after="0" w:line="12" w:lineRule="exact"/>
        <w:rPr>
          <w:sz w:val="20"/>
          <w:szCs w:val="20"/>
          <w:color w:val="auto"/>
        </w:rPr>
      </w:pPr>
    </w:p>
    <w:p>
      <w:pPr>
        <w:spacing w:after="0"/>
        <w:tabs>
          <w:tab w:leader="none" w:pos="1500" w:val="left"/>
        </w:tabs>
        <w:rPr>
          <w:sz w:val="20"/>
          <w:szCs w:val="20"/>
          <w:color w:val="auto"/>
        </w:rPr>
      </w:pPr>
      <w:r>
        <w:rPr>
          <w:rFonts w:ascii="Arial" w:cs="Arial" w:eastAsia="Arial" w:hAnsi="Arial"/>
          <w:sz w:val="24"/>
          <w:szCs w:val="24"/>
          <w:color w:val="auto"/>
        </w:rPr>
        <w:t>Stoc holder</w:t>
      </w:r>
      <w:r>
        <w:rPr>
          <w:sz w:val="20"/>
          <w:szCs w:val="20"/>
          <w:color w:val="auto"/>
        </w:rPr>
        <w:tab/>
      </w:r>
      <w:r>
        <w:rPr>
          <w:rFonts w:ascii="Arial" w:cs="Arial" w:eastAsia="Arial" w:hAnsi="Arial"/>
          <w:sz w:val="23"/>
          <w:szCs w:val="23"/>
          <w:color w:val="auto"/>
        </w:rPr>
        <w:t>atters</w:t>
      </w:r>
    </w:p>
    <w:p>
      <w:pPr>
        <w:spacing w:after="0" w:line="153" w:lineRule="exact"/>
        <w:rPr>
          <w:sz w:val="20"/>
          <w:szCs w:val="20"/>
          <w:color w:val="auto"/>
        </w:rPr>
      </w:pPr>
    </w:p>
    <w:p>
      <w:pPr>
        <w:ind w:left="140" w:right="60" w:hanging="144"/>
        <w:spacing w:after="0" w:line="283" w:lineRule="auto"/>
        <w:rPr>
          <w:sz w:val="20"/>
          <w:szCs w:val="20"/>
          <w:color w:val="auto"/>
        </w:rPr>
      </w:pPr>
      <w:r>
        <w:rPr>
          <w:rFonts w:ascii="Arial" w:cs="Arial" w:eastAsia="Arial" w:hAnsi="Arial"/>
          <w:sz w:val="20"/>
          <w:szCs w:val="20"/>
          <w:color w:val="auto"/>
        </w:rPr>
        <w:t>The information re uired by this Item will appear under the headings E uity Compensation Plan Information and Beneficial wnership in our Proxy Statement, which sections are incorporated herein by reference.</w:t>
      </w:r>
    </w:p>
    <w:p>
      <w:pPr>
        <w:spacing w:after="0" w:line="37" w:lineRule="exact"/>
        <w:rPr>
          <w:sz w:val="20"/>
          <w:szCs w:val="20"/>
          <w:color w:val="auto"/>
        </w:rPr>
      </w:pPr>
    </w:p>
    <w:p>
      <w:pPr>
        <w:spacing w:after="0"/>
        <w:tabs>
          <w:tab w:leader="none" w:pos="680" w:val="left"/>
          <w:tab w:leader="none" w:pos="2120" w:val="left"/>
          <w:tab w:leader="none" w:pos="4000" w:val="left"/>
          <w:tab w:leader="none" w:pos="4840" w:val="left"/>
          <w:tab w:leader="none" w:pos="676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13. Certain</w:t>
        <w:tab/>
        <w:t>elationships and</w:t>
        <w:tab/>
        <w:t>elated</w:t>
        <w:tab/>
        <w:t>ransactions, and</w:t>
      </w:r>
      <w:r>
        <w:rPr>
          <w:sz w:val="20"/>
          <w:szCs w:val="20"/>
          <w:color w:val="auto"/>
        </w:rPr>
        <w:tab/>
      </w:r>
      <w:r>
        <w:rPr>
          <w:rFonts w:ascii="Arial" w:cs="Arial" w:eastAsia="Arial" w:hAnsi="Arial"/>
          <w:sz w:val="23"/>
          <w:szCs w:val="23"/>
          <w:color w:val="auto"/>
        </w:rPr>
        <w:t>irector Independence</w:t>
      </w:r>
    </w:p>
    <w:p>
      <w:pPr>
        <w:spacing w:after="0" w:line="153" w:lineRule="exact"/>
        <w:rPr>
          <w:sz w:val="20"/>
          <w:szCs w:val="20"/>
          <w:color w:val="auto"/>
        </w:rPr>
      </w:pPr>
    </w:p>
    <w:p>
      <w:pPr>
        <w:jc w:val="both"/>
        <w:ind w:right="160"/>
        <w:spacing w:after="0" w:line="266" w:lineRule="auto"/>
        <w:rPr>
          <w:sz w:val="20"/>
          <w:szCs w:val="20"/>
          <w:color w:val="auto"/>
        </w:rPr>
      </w:pPr>
      <w:r>
        <w:rPr>
          <w:rFonts w:ascii="Arial" w:cs="Arial" w:eastAsia="Arial" w:hAnsi="Arial"/>
          <w:sz w:val="20"/>
          <w:szCs w:val="20"/>
          <w:color w:val="auto"/>
        </w:rPr>
        <w:t>The information re uired by this Item will appear under the heading Election of Directors, including in Independence and under the heading Corporate overnance, including in Transactions with elated Persons in our Proxy Statement, which sections are incorporated herein by reference.</w:t>
      </w:r>
    </w:p>
    <w:p>
      <w:pPr>
        <w:sectPr>
          <w:pgSz w:w="12240" w:h="15841" w:orient="portrait"/>
          <w:cols w:equalWidth="0" w:num="1">
            <w:col w:w="10240"/>
          </w:cols>
          <w:pgMar w:left="1000" w:top="792" w:right="1001"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2240" w:h="15841" w:orient="portrait"/>
          <w:cols w:equalWidth="0" w:num="1">
            <w:col w:w="10240"/>
          </w:cols>
          <w:pgMar w:left="1000" w:top="792" w:right="1001" w:bottom="0" w:gutter="0" w:footer="0" w:header="0"/>
          <w:type w:val="continuous"/>
        </w:sectPr>
      </w:pPr>
    </w:p>
    <w:bookmarkStart w:id="49" w:name="page50"/>
    <w:bookmarkEnd w:id="49"/>
    <w:p>
      <w:pPr>
        <w:spacing w:after="0"/>
        <w:tabs>
          <w:tab w:leader="none" w:pos="680" w:val="left"/>
          <w:tab w:leader="none" w:pos="1240" w:val="left"/>
          <w:tab w:leader="none" w:pos="228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I</w:t>
      </w:r>
      <w:r>
        <w:rPr>
          <w:sz w:val="20"/>
          <w:szCs w:val="20"/>
          <w:color w:val="auto"/>
        </w:rPr>
        <w:tab/>
      </w:r>
      <w:r>
        <w:rPr>
          <w:rFonts w:ascii="Arial" w:cs="Arial" w:eastAsia="Arial" w:hAnsi="Arial"/>
          <w:sz w:val="24"/>
          <w:szCs w:val="24"/>
          <w:color w:val="auto"/>
        </w:rPr>
        <w:t>14.</w:t>
        <w:tab/>
        <w:t>rincipal</w:t>
      </w:r>
      <w:r>
        <w:rPr>
          <w:sz w:val="20"/>
          <w:szCs w:val="20"/>
          <w:color w:val="auto"/>
        </w:rPr>
        <w:tab/>
      </w:r>
      <w:r>
        <w:rPr>
          <w:rFonts w:ascii="Arial" w:cs="Arial" w:eastAsia="Arial" w:hAnsi="Arial"/>
          <w:sz w:val="22"/>
          <w:szCs w:val="22"/>
          <w:color w:val="auto"/>
        </w:rPr>
        <w:t>ccountant Fees and Ser ices</w:t>
      </w:r>
    </w:p>
    <w:p>
      <w:pPr>
        <w:spacing w:after="0" w:line="153" w:lineRule="exact"/>
        <w:rPr>
          <w:sz w:val="20"/>
          <w:szCs w:val="20"/>
          <w:color w:val="auto"/>
        </w:rPr>
      </w:pPr>
    </w:p>
    <w:p>
      <w:pPr>
        <w:ind w:right="160"/>
        <w:spacing w:after="0" w:line="280" w:lineRule="auto"/>
        <w:rPr>
          <w:sz w:val="20"/>
          <w:szCs w:val="20"/>
          <w:color w:val="auto"/>
        </w:rPr>
      </w:pPr>
      <w:r>
        <w:rPr>
          <w:rFonts w:ascii="Arial" w:cs="Arial" w:eastAsia="Arial" w:hAnsi="Arial"/>
          <w:sz w:val="20"/>
          <w:szCs w:val="20"/>
          <w:color w:val="auto"/>
        </w:rPr>
        <w:t>The information re uired by this Item will appear under the headings Auditor Fees, Pre-Approval Policies and Audit and Finance Committee eport in our Proxy Statement, which sections are incorporated herein by reference.</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36"/>
          <w:szCs w:val="36"/>
          <w:color w:val="auto"/>
        </w:rPr>
        <w:t>I</w:t>
      </w:r>
    </w:p>
    <w:p>
      <w:pPr>
        <w:spacing w:after="0" w:line="180" w:lineRule="exact"/>
        <w:rPr>
          <w:sz w:val="20"/>
          <w:szCs w:val="20"/>
          <w:color w:val="auto"/>
        </w:rPr>
      </w:pPr>
    </w:p>
    <w:p>
      <w:pPr>
        <w:spacing w:after="0"/>
        <w:tabs>
          <w:tab w:leader="none" w:pos="680" w:val="left"/>
          <w:tab w:leader="none" w:pos="1380"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15.</w:t>
      </w:r>
      <w:r>
        <w:rPr>
          <w:sz w:val="20"/>
          <w:szCs w:val="20"/>
          <w:color w:val="auto"/>
        </w:rPr>
        <w:tab/>
      </w:r>
      <w:r>
        <w:rPr>
          <w:rFonts w:ascii="Arial" w:cs="Arial" w:eastAsia="Arial" w:hAnsi="Arial"/>
          <w:sz w:val="22"/>
          <w:szCs w:val="22"/>
          <w:color w:val="auto"/>
        </w:rPr>
        <w:t>hibits, Financial Statement Schedule</w:t>
      </w:r>
    </w:p>
    <w:p>
      <w:pPr>
        <w:spacing w:after="0" w:line="139" w:lineRule="exact"/>
        <w:rPr>
          <w:sz w:val="20"/>
          <w:szCs w:val="20"/>
          <w:color w:val="auto"/>
        </w:rPr>
      </w:pPr>
    </w:p>
    <w:p>
      <w:pPr>
        <w:ind w:left="60"/>
        <w:spacing w:after="0"/>
        <w:tabs>
          <w:tab w:leader="none" w:pos="1580" w:val="left"/>
          <w:tab w:leader="none" w:pos="2660" w:val="left"/>
          <w:tab w:leader="none" w:pos="3020" w:val="left"/>
        </w:tabs>
        <w:rPr>
          <w:sz w:val="20"/>
          <w:szCs w:val="20"/>
          <w:color w:val="auto"/>
        </w:rPr>
      </w:pPr>
      <w:r>
        <w:rPr>
          <w:rFonts w:ascii="Arial" w:cs="Arial" w:eastAsia="Arial" w:hAnsi="Arial"/>
          <w:sz w:val="22"/>
          <w:szCs w:val="22"/>
          <w:color w:val="auto"/>
        </w:rPr>
        <w:t>a FIN  NCI</w:t>
        <w:tab/>
        <w:t>S</w:t>
      </w:r>
      <w:r>
        <w:rPr>
          <w:sz w:val="20"/>
          <w:szCs w:val="20"/>
          <w:color w:val="auto"/>
        </w:rPr>
        <w:tab/>
      </w:r>
      <w:r>
        <w:rPr>
          <w:rFonts w:ascii="Arial" w:cs="Arial" w:eastAsia="Arial" w:hAnsi="Arial"/>
          <w:sz w:val="22"/>
          <w:szCs w:val="22"/>
          <w:color w:val="auto"/>
        </w:rPr>
        <w:t>N</w:t>
      </w:r>
      <w:r>
        <w:rPr>
          <w:sz w:val="20"/>
          <w:szCs w:val="20"/>
          <w:color w:val="auto"/>
        </w:rPr>
        <w:tab/>
      </w:r>
      <w:r>
        <w:rPr>
          <w:rFonts w:ascii="Arial" w:cs="Arial" w:eastAsia="Arial" w:hAnsi="Arial"/>
          <w:sz w:val="20"/>
          <w:szCs w:val="20"/>
          <w:color w:val="auto"/>
        </w:rPr>
        <w:t>SC</w:t>
      </w:r>
    </w:p>
    <w:p>
      <w:pPr>
        <w:spacing w:after="0" w:line="145"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For a list of the consolidated financial information included herein, see Index to the Consolidated Financial Statements on page F-1.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280" w:type="dxa"/>
            <w:vAlign w:val="bottom"/>
          </w:tcPr>
          <w:p>
            <w:pPr>
              <w:spacing w:after="0"/>
              <w:rPr>
                <w:sz w:val="20"/>
                <w:szCs w:val="20"/>
                <w:color w:val="auto"/>
              </w:rPr>
            </w:pPr>
            <w:r>
              <w:rPr>
                <w:rFonts w:ascii="Arial" w:cs="Arial" w:eastAsia="Arial" w:hAnsi="Arial"/>
                <w:sz w:val="22"/>
                <w:szCs w:val="22"/>
                <w:color w:val="auto"/>
              </w:rPr>
              <w:t>Schedule II</w:t>
            </w:r>
          </w:p>
        </w:tc>
        <w:tc>
          <w:tcPr>
            <w:tcW w:w="2500" w:type="dxa"/>
            <w:vAlign w:val="bottom"/>
          </w:tcPr>
          <w:p>
            <w:pPr>
              <w:ind w:left="160"/>
              <w:spacing w:after="0"/>
              <w:rPr>
                <w:sz w:val="20"/>
                <w:szCs w:val="20"/>
                <w:color w:val="auto"/>
              </w:rPr>
            </w:pPr>
            <w:r>
              <w:rPr>
                <w:rFonts w:ascii="Arial" w:cs="Arial" w:eastAsia="Arial" w:hAnsi="Arial"/>
                <w:sz w:val="22"/>
                <w:szCs w:val="22"/>
                <w:color w:val="auto"/>
              </w:rPr>
              <w:t>aluation and  ualifying</w:t>
            </w:r>
          </w:p>
        </w:tc>
        <w:tc>
          <w:tcPr>
            <w:tcW w:w="1600" w:type="dxa"/>
            <w:vAlign w:val="bottom"/>
            <w:gridSpan w:val="2"/>
          </w:tcPr>
          <w:p>
            <w:pPr>
              <w:jc w:val="right"/>
              <w:ind w:right="680"/>
              <w:spacing w:after="0"/>
              <w:rPr>
                <w:sz w:val="20"/>
                <w:szCs w:val="20"/>
                <w:color w:val="auto"/>
              </w:rPr>
            </w:pPr>
            <w:r>
              <w:rPr>
                <w:rFonts w:ascii="Arial" w:cs="Arial" w:eastAsia="Arial" w:hAnsi="Arial"/>
                <w:sz w:val="22"/>
                <w:szCs w:val="22"/>
                <w:color w:val="auto"/>
              </w:rPr>
              <w:t>ccounts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1"/>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40"/>
              <w:spacing w:after="0"/>
              <w:rPr>
                <w:sz w:val="20"/>
                <w:szCs w:val="20"/>
                <w:color w:val="auto"/>
              </w:rPr>
            </w:pPr>
            <w:r>
              <w:rPr>
                <w:rFonts w:ascii="Arial" w:cs="Arial" w:eastAsia="Arial" w:hAnsi="Arial"/>
                <w:sz w:val="20"/>
                <w:szCs w:val="20"/>
                <w:color w:val="auto"/>
                <w:w w:val="88"/>
              </w:rPr>
              <w:t>Balance</w:t>
            </w:r>
          </w:p>
        </w:tc>
        <w:tc>
          <w:tcPr>
            <w:tcW w:w="160" w:type="dxa"/>
            <w:vAlign w:val="bottom"/>
          </w:tcPr>
          <w:p>
            <w:pPr>
              <w:spacing w:after="0"/>
              <w:rPr>
                <w:sz w:val="24"/>
                <w:szCs w:val="24"/>
                <w:color w:val="auto"/>
              </w:rPr>
            </w:pPr>
          </w:p>
        </w:tc>
        <w:tc>
          <w:tcPr>
            <w:tcW w:w="1100" w:type="dxa"/>
            <w:vAlign w:val="bottom"/>
          </w:tcPr>
          <w:p>
            <w:pPr>
              <w:jc w:val="center"/>
              <w:ind w:right="40"/>
              <w:spacing w:after="0"/>
              <w:rPr>
                <w:sz w:val="20"/>
                <w:szCs w:val="20"/>
                <w:color w:val="auto"/>
              </w:rPr>
            </w:pPr>
            <w:r>
              <w:rPr>
                <w:rFonts w:ascii="Arial" w:cs="Arial" w:eastAsia="Arial" w:hAnsi="Arial"/>
                <w:sz w:val="20"/>
                <w:szCs w:val="20"/>
                <w:color w:val="auto"/>
                <w:w w:val="91"/>
              </w:rPr>
              <w:t>Amounts</w:t>
            </w:r>
          </w:p>
        </w:tc>
        <w:tc>
          <w:tcPr>
            <w:tcW w:w="2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20"/>
                <w:szCs w:val="20"/>
                <w:color w:val="auto"/>
              </w:rPr>
              <w:t>rite-  ffs</w:t>
            </w:r>
          </w:p>
        </w:tc>
        <w:tc>
          <w:tcPr>
            <w:tcW w:w="240" w:type="dxa"/>
            <w:vAlign w:val="bottom"/>
          </w:tcPr>
          <w:p>
            <w:pPr>
              <w:spacing w:after="0"/>
              <w:rPr>
                <w:sz w:val="24"/>
                <w:szCs w:val="24"/>
                <w:color w:val="auto"/>
              </w:rPr>
            </w:pPr>
          </w:p>
        </w:tc>
        <w:tc>
          <w:tcPr>
            <w:tcW w:w="1060" w:type="dxa"/>
            <w:vAlign w:val="bottom"/>
          </w:tcPr>
          <w:p>
            <w:pPr>
              <w:jc w:val="center"/>
              <w:ind w:right="120"/>
              <w:spacing w:after="0"/>
              <w:rPr>
                <w:sz w:val="20"/>
                <w:szCs w:val="20"/>
                <w:color w:val="auto"/>
              </w:rPr>
            </w:pPr>
            <w:r>
              <w:rPr>
                <w:rFonts w:ascii="Arial" w:cs="Arial" w:eastAsia="Arial" w:hAnsi="Arial"/>
                <w:sz w:val="20"/>
                <w:szCs w:val="20"/>
                <w:color w:val="auto"/>
                <w:w w:val="88"/>
              </w:rPr>
              <w:t>Balance</w:t>
            </w:r>
          </w:p>
        </w:tc>
      </w:tr>
      <w:tr>
        <w:trPr>
          <w:trHeight w:val="200"/>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Arial" w:cs="Arial" w:eastAsia="Arial" w:hAnsi="Arial"/>
                <w:sz w:val="20"/>
                <w:szCs w:val="20"/>
                <w:color w:val="auto"/>
                <w:w w:val="95"/>
              </w:rPr>
              <w:t>Beginning of</w:t>
            </w:r>
          </w:p>
        </w:tc>
        <w:tc>
          <w:tcPr>
            <w:tcW w:w="160" w:type="dxa"/>
            <w:vAlign w:val="bottom"/>
          </w:tcPr>
          <w:p>
            <w:pPr>
              <w:spacing w:after="0"/>
              <w:rPr>
                <w:sz w:val="17"/>
                <w:szCs w:val="17"/>
                <w:color w:val="auto"/>
              </w:rPr>
            </w:pPr>
          </w:p>
        </w:tc>
        <w:tc>
          <w:tcPr>
            <w:tcW w:w="1100" w:type="dxa"/>
            <w:vAlign w:val="bottom"/>
          </w:tcPr>
          <w:p>
            <w:pPr>
              <w:jc w:val="center"/>
              <w:ind w:right="40"/>
              <w:spacing w:after="0" w:line="200" w:lineRule="exact"/>
              <w:rPr>
                <w:sz w:val="20"/>
                <w:szCs w:val="20"/>
                <w:color w:val="auto"/>
              </w:rPr>
            </w:pPr>
            <w:r>
              <w:rPr>
                <w:rFonts w:ascii="Arial" w:cs="Arial" w:eastAsia="Arial" w:hAnsi="Arial"/>
                <w:sz w:val="20"/>
                <w:szCs w:val="20"/>
                <w:color w:val="auto"/>
                <w:w w:val="88"/>
              </w:rPr>
              <w:t>Charged to</w:t>
            </w:r>
          </w:p>
        </w:tc>
        <w:tc>
          <w:tcPr>
            <w:tcW w:w="260" w:type="dxa"/>
            <w:vAlign w:val="bottom"/>
          </w:tcPr>
          <w:p>
            <w:pPr>
              <w:spacing w:after="0"/>
              <w:rPr>
                <w:sz w:val="17"/>
                <w:szCs w:val="17"/>
                <w:color w:val="auto"/>
              </w:rPr>
            </w:pPr>
          </w:p>
        </w:tc>
        <w:tc>
          <w:tcPr>
            <w:tcW w:w="1020" w:type="dxa"/>
            <w:vAlign w:val="bottom"/>
          </w:tcPr>
          <w:p>
            <w:pPr>
              <w:ind w:left="80"/>
              <w:spacing w:after="0" w:line="200" w:lineRule="exact"/>
              <w:rPr>
                <w:sz w:val="20"/>
                <w:szCs w:val="20"/>
                <w:color w:val="auto"/>
              </w:rPr>
            </w:pPr>
            <w:r>
              <w:rPr>
                <w:rFonts w:ascii="Arial" w:cs="Arial" w:eastAsia="Arial" w:hAnsi="Arial"/>
                <w:sz w:val="20"/>
                <w:szCs w:val="20"/>
                <w:color w:val="auto"/>
              </w:rPr>
              <w:t>Against</w:t>
            </w:r>
          </w:p>
        </w:tc>
        <w:tc>
          <w:tcPr>
            <w:tcW w:w="240" w:type="dxa"/>
            <w:vAlign w:val="bottom"/>
          </w:tcPr>
          <w:p>
            <w:pPr>
              <w:spacing w:after="0"/>
              <w:rPr>
                <w:sz w:val="17"/>
                <w:szCs w:val="17"/>
                <w:color w:val="auto"/>
              </w:rPr>
            </w:pPr>
          </w:p>
        </w:tc>
        <w:tc>
          <w:tcPr>
            <w:tcW w:w="1060" w:type="dxa"/>
            <w:vAlign w:val="bottom"/>
          </w:tcPr>
          <w:p>
            <w:pPr>
              <w:jc w:val="center"/>
              <w:ind w:right="140"/>
              <w:spacing w:after="0" w:line="200" w:lineRule="exact"/>
              <w:rPr>
                <w:sz w:val="20"/>
                <w:szCs w:val="20"/>
                <w:color w:val="auto"/>
              </w:rPr>
            </w:pPr>
            <w:r>
              <w:rPr>
                <w:rFonts w:ascii="Arial" w:cs="Arial" w:eastAsia="Arial" w:hAnsi="Arial"/>
                <w:sz w:val="20"/>
                <w:szCs w:val="20"/>
                <w:color w:val="auto"/>
                <w:w w:val="93"/>
              </w:rPr>
              <w:t>End of</w:t>
            </w:r>
          </w:p>
        </w:tc>
      </w:tr>
      <w:tr>
        <w:trPr>
          <w:trHeight w:val="263"/>
        </w:trPr>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20"/>
                <w:szCs w:val="20"/>
                <w:color w:val="auto"/>
                <w:w w:val="89"/>
              </w:rPr>
              <w:t>Period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20"/>
                <w:szCs w:val="20"/>
                <w:color w:val="auto"/>
                <w:w w:val="91"/>
              </w:rPr>
              <w:t>Net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eserve</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20"/>
                <w:szCs w:val="20"/>
                <w:color w:val="auto"/>
                <w:w w:val="89"/>
              </w:rPr>
              <w:t>Period</w:t>
            </w:r>
          </w:p>
        </w:tc>
      </w:tr>
      <w:tr>
        <w:trPr>
          <w:trHeight w:val="275"/>
        </w:trPr>
        <w:tc>
          <w:tcPr>
            <w:tcW w:w="1280" w:type="dxa"/>
            <w:vAlign w:val="bottom"/>
            <w:shd w:val="clear" w:color="auto" w:fill="E4E4E4"/>
          </w:tcPr>
          <w:p>
            <w:pPr>
              <w:ind w:left="40"/>
              <w:spacing w:after="0"/>
              <w:rPr>
                <w:sz w:val="20"/>
                <w:szCs w:val="20"/>
                <w:color w:val="auto"/>
              </w:rPr>
            </w:pPr>
            <w:r>
              <w:rPr>
                <w:rFonts w:ascii="Arial" w:cs="Arial" w:eastAsia="Arial" w:hAnsi="Arial"/>
                <w:sz w:val="20"/>
                <w:szCs w:val="20"/>
                <w:color w:val="auto"/>
              </w:rPr>
              <w:t>Sales  eturn</w:t>
            </w:r>
          </w:p>
        </w:tc>
        <w:tc>
          <w:tcPr>
            <w:tcW w:w="2500" w:type="dxa"/>
            <w:vAlign w:val="bottom"/>
            <w:shd w:val="clear" w:color="auto" w:fill="E4E4E4"/>
          </w:tcPr>
          <w:p>
            <w:pPr>
              <w:ind w:left="60"/>
              <w:spacing w:after="0"/>
              <w:rPr>
                <w:sz w:val="20"/>
                <w:szCs w:val="20"/>
                <w:color w:val="auto"/>
              </w:rPr>
            </w:pPr>
            <w:r>
              <w:rPr>
                <w:rFonts w:ascii="Arial" w:cs="Arial" w:eastAsia="Arial" w:hAnsi="Arial"/>
                <w:sz w:val="20"/>
                <w:szCs w:val="20"/>
                <w:color w:val="auto"/>
              </w:rPr>
              <w:t>eser e</w:t>
            </w:r>
          </w:p>
        </w:tc>
        <w:tc>
          <w:tcPr>
            <w:tcW w:w="1380" w:type="dxa"/>
            <w:vAlign w:val="bottom"/>
            <w:shd w:val="clear" w:color="auto" w:fill="E4E4E4"/>
          </w:tcPr>
          <w:p>
            <w:pPr>
              <w:spacing w:after="0"/>
              <w:rPr>
                <w:sz w:val="23"/>
                <w:szCs w:val="23"/>
                <w:color w:val="auto"/>
              </w:rPr>
            </w:pPr>
          </w:p>
        </w:tc>
        <w:tc>
          <w:tcPr>
            <w:tcW w:w="220" w:type="dxa"/>
            <w:vAlign w:val="bottom"/>
            <w:shd w:val="clear" w:color="auto" w:fill="E4E4E4"/>
          </w:tcPr>
          <w:p>
            <w:pPr>
              <w:spacing w:after="0"/>
              <w:rPr>
                <w:sz w:val="23"/>
                <w:szCs w:val="23"/>
                <w:color w:val="auto"/>
              </w:rPr>
            </w:pPr>
          </w:p>
        </w:tc>
        <w:tc>
          <w:tcPr>
            <w:tcW w:w="1040" w:type="dxa"/>
            <w:vAlign w:val="bottom"/>
            <w:shd w:val="clear" w:color="auto" w:fill="E4E4E4"/>
          </w:tcPr>
          <w:p>
            <w:pPr>
              <w:spacing w:after="0"/>
              <w:rPr>
                <w:sz w:val="23"/>
                <w:szCs w:val="23"/>
                <w:color w:val="auto"/>
              </w:rPr>
            </w:pPr>
          </w:p>
        </w:tc>
        <w:tc>
          <w:tcPr>
            <w:tcW w:w="160" w:type="dxa"/>
            <w:vAlign w:val="bottom"/>
            <w:shd w:val="clear" w:color="auto" w:fill="E4E4E4"/>
          </w:tcPr>
          <w:p>
            <w:pPr>
              <w:spacing w:after="0"/>
              <w:rPr>
                <w:sz w:val="23"/>
                <w:szCs w:val="23"/>
                <w:color w:val="auto"/>
              </w:rPr>
            </w:pPr>
          </w:p>
        </w:tc>
        <w:tc>
          <w:tcPr>
            <w:tcW w:w="1100" w:type="dxa"/>
            <w:vAlign w:val="bottom"/>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1020" w:type="dxa"/>
            <w:vAlign w:val="bottom"/>
            <w:shd w:val="clear" w:color="auto" w:fill="E4E4E4"/>
          </w:tcPr>
          <w:p>
            <w:pPr>
              <w:spacing w:after="0"/>
              <w:rPr>
                <w:sz w:val="23"/>
                <w:szCs w:val="23"/>
                <w:color w:val="auto"/>
              </w:rPr>
            </w:pPr>
          </w:p>
        </w:tc>
        <w:tc>
          <w:tcPr>
            <w:tcW w:w="240" w:type="dxa"/>
            <w:vAlign w:val="bottom"/>
            <w:shd w:val="clear" w:color="auto" w:fill="E4E4E4"/>
          </w:tcPr>
          <w:p>
            <w:pPr>
              <w:spacing w:after="0"/>
              <w:rPr>
                <w:sz w:val="23"/>
                <w:szCs w:val="23"/>
                <w:color w:val="auto"/>
              </w:rPr>
            </w:pPr>
          </w:p>
        </w:tc>
        <w:tc>
          <w:tcPr>
            <w:tcW w:w="1060" w:type="dxa"/>
            <w:vAlign w:val="bottom"/>
            <w:shd w:val="clear" w:color="auto" w:fill="E4E4E4"/>
          </w:tcPr>
          <w:p>
            <w:pPr>
              <w:spacing w:after="0"/>
              <w:rPr>
                <w:sz w:val="23"/>
                <w:szCs w:val="23"/>
                <w:color w:val="auto"/>
              </w:rPr>
            </w:pPr>
          </w:p>
        </w:tc>
      </w:tr>
      <w:tr>
        <w:trPr>
          <w:trHeight w:val="294"/>
        </w:trPr>
        <w:tc>
          <w:tcPr>
            <w:tcW w:w="1280" w:type="dxa"/>
            <w:vAlign w:val="bottom"/>
            <w:shd w:val="clear" w:color="auto" w:fill="FEFEFE"/>
          </w:tcPr>
          <w:p>
            <w:pPr>
              <w:ind w:left="260"/>
              <w:spacing w:after="0"/>
              <w:rPr>
                <w:sz w:val="20"/>
                <w:szCs w:val="20"/>
                <w:color w:val="auto"/>
              </w:rPr>
            </w:pPr>
            <w:r>
              <w:rPr>
                <w:rFonts w:ascii="Arial" w:cs="Arial" w:eastAsia="Arial" w:hAnsi="Arial"/>
                <w:sz w:val="20"/>
                <w:szCs w:val="20"/>
                <w:color w:val="auto"/>
              </w:rPr>
              <w:t>Fiscal  ear</w:t>
            </w:r>
          </w:p>
        </w:tc>
        <w:tc>
          <w:tcPr>
            <w:tcW w:w="2500" w:type="dxa"/>
            <w:vAlign w:val="bottom"/>
            <w:shd w:val="clear" w:color="auto" w:fill="FEFEFE"/>
          </w:tcPr>
          <w:p>
            <w:pPr>
              <w:ind w:left="140"/>
              <w:spacing w:after="0"/>
              <w:rPr>
                <w:sz w:val="20"/>
                <w:szCs w:val="20"/>
                <w:color w:val="auto"/>
              </w:rPr>
            </w:pPr>
            <w:r>
              <w:rPr>
                <w:rFonts w:ascii="Arial" w:cs="Arial" w:eastAsia="Arial" w:hAnsi="Arial"/>
                <w:sz w:val="20"/>
                <w:szCs w:val="20"/>
                <w:color w:val="auto"/>
              </w:rPr>
              <w:t>nded January 31, 2026</w:t>
            </w:r>
          </w:p>
        </w:tc>
        <w:tc>
          <w:tcPr>
            <w:tcW w:w="1380" w:type="dxa"/>
            <w:vAlign w:val="bottom"/>
            <w:shd w:val="clear" w:color="auto" w:fill="FEFEFE"/>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151</w:t>
            </w:r>
          </w:p>
        </w:tc>
        <w:tc>
          <w:tcPr>
            <w:tcW w:w="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5,816</w:t>
            </w:r>
          </w:p>
        </w:tc>
        <w:tc>
          <w:tcPr>
            <w:tcW w:w="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FEFEFE"/>
          </w:tcPr>
          <w:p>
            <w:pPr>
              <w:ind w:left="500"/>
              <w:spacing w:after="0"/>
              <w:rPr>
                <w:sz w:val="20"/>
                <w:szCs w:val="20"/>
                <w:color w:val="auto"/>
              </w:rPr>
            </w:pPr>
            <w:r>
              <w:rPr>
                <w:rFonts w:ascii="Arial" w:cs="Arial" w:eastAsia="Arial" w:hAnsi="Arial"/>
                <w:sz w:val="20"/>
                <w:szCs w:val="20"/>
                <w:color w:val="auto"/>
                <w:w w:val="99"/>
              </w:rPr>
              <w:t>5,817</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150</w:t>
            </w:r>
          </w:p>
        </w:tc>
      </w:tr>
      <w:tr>
        <w:trPr>
          <w:trHeight w:val="306"/>
        </w:trPr>
        <w:tc>
          <w:tcPr>
            <w:tcW w:w="3780" w:type="dxa"/>
            <w:vAlign w:val="bottom"/>
            <w:gridSpan w:val="2"/>
            <w:shd w:val="clear" w:color="auto" w:fill="E4E4E4"/>
          </w:tcPr>
          <w:p>
            <w:pPr>
              <w:ind w:left="260"/>
              <w:spacing w:after="0"/>
              <w:rPr>
                <w:sz w:val="20"/>
                <w:szCs w:val="20"/>
                <w:color w:val="auto"/>
              </w:rPr>
            </w:pPr>
            <w:r>
              <w:rPr>
                <w:rFonts w:ascii="Arial" w:cs="Arial" w:eastAsia="Arial" w:hAnsi="Arial"/>
                <w:sz w:val="20"/>
                <w:szCs w:val="20"/>
                <w:color w:val="auto"/>
              </w:rPr>
              <w:t>Fiscal Year Ended February 1, 2025</w:t>
            </w:r>
          </w:p>
        </w:tc>
        <w:tc>
          <w:tcPr>
            <w:tcW w:w="16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150</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5,700</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4E4E4"/>
          </w:tcPr>
          <w:p>
            <w:pPr>
              <w:ind w:left="500"/>
              <w:spacing w:after="0"/>
              <w:rPr>
                <w:sz w:val="20"/>
                <w:szCs w:val="20"/>
                <w:color w:val="auto"/>
              </w:rPr>
            </w:pPr>
            <w:r>
              <w:rPr>
                <w:rFonts w:ascii="Arial" w:cs="Arial" w:eastAsia="Arial" w:hAnsi="Arial"/>
                <w:sz w:val="20"/>
                <w:szCs w:val="20"/>
                <w:color w:val="auto"/>
              </w:rPr>
              <w:t>5,6</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151</w:t>
            </w:r>
          </w:p>
        </w:tc>
      </w:tr>
      <w:tr>
        <w:trPr>
          <w:trHeight w:val="290"/>
        </w:trPr>
        <w:tc>
          <w:tcPr>
            <w:tcW w:w="378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Fiscal Year Ended February 3, 2024</w:t>
            </w:r>
          </w:p>
        </w:tc>
        <w:tc>
          <w:tcPr>
            <w:tcW w:w="160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148</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5,802</w:t>
            </w:r>
          </w:p>
        </w:tc>
        <w:tc>
          <w:tcPr>
            <w:tcW w:w="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FEFEFE"/>
          </w:tcPr>
          <w:p>
            <w:pPr>
              <w:ind w:left="500"/>
              <w:spacing w:after="0"/>
              <w:rPr>
                <w:sz w:val="20"/>
                <w:szCs w:val="20"/>
                <w:color w:val="auto"/>
              </w:rPr>
            </w:pPr>
            <w:r>
              <w:rPr>
                <w:rFonts w:ascii="Arial" w:cs="Arial" w:eastAsia="Arial" w:hAnsi="Arial"/>
                <w:sz w:val="20"/>
                <w:szCs w:val="20"/>
                <w:color w:val="auto"/>
                <w:w w:val="99"/>
              </w:rPr>
              <w:t>5,800</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150</w:t>
            </w:r>
          </w:p>
        </w:tc>
      </w:tr>
    </w:tbl>
    <w:p>
      <w:pPr>
        <w:spacing w:after="0" w:line="200" w:lineRule="exact"/>
        <w:rPr>
          <w:sz w:val="20"/>
          <w:szCs w:val="20"/>
          <w:color w:val="auto"/>
        </w:rPr>
      </w:pPr>
    </w:p>
    <w:p>
      <w:pPr>
        <w:sectPr>
          <w:pgSz w:w="12240" w:h="15841" w:orient="portrait"/>
          <w:cols w:equalWidth="0" w:num="1">
            <w:col w:w="10260"/>
          </w:cols>
          <w:pgMar w:left="100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ectPr>
          <w:pgSz w:w="12240" w:h="15841" w:orient="portrait"/>
          <w:cols w:equalWidth="0" w:num="1">
            <w:col w:w="10260"/>
          </w:cols>
          <w:pgMar w:left="1000" w:top="771" w:right="981"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92"/>
        </w:trPr>
        <w:tc>
          <w:tcPr>
            <w:tcW w:w="760" w:type="dxa"/>
            <w:vAlign w:val="bottom"/>
          </w:tcPr>
          <w:p>
            <w:pPr>
              <w:jc w:val="right"/>
              <w:ind w:right="489"/>
              <w:spacing w:after="0"/>
              <w:rPr>
                <w:sz w:val="20"/>
                <w:szCs w:val="20"/>
                <w:color w:val="auto"/>
              </w:rPr>
            </w:pPr>
            <w:r>
              <w:rPr>
                <w:rFonts w:ascii="Arial" w:cs="Arial" w:eastAsia="Arial" w:hAnsi="Arial"/>
                <w:sz w:val="22"/>
                <w:szCs w:val="22"/>
                <w:color w:val="auto"/>
              </w:rPr>
              <w:t>b</w:t>
            </w:r>
          </w:p>
        </w:tc>
        <w:tc>
          <w:tcPr>
            <w:tcW w:w="440" w:type="dxa"/>
            <w:vAlign w:val="bottom"/>
          </w:tcPr>
          <w:p>
            <w:pPr>
              <w:ind w:left="40"/>
              <w:spacing w:after="0"/>
              <w:rPr>
                <w:sz w:val="20"/>
                <w:szCs w:val="20"/>
                <w:color w:val="auto"/>
              </w:rPr>
            </w:pPr>
            <w:r>
              <w:rPr>
                <w:rFonts w:ascii="Arial" w:cs="Arial" w:eastAsia="Arial" w:hAnsi="Arial"/>
                <w:sz w:val="22"/>
                <w:szCs w:val="22"/>
                <w:color w:val="auto"/>
              </w:rPr>
              <w:t>I I</w:t>
            </w:r>
          </w:p>
        </w:tc>
        <w:tc>
          <w:tcPr>
            <w:tcW w:w="740" w:type="dxa"/>
            <w:vAlign w:val="bottom"/>
            <w:gridSpan w:val="4"/>
          </w:tcPr>
          <w:p>
            <w:pPr>
              <w:ind w:left="60"/>
              <w:spacing w:after="0"/>
              <w:rPr>
                <w:sz w:val="20"/>
                <w:szCs w:val="20"/>
                <w:color w:val="auto"/>
              </w:rPr>
            </w:pPr>
            <w:r>
              <w:rPr>
                <w:rFonts w:ascii="Arial" w:cs="Arial" w:eastAsia="Arial" w:hAnsi="Arial"/>
                <w:sz w:val="22"/>
                <w:szCs w:val="22"/>
                <w:color w:val="auto"/>
              </w:rPr>
              <w: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820" w:type="dxa"/>
            <w:vAlign w:val="bottom"/>
            <w:gridSpan w:val="28"/>
          </w:tcPr>
          <w:p>
            <w:pPr>
              <w:spacing w:after="0"/>
              <w:rPr>
                <w:sz w:val="20"/>
                <w:szCs w:val="20"/>
                <w:color w:val="auto"/>
              </w:rPr>
            </w:pPr>
            <w:r>
              <w:rPr>
                <w:rFonts w:ascii="Arial" w:cs="Arial" w:eastAsia="Arial" w:hAnsi="Arial"/>
                <w:sz w:val="20"/>
                <w:szCs w:val="20"/>
                <w:color w:val="auto"/>
                <w:w w:val="91"/>
              </w:rPr>
              <w:t>Listed below are all exhibits filed as part of this report. Some exhibits are filed by the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20"/>
          </w:tcPr>
          <w:p>
            <w:pPr>
              <w:jc w:val="right"/>
              <w:ind w:right="430"/>
              <w:spacing w:after="0"/>
              <w:rPr>
                <w:sz w:val="20"/>
                <w:szCs w:val="20"/>
                <w:color w:val="auto"/>
              </w:rPr>
            </w:pPr>
            <w:r>
              <w:rPr>
                <w:rFonts w:ascii="Arial" w:cs="Arial" w:eastAsia="Arial" w:hAnsi="Arial"/>
                <w:sz w:val="20"/>
                <w:szCs w:val="20"/>
                <w:color w:val="auto"/>
                <w:w w:val="91"/>
              </w:rPr>
              <w:t>egistrant with the Securities and</w:t>
            </w:r>
          </w:p>
        </w:tc>
        <w:tc>
          <w:tcPr>
            <w:tcW w:w="0" w:type="dxa"/>
            <w:vAlign w:val="bottom"/>
          </w:tcPr>
          <w:p>
            <w:pPr>
              <w:spacing w:after="0"/>
              <w:rPr>
                <w:sz w:val="1"/>
                <w:szCs w:val="1"/>
                <w:color w:val="auto"/>
              </w:rPr>
            </w:pPr>
          </w:p>
        </w:tc>
      </w:tr>
      <w:tr>
        <w:trPr>
          <w:trHeight w:val="261"/>
        </w:trPr>
        <w:tc>
          <w:tcPr>
            <w:tcW w:w="2900" w:type="dxa"/>
            <w:vAlign w:val="bottom"/>
            <w:gridSpan w:val="12"/>
          </w:tcPr>
          <w:p>
            <w:pPr>
              <w:spacing w:after="0"/>
              <w:rPr>
                <w:sz w:val="20"/>
                <w:szCs w:val="20"/>
                <w:color w:val="auto"/>
              </w:rPr>
            </w:pPr>
            <w:r>
              <w:rPr>
                <w:rFonts w:ascii="Arial" w:cs="Arial" w:eastAsia="Arial" w:hAnsi="Arial"/>
                <w:sz w:val="20"/>
                <w:szCs w:val="20"/>
                <w:color w:val="auto"/>
                <w:w w:val="92"/>
              </w:rPr>
              <w:t>Exchange Commission pursuant to</w:t>
            </w:r>
          </w:p>
        </w:tc>
        <w:tc>
          <w:tcPr>
            <w:tcW w:w="3080" w:type="dxa"/>
            <w:vAlign w:val="bottom"/>
            <w:gridSpan w:val="11"/>
          </w:tcPr>
          <w:p>
            <w:pPr>
              <w:ind w:left="60"/>
              <w:spacing w:after="0"/>
              <w:rPr>
                <w:sz w:val="20"/>
                <w:szCs w:val="20"/>
                <w:color w:val="auto"/>
              </w:rPr>
            </w:pPr>
            <w:r>
              <w:rPr>
                <w:rFonts w:ascii="Arial" w:cs="Arial" w:eastAsia="Arial" w:hAnsi="Arial"/>
                <w:sz w:val="20"/>
                <w:szCs w:val="20"/>
                <w:color w:val="auto"/>
                <w:w w:val="94"/>
              </w:rPr>
              <w:t>ule 12b-32 under the Exchange Act.</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Incorporate by</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w w:val="99"/>
              </w:rPr>
              <w:t>eference</w:t>
            </w: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60" w:type="dxa"/>
            <w:vAlign w:val="bottom"/>
          </w:tcPr>
          <w:p>
            <w:pPr>
              <w:jc w:val="right"/>
              <w:ind w:right="29"/>
              <w:spacing w:after="0"/>
              <w:rPr>
                <w:sz w:val="20"/>
                <w:szCs w:val="20"/>
                <w:color w:val="auto"/>
              </w:rPr>
            </w:pPr>
            <w:r>
              <w:rPr>
                <w:rFonts w:ascii="Arial" w:cs="Arial" w:eastAsia="Arial" w:hAnsi="Arial"/>
                <w:sz w:val="18"/>
                <w:szCs w:val="18"/>
                <w:color w:val="auto"/>
              </w:rPr>
              <w:t>hibit</w:t>
            </w:r>
          </w:p>
        </w:tc>
        <w:tc>
          <w:tcPr>
            <w:tcW w:w="1180" w:type="dxa"/>
            <w:vAlign w:val="bottom"/>
            <w:gridSpan w:val="5"/>
            <w:vMerge w:val="restart"/>
          </w:tcPr>
          <w:p>
            <w:pPr>
              <w:ind w:left="140"/>
              <w:spacing w:after="0"/>
              <w:rPr>
                <w:sz w:val="20"/>
                <w:szCs w:val="20"/>
                <w:color w:val="auto"/>
              </w:rPr>
            </w:pPr>
            <w:r>
              <w:rPr>
                <w:rFonts w:ascii="Arial" w:cs="Arial" w:eastAsia="Arial" w:hAnsi="Arial"/>
                <w:sz w:val="18"/>
                <w:szCs w:val="18"/>
                <w:color w:val="auto"/>
              </w:rPr>
              <w:t>escription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Form</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hibit</w:t>
            </w:r>
          </w:p>
        </w:tc>
        <w:tc>
          <w:tcPr>
            <w:tcW w:w="980" w:type="dxa"/>
            <w:vAlign w:val="bottom"/>
          </w:tcPr>
          <w:p>
            <w:pPr>
              <w:ind w:left="260"/>
              <w:spacing w:after="0"/>
              <w:rPr>
                <w:sz w:val="20"/>
                <w:szCs w:val="20"/>
                <w:color w:val="auto"/>
              </w:rPr>
            </w:pPr>
            <w:r>
              <w:rPr>
                <w:rFonts w:ascii="Arial" w:cs="Arial" w:eastAsia="Arial" w:hAnsi="Arial"/>
                <w:sz w:val="18"/>
                <w:szCs w:val="18"/>
                <w:color w:val="auto"/>
              </w:rPr>
              <w:t>Filing</w:t>
            </w:r>
          </w:p>
        </w:tc>
        <w:tc>
          <w:tcPr>
            <w:tcW w:w="0" w:type="dxa"/>
            <w:vAlign w:val="bottom"/>
          </w:tcPr>
          <w:p>
            <w:pPr>
              <w:spacing w:after="0"/>
              <w:rPr>
                <w:sz w:val="1"/>
                <w:szCs w:val="1"/>
                <w:color w:val="auto"/>
              </w:rPr>
            </w:pPr>
          </w:p>
        </w:tc>
      </w:tr>
      <w:tr>
        <w:trPr>
          <w:trHeight w:val="239"/>
        </w:trPr>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8"/>
                <w:szCs w:val="18"/>
                <w:color w:val="auto"/>
              </w:rPr>
              <w:t>No.</w:t>
            </w:r>
          </w:p>
        </w:tc>
        <w:tc>
          <w:tcPr>
            <w:tcW w:w="1180" w:type="dxa"/>
            <w:vAlign w:val="bottom"/>
            <w:tcBorders>
              <w:bottom w:val="single" w:sz="8" w:color="auto"/>
            </w:tcBorders>
            <w:gridSpan w:val="5"/>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No.</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ate</w:t>
            </w:r>
          </w:p>
        </w:tc>
        <w:tc>
          <w:tcPr>
            <w:tcW w:w="0" w:type="dxa"/>
            <w:vAlign w:val="bottom"/>
          </w:tcPr>
          <w:p>
            <w:pPr>
              <w:spacing w:after="0"/>
              <w:rPr>
                <w:sz w:val="1"/>
                <w:szCs w:val="1"/>
                <w:color w:val="auto"/>
              </w:rPr>
            </w:pPr>
          </w:p>
        </w:tc>
      </w:tr>
      <w:tr>
        <w:trPr>
          <w:trHeight w:val="205"/>
        </w:trPr>
        <w:tc>
          <w:tcPr>
            <w:tcW w:w="760" w:type="dxa"/>
            <w:vAlign w:val="bottom"/>
            <w:shd w:val="clear" w:color="auto" w:fill="E4E4E4"/>
          </w:tcPr>
          <w:p>
            <w:pPr>
              <w:jc w:val="center"/>
              <w:spacing w:after="0" w:line="205" w:lineRule="exact"/>
              <w:rPr>
                <w:sz w:val="20"/>
                <w:szCs w:val="20"/>
                <w:color w:val="auto"/>
              </w:rPr>
            </w:pPr>
            <w:r>
              <w:rPr>
                <w:rFonts w:ascii="Arial" w:cs="Arial" w:eastAsia="Arial" w:hAnsi="Arial"/>
                <w:sz w:val="18"/>
                <w:szCs w:val="18"/>
                <w:color w:val="auto"/>
                <w:w w:val="92"/>
              </w:rPr>
              <w:t>3(i).1</w:t>
            </w:r>
          </w:p>
        </w:tc>
        <w:tc>
          <w:tcPr>
            <w:tcW w:w="440" w:type="dxa"/>
            <w:vAlign w:val="bottom"/>
            <w:shd w:val="clear" w:color="auto" w:fill="E4E4E4"/>
          </w:tcPr>
          <w:p>
            <w:pPr>
              <w:spacing w:after="0" w:line="205" w:lineRule="exact"/>
              <w:rPr>
                <w:sz w:val="20"/>
                <w:szCs w:val="20"/>
                <w:color w:val="auto"/>
              </w:rPr>
            </w:pPr>
            <w:r>
              <w:rPr>
                <w:rFonts w:ascii="Arial" w:cs="Arial" w:eastAsia="Arial" w:hAnsi="Arial"/>
                <w:sz w:val="18"/>
                <w:szCs w:val="18"/>
                <w:color w:val="303030"/>
              </w:rPr>
              <w:t>Fifth</w:t>
            </w:r>
          </w:p>
        </w:tc>
        <w:tc>
          <w:tcPr>
            <w:tcW w:w="60" w:type="dxa"/>
            <w:vAlign w:val="bottom"/>
            <w:shd w:val="clear" w:color="auto" w:fill="E4E4E4"/>
          </w:tcPr>
          <w:p>
            <w:pPr>
              <w:spacing w:after="0"/>
              <w:rPr>
                <w:sz w:val="17"/>
                <w:szCs w:val="17"/>
                <w:color w:val="auto"/>
              </w:rPr>
            </w:pPr>
          </w:p>
        </w:tc>
        <w:tc>
          <w:tcPr>
            <w:tcW w:w="3640" w:type="dxa"/>
            <w:vAlign w:val="bottom"/>
            <w:gridSpan w:val="15"/>
            <w:shd w:val="clear" w:color="auto" w:fill="E4E4E4"/>
          </w:tcPr>
          <w:p>
            <w:pPr>
              <w:ind w:left="20"/>
              <w:spacing w:after="0" w:line="205" w:lineRule="exact"/>
              <w:rPr>
                <w:sz w:val="20"/>
                <w:szCs w:val="20"/>
                <w:color w:val="auto"/>
              </w:rPr>
            </w:pPr>
            <w:r>
              <w:rPr>
                <w:rFonts w:ascii="Arial" w:cs="Arial" w:eastAsia="Arial" w:hAnsi="Arial"/>
                <w:sz w:val="18"/>
                <w:szCs w:val="18"/>
                <w:color w:val="303030"/>
              </w:rPr>
              <w:t>estated Certificate of Incorporation</w:t>
            </w:r>
          </w:p>
        </w:tc>
        <w:tc>
          <w:tcPr>
            <w:tcW w:w="30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3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0" w:type="dxa"/>
            <w:vAlign w:val="bottom"/>
            <w:gridSpan w:val="3"/>
            <w:shd w:val="clear" w:color="auto" w:fill="E4E4E4"/>
          </w:tcPr>
          <w:p>
            <w:pPr>
              <w:jc w:val="center"/>
              <w:spacing w:after="0" w:line="205" w:lineRule="exact"/>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line="205" w:lineRule="exact"/>
              <w:rPr>
                <w:sz w:val="20"/>
                <w:szCs w:val="20"/>
                <w:color w:val="auto"/>
              </w:rPr>
            </w:pPr>
            <w:r>
              <w:rPr>
                <w:rFonts w:ascii="Arial" w:cs="Arial" w:eastAsia="Arial" w:hAnsi="Arial"/>
                <w:sz w:val="18"/>
                <w:szCs w:val="18"/>
                <w:color w:val="auto"/>
                <w:w w:val="97"/>
              </w:rPr>
              <w:t>3(i).1</w:t>
            </w:r>
          </w:p>
        </w:tc>
        <w:tc>
          <w:tcPr>
            <w:tcW w:w="980" w:type="dxa"/>
            <w:vAlign w:val="bottom"/>
            <w:shd w:val="clear" w:color="auto" w:fill="E4E4E4"/>
          </w:tcPr>
          <w:p>
            <w:pPr>
              <w:jc w:val="right"/>
              <w:ind w:right="170"/>
              <w:spacing w:after="0" w:line="205" w:lineRule="exact"/>
              <w:rPr>
                <w:sz w:val="20"/>
                <w:szCs w:val="20"/>
                <w:color w:val="auto"/>
              </w:rPr>
            </w:pPr>
            <w:r>
              <w:rPr>
                <w:rFonts w:ascii="Arial" w:cs="Arial" w:eastAsia="Arial" w:hAnsi="Arial"/>
                <w:sz w:val="18"/>
                <w:szCs w:val="18"/>
                <w:color w:val="auto"/>
              </w:rPr>
              <w:t>4 3 201</w:t>
            </w: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44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303030"/>
            </w:tcBorders>
            <w:shd w:val="clear" w:color="auto" w:fill="E4E4E4"/>
          </w:tcPr>
          <w:p>
            <w:pPr>
              <w:spacing w:after="0"/>
              <w:rPr>
                <w:sz w:val="4"/>
                <w:szCs w:val="4"/>
                <w:color w:val="auto"/>
              </w:rPr>
            </w:pPr>
          </w:p>
        </w:tc>
        <w:tc>
          <w:tcPr>
            <w:tcW w:w="180" w:type="dxa"/>
            <w:vAlign w:val="bottom"/>
            <w:tcBorders>
              <w:top w:val="single" w:sz="8" w:color="303030"/>
            </w:tcBorders>
            <w:shd w:val="clear" w:color="auto" w:fill="E4E4E4"/>
          </w:tcPr>
          <w:p>
            <w:pPr>
              <w:spacing w:after="0"/>
              <w:rPr>
                <w:sz w:val="4"/>
                <w:szCs w:val="4"/>
                <w:color w:val="auto"/>
              </w:rPr>
            </w:pPr>
          </w:p>
        </w:tc>
        <w:tc>
          <w:tcPr>
            <w:tcW w:w="4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34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303030"/>
            </w:tcBorders>
            <w:shd w:val="clear" w:color="auto" w:fill="E4E4E4"/>
          </w:tcPr>
          <w:p>
            <w:pPr>
              <w:spacing w:after="0"/>
              <w:rPr>
                <w:sz w:val="4"/>
                <w:szCs w:val="4"/>
                <w:color w:val="auto"/>
              </w:rPr>
            </w:pPr>
          </w:p>
        </w:tc>
        <w:tc>
          <w:tcPr>
            <w:tcW w:w="8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360" w:type="dxa"/>
            <w:vAlign w:val="bottom"/>
            <w:tcBorders>
              <w:top w:val="single" w:sz="8" w:color="303030"/>
            </w:tcBorders>
            <w:shd w:val="clear" w:color="auto" w:fill="E4E4E4"/>
          </w:tcPr>
          <w:p>
            <w:pPr>
              <w:spacing w:after="0"/>
              <w:rPr>
                <w:sz w:val="4"/>
                <w:szCs w:val="4"/>
                <w:color w:val="auto"/>
              </w:rPr>
            </w:pPr>
          </w:p>
        </w:tc>
        <w:tc>
          <w:tcPr>
            <w:tcW w:w="11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760" w:type="dxa"/>
            <w:vAlign w:val="bottom"/>
            <w:tcBorders>
              <w:top w:val="single" w:sz="8" w:color="E4E4E4"/>
            </w:tcBorders>
            <w:shd w:val="clear" w:color="auto" w:fill="E4E4E4"/>
          </w:tcPr>
          <w:p>
            <w:pPr>
              <w:spacing w:after="0"/>
              <w:rPr>
                <w:sz w:val="4"/>
                <w:szCs w:val="4"/>
                <w:color w:val="auto"/>
              </w:rPr>
            </w:pPr>
          </w:p>
        </w:tc>
        <w:tc>
          <w:tcPr>
            <w:tcW w:w="74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rPr>
              <w:t>3(ii).1</w:t>
            </w:r>
          </w:p>
        </w:tc>
        <w:tc>
          <w:tcPr>
            <w:tcW w:w="4500" w:type="dxa"/>
            <w:vAlign w:val="bottom"/>
            <w:tcBorders>
              <w:bottom w:val="single" w:sz="8" w:color="303030"/>
            </w:tcBorders>
            <w:gridSpan w:val="19"/>
            <w:shd w:val="clear" w:color="auto" w:fill="FEFEFE"/>
          </w:tcPr>
          <w:p>
            <w:pPr>
              <w:spacing w:after="0"/>
              <w:rPr>
                <w:sz w:val="20"/>
                <w:szCs w:val="20"/>
                <w:color w:val="auto"/>
              </w:rPr>
            </w:pPr>
            <w:r>
              <w:rPr>
                <w:rFonts w:ascii="Arial" w:cs="Arial" w:eastAsia="Arial" w:hAnsi="Arial"/>
                <w:sz w:val="18"/>
                <w:szCs w:val="18"/>
                <w:color w:val="303030"/>
                <w:w w:val="88"/>
              </w:rPr>
              <w:t>By-laws as amended and restated through September 18, 2024</w:t>
            </w:r>
          </w:p>
        </w:tc>
        <w:tc>
          <w:tcPr>
            <w:tcW w:w="6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FEFEFE"/>
            </w:tcBorders>
            <w:shd w:val="clear" w:color="auto" w:fill="FEFEFE"/>
          </w:tcPr>
          <w:p>
            <w:pPr>
              <w:spacing w:after="0"/>
              <w:rPr>
                <w:sz w:val="23"/>
                <w:szCs w:val="23"/>
                <w:color w:val="auto"/>
              </w:rPr>
            </w:pPr>
          </w:p>
        </w:tc>
        <w:tc>
          <w:tcPr>
            <w:tcW w:w="260" w:type="dxa"/>
            <w:vAlign w:val="bottom"/>
            <w:tcBorders>
              <w:bottom w:val="single" w:sz="8" w:color="FEFEFE"/>
            </w:tcBorders>
            <w:shd w:val="clear" w:color="auto" w:fill="FEFEFE"/>
          </w:tcPr>
          <w:p>
            <w:pPr>
              <w:spacing w:after="0"/>
              <w:rPr>
                <w:sz w:val="23"/>
                <w:szCs w:val="23"/>
                <w:color w:val="auto"/>
              </w:rPr>
            </w:pPr>
          </w:p>
        </w:tc>
        <w:tc>
          <w:tcPr>
            <w:tcW w:w="200" w:type="dxa"/>
            <w:vAlign w:val="bottom"/>
            <w:tcBorders>
              <w:bottom w:val="single" w:sz="8" w:color="FEFEFE"/>
            </w:tcBorders>
            <w:shd w:val="clear" w:color="auto" w:fill="FEFEFE"/>
          </w:tcPr>
          <w:p>
            <w:pPr>
              <w:spacing w:after="0"/>
              <w:rPr>
                <w:sz w:val="23"/>
                <w:szCs w:val="23"/>
                <w:color w:val="auto"/>
              </w:rPr>
            </w:pPr>
          </w:p>
        </w:tc>
        <w:tc>
          <w:tcPr>
            <w:tcW w:w="340" w:type="dxa"/>
            <w:vAlign w:val="bottom"/>
            <w:tcBorders>
              <w:bottom w:val="single" w:sz="8" w:color="FEFEFE"/>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8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4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800" w:type="dxa"/>
            <w:vAlign w:val="bottom"/>
            <w:tcBorders>
              <w:bottom w:val="single" w:sz="8" w:color="FEFEFE"/>
            </w:tcBorders>
            <w:gridSpan w:val="3"/>
            <w:shd w:val="clear" w:color="auto" w:fill="FEFEFE"/>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5"/>
              </w:rPr>
              <w:t>3.1</w:t>
            </w:r>
          </w:p>
        </w:tc>
        <w:tc>
          <w:tcPr>
            <w:tcW w:w="980" w:type="dxa"/>
            <w:vAlign w:val="bottom"/>
            <w:tcBorders>
              <w:bottom w:val="single" w:sz="8" w:color="FEFEFE"/>
            </w:tcBorders>
            <w:shd w:val="clear" w:color="auto" w:fill="FEFEFE"/>
          </w:tcPr>
          <w:p>
            <w:pPr>
              <w:ind w:left="260"/>
              <w:spacing w:after="0"/>
              <w:rPr>
                <w:sz w:val="20"/>
                <w:szCs w:val="20"/>
                <w:color w:val="auto"/>
              </w:rPr>
            </w:pPr>
            <w:r>
              <w:rPr>
                <w:rFonts w:ascii="Arial" w:cs="Arial" w:eastAsia="Arial" w:hAnsi="Arial"/>
                <w:sz w:val="18"/>
                <w:szCs w:val="18"/>
                <w:color w:val="auto"/>
              </w:rPr>
              <w:t>23 2024</w:t>
            </w:r>
          </w:p>
        </w:tc>
        <w:tc>
          <w:tcPr>
            <w:tcW w:w="0" w:type="dxa"/>
            <w:vAlign w:val="bottom"/>
          </w:tcPr>
          <w:p>
            <w:pPr>
              <w:spacing w:after="0"/>
              <w:rPr>
                <w:sz w:val="1"/>
                <w:szCs w:val="1"/>
                <w:color w:val="auto"/>
              </w:rPr>
            </w:pPr>
          </w:p>
        </w:tc>
      </w:tr>
      <w:tr>
        <w:trPr>
          <w:trHeight w:val="26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5"/>
              </w:rPr>
              <w:t>4.01</w:t>
            </w:r>
          </w:p>
        </w:tc>
        <w:tc>
          <w:tcPr>
            <w:tcW w:w="2140" w:type="dxa"/>
            <w:vAlign w:val="bottom"/>
            <w:gridSpan w:val="11"/>
            <w:shd w:val="clear" w:color="auto" w:fill="E4E4E4"/>
          </w:tcPr>
          <w:p>
            <w:pPr>
              <w:spacing w:after="0"/>
              <w:rPr>
                <w:sz w:val="20"/>
                <w:szCs w:val="20"/>
                <w:color w:val="auto"/>
              </w:rPr>
            </w:pPr>
            <w:r>
              <w:rPr>
                <w:rFonts w:ascii="Arial" w:cs="Arial" w:eastAsia="Arial" w:hAnsi="Arial"/>
                <w:sz w:val="18"/>
                <w:szCs w:val="18"/>
                <w:color w:val="303030"/>
                <w:w w:val="95"/>
              </w:rPr>
              <w:t>Indenture between TJX and</w:t>
            </w:r>
          </w:p>
        </w:tc>
        <w:tc>
          <w:tcPr>
            <w:tcW w:w="4280" w:type="dxa"/>
            <w:vAlign w:val="bottom"/>
            <w:gridSpan w:val="24"/>
            <w:shd w:val="clear" w:color="auto" w:fill="E4E4E4"/>
          </w:tcPr>
          <w:p>
            <w:pPr>
              <w:ind w:left="40"/>
              <w:spacing w:after="0"/>
              <w:rPr>
                <w:sz w:val="20"/>
                <w:szCs w:val="20"/>
                <w:color w:val="auto"/>
              </w:rPr>
            </w:pPr>
            <w:r>
              <w:rPr>
                <w:rFonts w:ascii="Arial" w:cs="Arial" w:eastAsia="Arial" w:hAnsi="Arial"/>
                <w:sz w:val="18"/>
                <w:szCs w:val="18"/>
                <w:color w:val="303030"/>
                <w:w w:val="92"/>
              </w:rPr>
              <w:t>.S. Bank National Association dated September 12, 2016</w:t>
            </w:r>
          </w:p>
        </w:tc>
        <w:tc>
          <w:tcPr>
            <w:tcW w:w="60" w:type="dxa"/>
            <w:vAlign w:val="bottom"/>
            <w:shd w:val="clear" w:color="auto" w:fill="E4E4E4"/>
          </w:tcPr>
          <w:p>
            <w:pPr>
              <w:spacing w:after="0"/>
              <w:rPr>
                <w:sz w:val="23"/>
                <w:szCs w:val="23"/>
                <w:color w:val="auto"/>
              </w:rPr>
            </w:pPr>
          </w:p>
        </w:tc>
        <w:tc>
          <w:tcPr>
            <w:tcW w:w="40" w:type="dxa"/>
            <w:vAlign w:val="bottom"/>
            <w:shd w:val="clear" w:color="auto" w:fill="E4E4E4"/>
          </w:tcPr>
          <w:p>
            <w:pPr>
              <w:spacing w:after="0"/>
              <w:rPr>
                <w:sz w:val="23"/>
                <w:szCs w:val="23"/>
                <w:color w:val="auto"/>
              </w:rPr>
            </w:pPr>
          </w:p>
        </w:tc>
        <w:tc>
          <w:tcPr>
            <w:tcW w:w="10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6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20" w:type="dxa"/>
            <w:vAlign w:val="bottom"/>
            <w:shd w:val="clear" w:color="auto" w:fill="E4E4E4"/>
          </w:tcPr>
          <w:p>
            <w:pPr>
              <w:spacing w:after="0"/>
              <w:rPr>
                <w:sz w:val="23"/>
                <w:szCs w:val="23"/>
                <w:color w:val="auto"/>
              </w:rPr>
            </w:pPr>
          </w:p>
        </w:tc>
        <w:tc>
          <w:tcPr>
            <w:tcW w:w="800" w:type="dxa"/>
            <w:vAlign w:val="bottom"/>
            <w:gridSpan w:val="3"/>
            <w:shd w:val="clear" w:color="auto" w:fill="E4E4E4"/>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5"/>
              </w:rPr>
              <w:t>4.1</w:t>
            </w:r>
          </w:p>
        </w:tc>
        <w:tc>
          <w:tcPr>
            <w:tcW w:w="980" w:type="dxa"/>
            <w:vAlign w:val="bottom"/>
            <w:shd w:val="clear" w:color="auto" w:fill="E4E4E4"/>
          </w:tcPr>
          <w:p>
            <w:pPr>
              <w:ind w:left="260"/>
              <w:spacing w:after="0"/>
              <w:rPr>
                <w:sz w:val="20"/>
                <w:szCs w:val="20"/>
                <w:color w:val="auto"/>
              </w:rPr>
            </w:pPr>
            <w:r>
              <w:rPr>
                <w:rFonts w:ascii="Arial" w:cs="Arial" w:eastAsia="Arial" w:hAnsi="Arial"/>
                <w:sz w:val="18"/>
                <w:szCs w:val="18"/>
                <w:color w:val="auto"/>
              </w:rPr>
              <w:t>12 2016</w:t>
            </w:r>
          </w:p>
        </w:tc>
        <w:tc>
          <w:tcPr>
            <w:tcW w:w="0" w:type="dxa"/>
            <w:vAlign w:val="bottom"/>
          </w:tcPr>
          <w:p>
            <w:pPr>
              <w:spacing w:after="0"/>
              <w:rPr>
                <w:sz w:val="1"/>
                <w:szCs w:val="1"/>
                <w:color w:val="auto"/>
              </w:rPr>
            </w:pPr>
          </w:p>
        </w:tc>
      </w:tr>
      <w:tr>
        <w:trPr>
          <w:trHeight w:val="215"/>
        </w:trPr>
        <w:tc>
          <w:tcPr>
            <w:tcW w:w="76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85"/>
              </w:rPr>
              <w:t>4.02</w:t>
            </w:r>
          </w:p>
        </w:tc>
        <w:tc>
          <w:tcPr>
            <w:tcW w:w="6260" w:type="dxa"/>
            <w:vAlign w:val="bottom"/>
            <w:tcBorders>
              <w:top w:val="single" w:sz="8" w:color="303030"/>
            </w:tcBorders>
            <w:gridSpan w:val="31"/>
            <w:shd w:val="clear" w:color="auto" w:fill="FEFEFE"/>
          </w:tcPr>
          <w:p>
            <w:pPr>
              <w:spacing w:after="0"/>
              <w:rPr>
                <w:sz w:val="20"/>
                <w:szCs w:val="20"/>
                <w:color w:val="auto"/>
              </w:rPr>
            </w:pPr>
            <w:r>
              <w:rPr>
                <w:rFonts w:ascii="Arial" w:cs="Arial" w:eastAsia="Arial" w:hAnsi="Arial"/>
                <w:sz w:val="18"/>
                <w:szCs w:val="18"/>
                <w:color w:val="303030"/>
                <w:w w:val="89"/>
              </w:rPr>
              <w:t>First Supplemental Indenture dated as of September 12, 2016 by and between TJX and</w:t>
            </w:r>
          </w:p>
        </w:tc>
        <w:tc>
          <w:tcPr>
            <w:tcW w:w="160" w:type="dxa"/>
            <w:vAlign w:val="bottom"/>
            <w:tcBorders>
              <w:top w:val="single" w:sz="8" w:color="E4E4E4"/>
            </w:tcBorders>
            <w:gridSpan w:val="4"/>
            <w:shd w:val="clear" w:color="auto" w:fill="FEFEFE"/>
          </w:tcPr>
          <w:p>
            <w:pPr>
              <w:spacing w:after="0"/>
              <w:rPr>
                <w:sz w:val="18"/>
                <w:szCs w:val="18"/>
                <w:color w:val="auto"/>
              </w:rPr>
            </w:pPr>
          </w:p>
        </w:tc>
        <w:tc>
          <w:tcPr>
            <w:tcW w:w="380" w:type="dxa"/>
            <w:vAlign w:val="bottom"/>
            <w:tcBorders>
              <w:top w:val="single" w:sz="8" w:color="E4E4E4"/>
            </w:tcBorders>
            <w:gridSpan w:val="10"/>
            <w:shd w:val="clear" w:color="auto" w:fill="FEFEFE"/>
          </w:tcPr>
          <w:p>
            <w:pPr>
              <w:spacing w:after="0"/>
              <w:rPr>
                <w:sz w:val="20"/>
                <w:szCs w:val="20"/>
                <w:color w:val="auto"/>
              </w:rPr>
            </w:pPr>
            <w:r>
              <w:rPr>
                <w:rFonts w:ascii="Arial" w:cs="Arial" w:eastAsia="Arial" w:hAnsi="Arial"/>
                <w:sz w:val="18"/>
                <w:szCs w:val="18"/>
                <w:color w:val="303030"/>
              </w:rPr>
              <w:t>.S.</w:t>
            </w:r>
          </w:p>
        </w:tc>
        <w:tc>
          <w:tcPr>
            <w:tcW w:w="800" w:type="dxa"/>
            <w:vAlign w:val="bottom"/>
            <w:tcBorders>
              <w:top w:val="single" w:sz="8" w:color="E4E4E4"/>
            </w:tcBorders>
            <w:gridSpan w:val="3"/>
            <w:shd w:val="clear" w:color="auto" w:fill="FEFEFE"/>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95"/>
              </w:rPr>
              <w:t>4.2</w:t>
            </w:r>
          </w:p>
        </w:tc>
        <w:tc>
          <w:tcPr>
            <w:tcW w:w="980" w:type="dxa"/>
            <w:vAlign w:val="bottom"/>
            <w:tcBorders>
              <w:top w:val="single" w:sz="8" w:color="E4E4E4"/>
            </w:tcBorders>
            <w:shd w:val="clear" w:color="auto" w:fill="FEFEFE"/>
          </w:tcPr>
          <w:p>
            <w:pPr>
              <w:ind w:left="260"/>
              <w:spacing w:after="0"/>
              <w:rPr>
                <w:sz w:val="20"/>
                <w:szCs w:val="20"/>
                <w:color w:val="auto"/>
              </w:rPr>
            </w:pPr>
            <w:r>
              <w:rPr>
                <w:rFonts w:ascii="Arial" w:cs="Arial" w:eastAsia="Arial" w:hAnsi="Arial"/>
                <w:sz w:val="18"/>
                <w:szCs w:val="18"/>
                <w:color w:val="auto"/>
              </w:rPr>
              <w:t>12 2016</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bottom w:val="single" w:sz="8" w:color="FEFEFE"/>
            </w:tcBorders>
            <w:shd w:val="clear" w:color="auto" w:fill="FEFEFE"/>
          </w:tcPr>
          <w:p>
            <w:pPr>
              <w:spacing w:after="0"/>
              <w:rPr>
                <w:sz w:val="13"/>
                <w:szCs w:val="13"/>
                <w:color w:val="auto"/>
              </w:rPr>
            </w:pPr>
          </w:p>
        </w:tc>
        <w:tc>
          <w:tcPr>
            <w:tcW w:w="4560" w:type="dxa"/>
            <w:vAlign w:val="bottom"/>
            <w:tcBorders>
              <w:top w:val="single" w:sz="8" w:color="303030"/>
              <w:bottom w:val="single" w:sz="8" w:color="303030"/>
            </w:tcBorders>
            <w:gridSpan w:val="20"/>
            <w:shd w:val="clear" w:color="auto" w:fill="FEFEFE"/>
          </w:tcPr>
          <w:p>
            <w:pPr>
              <w:spacing w:after="0" w:line="160" w:lineRule="exact"/>
              <w:rPr>
                <w:sz w:val="20"/>
                <w:szCs w:val="20"/>
                <w:color w:val="auto"/>
              </w:rPr>
            </w:pPr>
            <w:r>
              <w:rPr>
                <w:rFonts w:ascii="Arial" w:cs="Arial" w:eastAsia="Arial" w:hAnsi="Arial"/>
                <w:sz w:val="18"/>
                <w:szCs w:val="18"/>
                <w:color w:val="303030"/>
                <w:w w:val="95"/>
              </w:rPr>
              <w:t>Bank National Association, as Trustee, including the form of</w:t>
            </w:r>
          </w:p>
        </w:tc>
        <w:tc>
          <w:tcPr>
            <w:tcW w:w="2100" w:type="dxa"/>
            <w:vAlign w:val="bottom"/>
            <w:tcBorders>
              <w:top w:val="single" w:sz="8" w:color="303030"/>
              <w:bottom w:val="single" w:sz="8" w:color="303030"/>
            </w:tcBorders>
            <w:gridSpan w:val="20"/>
            <w:shd w:val="clear" w:color="auto" w:fill="FEFEFE"/>
          </w:tcPr>
          <w:p>
            <w:pPr>
              <w:jc w:val="center"/>
              <w:spacing w:after="0" w:line="160" w:lineRule="exact"/>
              <w:rPr>
                <w:sz w:val="20"/>
                <w:szCs w:val="20"/>
                <w:color w:val="auto"/>
              </w:rPr>
            </w:pPr>
            <w:r>
              <w:rPr>
                <w:rFonts w:ascii="Arial" w:cs="Arial" w:eastAsia="Arial" w:hAnsi="Arial"/>
                <w:sz w:val="18"/>
                <w:szCs w:val="18"/>
                <w:color w:val="303030"/>
                <w:w w:val="89"/>
              </w:rPr>
              <w:t>lobal Note attached as Annex</w:t>
            </w:r>
          </w:p>
        </w:tc>
        <w:tc>
          <w:tcPr>
            <w:tcW w:w="60" w:type="dxa"/>
            <w:vAlign w:val="bottom"/>
            <w:tcBorders>
              <w:top w:val="single" w:sz="8" w:color="FEFEFE"/>
              <w:bottom w:val="single" w:sz="8" w:color="303030"/>
            </w:tcBorders>
            <w:shd w:val="clear" w:color="auto" w:fill="FEFEFE"/>
          </w:tcPr>
          <w:p>
            <w:pPr>
              <w:spacing w:after="0"/>
              <w:rPr>
                <w:sz w:val="13"/>
                <w:szCs w:val="13"/>
                <w:color w:val="auto"/>
              </w:rPr>
            </w:pPr>
          </w:p>
        </w:tc>
        <w:tc>
          <w:tcPr>
            <w:tcW w:w="20" w:type="dxa"/>
            <w:vAlign w:val="bottom"/>
            <w:tcBorders>
              <w:top w:val="single" w:sz="8" w:color="FEFEFE"/>
              <w:bottom w:val="single" w:sz="8" w:color="303030"/>
            </w:tcBorders>
            <w:shd w:val="clear" w:color="auto" w:fill="FEFEFE"/>
          </w:tcPr>
          <w:p>
            <w:pPr>
              <w:spacing w:after="0"/>
              <w:rPr>
                <w:sz w:val="13"/>
                <w:szCs w:val="13"/>
                <w:color w:val="auto"/>
              </w:rPr>
            </w:pPr>
          </w:p>
        </w:tc>
        <w:tc>
          <w:tcPr>
            <w:tcW w:w="20" w:type="dxa"/>
            <w:vAlign w:val="bottom"/>
            <w:tcBorders>
              <w:top w:val="single" w:sz="8" w:color="FEFEFE"/>
              <w:bottom w:val="single" w:sz="8" w:color="303030"/>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760" w:type="dxa"/>
            <w:vAlign w:val="bottom"/>
            <w:tcBorders>
              <w:top w:val="single" w:sz="8" w:color="FEFEFE"/>
              <w:bottom w:val="single" w:sz="8" w:color="FEFEFE"/>
            </w:tcBorders>
            <w:shd w:val="clear" w:color="auto" w:fill="FEFEFE"/>
          </w:tcPr>
          <w:p>
            <w:pPr>
              <w:spacing w:after="0"/>
              <w:rPr>
                <w:sz w:val="13"/>
                <w:szCs w:val="13"/>
                <w:color w:val="auto"/>
              </w:rPr>
            </w:pPr>
          </w:p>
        </w:tc>
        <w:tc>
          <w:tcPr>
            <w:tcW w:w="740" w:type="dxa"/>
            <w:vAlign w:val="bottom"/>
            <w:tcBorders>
              <w:top w:val="single" w:sz="8" w:color="FEFEFE"/>
              <w:bottom w:val="single" w:sz="8" w:color="FEFEFE"/>
            </w:tcBorders>
            <w:shd w:val="clear" w:color="auto" w:fill="FEFEFE"/>
          </w:tcPr>
          <w:p>
            <w:pPr>
              <w:spacing w:after="0"/>
              <w:rPr>
                <w:sz w:val="13"/>
                <w:szCs w:val="13"/>
                <w:color w:val="auto"/>
              </w:rPr>
            </w:pPr>
          </w:p>
        </w:tc>
        <w:tc>
          <w:tcPr>
            <w:tcW w:w="98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FEFEFE"/>
            </w:tcBorders>
            <w:shd w:val="clear" w:color="auto" w:fill="FEFEFE"/>
          </w:tcPr>
          <w:p>
            <w:pPr>
              <w:spacing w:after="0"/>
              <w:rPr>
                <w:sz w:val="18"/>
                <w:szCs w:val="18"/>
                <w:color w:val="auto"/>
              </w:rPr>
            </w:pPr>
          </w:p>
        </w:tc>
        <w:tc>
          <w:tcPr>
            <w:tcW w:w="680" w:type="dxa"/>
            <w:vAlign w:val="bottom"/>
            <w:tcBorders>
              <w:bottom w:val="single" w:sz="8" w:color="303030"/>
            </w:tcBorders>
            <w:gridSpan w:val="3"/>
            <w:shd w:val="clear" w:color="auto" w:fill="FEFEFE"/>
          </w:tcPr>
          <w:p>
            <w:pPr>
              <w:spacing w:after="0" w:line="160" w:lineRule="exact"/>
              <w:rPr>
                <w:sz w:val="20"/>
                <w:szCs w:val="20"/>
                <w:color w:val="auto"/>
              </w:rPr>
            </w:pPr>
            <w:r>
              <w:rPr>
                <w:rFonts w:ascii="Arial" w:cs="Arial" w:eastAsia="Arial" w:hAnsi="Arial"/>
                <w:sz w:val="18"/>
                <w:szCs w:val="18"/>
                <w:color w:val="303030"/>
                <w:w w:val="90"/>
              </w:rPr>
              <w:t>A thereto</w:t>
            </w:r>
          </w:p>
        </w:tc>
        <w:tc>
          <w:tcPr>
            <w:tcW w:w="500" w:type="dxa"/>
            <w:vAlign w:val="bottom"/>
            <w:tcBorders>
              <w:bottom w:val="single" w:sz="8" w:color="FEFEFE"/>
            </w:tcBorders>
            <w:gridSpan w:val="2"/>
            <w:shd w:val="clear" w:color="auto" w:fill="FEFEFE"/>
          </w:tcPr>
          <w:p>
            <w:pPr>
              <w:spacing w:after="0"/>
              <w:rPr>
                <w:sz w:val="18"/>
                <w:szCs w:val="18"/>
                <w:color w:val="auto"/>
              </w:rPr>
            </w:pPr>
          </w:p>
        </w:tc>
        <w:tc>
          <w:tcPr>
            <w:tcW w:w="34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160" w:type="dxa"/>
            <w:vAlign w:val="bottom"/>
            <w:tcBorders>
              <w:bottom w:val="single" w:sz="8" w:color="FEFEFE"/>
            </w:tcBorders>
            <w:shd w:val="clear" w:color="auto" w:fill="FEFEFE"/>
          </w:tcPr>
          <w:p>
            <w:pPr>
              <w:spacing w:after="0"/>
              <w:rPr>
                <w:sz w:val="18"/>
                <w:szCs w:val="18"/>
                <w:color w:val="auto"/>
              </w:rPr>
            </w:pPr>
          </w:p>
        </w:tc>
        <w:tc>
          <w:tcPr>
            <w:tcW w:w="160" w:type="dxa"/>
            <w:vAlign w:val="bottom"/>
            <w:tcBorders>
              <w:bottom w:val="single" w:sz="8" w:color="FEFEFE"/>
            </w:tcBorders>
            <w:shd w:val="clear" w:color="auto" w:fill="FEFEFE"/>
          </w:tcPr>
          <w:p>
            <w:pPr>
              <w:spacing w:after="0"/>
              <w:rPr>
                <w:sz w:val="18"/>
                <w:szCs w:val="18"/>
                <w:color w:val="auto"/>
              </w:rPr>
            </w:pPr>
          </w:p>
        </w:tc>
        <w:tc>
          <w:tcPr>
            <w:tcW w:w="20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80" w:type="dxa"/>
            <w:vAlign w:val="bottom"/>
            <w:tcBorders>
              <w:bottom w:val="single" w:sz="8" w:color="FEFEFE"/>
            </w:tcBorders>
            <w:shd w:val="clear" w:color="auto" w:fill="FEFEFE"/>
          </w:tcPr>
          <w:p>
            <w:pPr>
              <w:spacing w:after="0"/>
              <w:rPr>
                <w:sz w:val="18"/>
                <w:szCs w:val="18"/>
                <w:color w:val="auto"/>
              </w:rPr>
            </w:pPr>
          </w:p>
        </w:tc>
        <w:tc>
          <w:tcPr>
            <w:tcW w:w="200" w:type="dxa"/>
            <w:vAlign w:val="bottom"/>
            <w:tcBorders>
              <w:bottom w:val="single" w:sz="8" w:color="FEFEFE"/>
            </w:tcBorders>
            <w:shd w:val="clear" w:color="auto" w:fill="FEFEFE"/>
          </w:tcPr>
          <w:p>
            <w:pPr>
              <w:spacing w:after="0"/>
              <w:rPr>
                <w:sz w:val="18"/>
                <w:szCs w:val="18"/>
                <w:color w:val="auto"/>
              </w:rPr>
            </w:pPr>
          </w:p>
        </w:tc>
        <w:tc>
          <w:tcPr>
            <w:tcW w:w="360" w:type="dxa"/>
            <w:vAlign w:val="bottom"/>
            <w:tcBorders>
              <w:bottom w:val="single" w:sz="8" w:color="FEFEFE"/>
            </w:tcBorders>
            <w:shd w:val="clear" w:color="auto" w:fill="FEFEFE"/>
          </w:tcPr>
          <w:p>
            <w:pPr>
              <w:spacing w:after="0"/>
              <w:rPr>
                <w:sz w:val="18"/>
                <w:szCs w:val="18"/>
                <w:color w:val="auto"/>
              </w:rPr>
            </w:pPr>
          </w:p>
        </w:tc>
        <w:tc>
          <w:tcPr>
            <w:tcW w:w="1100" w:type="dxa"/>
            <w:vAlign w:val="bottom"/>
            <w:tcBorders>
              <w:bottom w:val="single" w:sz="8" w:color="FEFEFE"/>
            </w:tcBorders>
            <w:shd w:val="clear" w:color="auto" w:fill="FEFEFE"/>
          </w:tcPr>
          <w:p>
            <w:pPr>
              <w:spacing w:after="0"/>
              <w:rPr>
                <w:sz w:val="18"/>
                <w:szCs w:val="18"/>
                <w:color w:val="auto"/>
              </w:rPr>
            </w:pPr>
          </w:p>
        </w:tc>
        <w:tc>
          <w:tcPr>
            <w:tcW w:w="30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400" w:type="dxa"/>
            <w:vAlign w:val="bottom"/>
            <w:tcBorders>
              <w:bottom w:val="single" w:sz="8" w:color="FEFEFE"/>
            </w:tcBorders>
            <w:shd w:val="clear" w:color="auto" w:fill="FEFEFE"/>
          </w:tcPr>
          <w:p>
            <w:pPr>
              <w:spacing w:after="0"/>
              <w:rPr>
                <w:sz w:val="18"/>
                <w:szCs w:val="18"/>
                <w:color w:val="auto"/>
              </w:rPr>
            </w:pPr>
          </w:p>
        </w:tc>
        <w:tc>
          <w:tcPr>
            <w:tcW w:w="260" w:type="dxa"/>
            <w:vAlign w:val="bottom"/>
            <w:tcBorders>
              <w:bottom w:val="single" w:sz="8" w:color="FEFEFE"/>
            </w:tcBorders>
            <w:shd w:val="clear" w:color="auto" w:fill="FEFEFE"/>
          </w:tcPr>
          <w:p>
            <w:pPr>
              <w:spacing w:after="0"/>
              <w:rPr>
                <w:sz w:val="18"/>
                <w:szCs w:val="18"/>
                <w:color w:val="auto"/>
              </w:rPr>
            </w:pPr>
          </w:p>
        </w:tc>
        <w:tc>
          <w:tcPr>
            <w:tcW w:w="200" w:type="dxa"/>
            <w:vAlign w:val="bottom"/>
            <w:tcBorders>
              <w:bottom w:val="single" w:sz="8" w:color="FEFEFE"/>
            </w:tcBorders>
            <w:shd w:val="clear" w:color="auto" w:fill="FEFEFE"/>
          </w:tcPr>
          <w:p>
            <w:pPr>
              <w:spacing w:after="0"/>
              <w:rPr>
                <w:sz w:val="18"/>
                <w:szCs w:val="18"/>
                <w:color w:val="auto"/>
              </w:rPr>
            </w:pPr>
          </w:p>
        </w:tc>
        <w:tc>
          <w:tcPr>
            <w:tcW w:w="340" w:type="dxa"/>
            <w:vAlign w:val="bottom"/>
            <w:tcBorders>
              <w:bottom w:val="single" w:sz="8" w:color="FEFEFE"/>
            </w:tcBorders>
            <w:shd w:val="clear" w:color="auto" w:fill="FEFEFE"/>
          </w:tcPr>
          <w:p>
            <w:pPr>
              <w:spacing w:after="0"/>
              <w:rPr>
                <w:sz w:val="18"/>
                <w:szCs w:val="18"/>
                <w:color w:val="auto"/>
              </w:rPr>
            </w:pPr>
          </w:p>
        </w:tc>
        <w:tc>
          <w:tcPr>
            <w:tcW w:w="12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8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4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760" w:type="dxa"/>
            <w:vAlign w:val="bottom"/>
            <w:tcBorders>
              <w:bottom w:val="single" w:sz="8" w:color="FEFEFE"/>
            </w:tcBorders>
            <w:shd w:val="clear" w:color="auto" w:fill="FEFEFE"/>
          </w:tcPr>
          <w:p>
            <w:pPr>
              <w:spacing w:after="0"/>
              <w:rPr>
                <w:sz w:val="18"/>
                <w:szCs w:val="18"/>
                <w:color w:val="auto"/>
              </w:rPr>
            </w:pPr>
          </w:p>
        </w:tc>
        <w:tc>
          <w:tcPr>
            <w:tcW w:w="740" w:type="dxa"/>
            <w:vAlign w:val="bottom"/>
            <w:tcBorders>
              <w:bottom w:val="single" w:sz="8" w:color="FEFEFE"/>
            </w:tcBorders>
            <w:shd w:val="clear" w:color="auto" w:fill="FEFEFE"/>
          </w:tcPr>
          <w:p>
            <w:pPr>
              <w:spacing w:after="0"/>
              <w:rPr>
                <w:sz w:val="18"/>
                <w:szCs w:val="18"/>
                <w:color w:val="auto"/>
              </w:rPr>
            </w:pPr>
          </w:p>
        </w:tc>
        <w:tc>
          <w:tcPr>
            <w:tcW w:w="980" w:type="dxa"/>
            <w:vAlign w:val="bottom"/>
            <w:tcBorders>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5"/>
              </w:rPr>
              <w:t>4.03</w:t>
            </w:r>
          </w:p>
        </w:tc>
        <w:tc>
          <w:tcPr>
            <w:tcW w:w="5420" w:type="dxa"/>
            <w:vAlign w:val="bottom"/>
            <w:gridSpan w:val="23"/>
            <w:shd w:val="clear" w:color="auto" w:fill="E4E4E4"/>
          </w:tcPr>
          <w:p>
            <w:pPr>
              <w:spacing w:after="0"/>
              <w:rPr>
                <w:sz w:val="20"/>
                <w:szCs w:val="20"/>
                <w:color w:val="auto"/>
              </w:rPr>
            </w:pPr>
            <w:r>
              <w:rPr>
                <w:rFonts w:ascii="Arial" w:cs="Arial" w:eastAsia="Arial" w:hAnsi="Arial"/>
                <w:sz w:val="18"/>
                <w:szCs w:val="18"/>
                <w:color w:val="303030"/>
                <w:w w:val="91"/>
              </w:rPr>
              <w:t>Indenture dated as of April 1, 2020 between The TJX Companies, Inc. and</w:t>
            </w:r>
          </w:p>
        </w:tc>
        <w:tc>
          <w:tcPr>
            <w:tcW w:w="1000" w:type="dxa"/>
            <w:vAlign w:val="bottom"/>
            <w:gridSpan w:val="12"/>
            <w:shd w:val="clear" w:color="auto" w:fill="E4E4E4"/>
          </w:tcPr>
          <w:p>
            <w:pPr>
              <w:jc w:val="center"/>
              <w:ind w:right="120"/>
              <w:spacing w:after="0"/>
              <w:rPr>
                <w:sz w:val="20"/>
                <w:szCs w:val="20"/>
                <w:color w:val="auto"/>
              </w:rPr>
            </w:pPr>
            <w:r>
              <w:rPr>
                <w:rFonts w:ascii="Arial" w:cs="Arial" w:eastAsia="Arial" w:hAnsi="Arial"/>
                <w:sz w:val="18"/>
                <w:szCs w:val="18"/>
                <w:color w:val="303030"/>
                <w:w w:val="88"/>
              </w:rPr>
              <w:t>.S. Bank</w:t>
            </w:r>
          </w:p>
        </w:tc>
        <w:tc>
          <w:tcPr>
            <w:tcW w:w="6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0" w:type="dxa"/>
            <w:vAlign w:val="bottom"/>
            <w:gridSpan w:val="3"/>
            <w:shd w:val="clear" w:color="auto" w:fill="E4E4E4"/>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5"/>
              </w:rPr>
              <w:t>4.1</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4 1 2020</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4140" w:type="dxa"/>
            <w:vAlign w:val="bottom"/>
            <w:tcBorders>
              <w:top w:val="single" w:sz="8" w:color="303030"/>
            </w:tcBorders>
            <w:gridSpan w:val="17"/>
            <w:shd w:val="clear" w:color="auto" w:fill="E4E4E4"/>
          </w:tcPr>
          <w:p>
            <w:pPr>
              <w:spacing w:after="0" w:line="160" w:lineRule="exact"/>
              <w:rPr>
                <w:sz w:val="20"/>
                <w:szCs w:val="20"/>
                <w:color w:val="auto"/>
              </w:rPr>
            </w:pPr>
            <w:r>
              <w:rPr>
                <w:rFonts w:ascii="Arial" w:cs="Arial" w:eastAsia="Arial" w:hAnsi="Arial"/>
                <w:sz w:val="18"/>
                <w:szCs w:val="18"/>
                <w:color w:val="303030"/>
              </w:rPr>
              <w:t>National Association, as Trustee</w:t>
            </w:r>
          </w:p>
        </w:tc>
        <w:tc>
          <w:tcPr>
            <w:tcW w:w="3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0" w:type="dxa"/>
            <w:vAlign w:val="bottom"/>
            <w:tcBorders>
              <w:top w:val="single" w:sz="8" w:color="303030"/>
            </w:tcBorders>
            <w:shd w:val="clear" w:color="auto" w:fill="E4E4E4"/>
          </w:tcPr>
          <w:p>
            <w:pPr>
              <w:spacing w:after="0"/>
              <w:rPr>
                <w:sz w:val="13"/>
                <w:szCs w:val="13"/>
                <w:color w:val="auto"/>
              </w:rPr>
            </w:pPr>
          </w:p>
        </w:tc>
        <w:tc>
          <w:tcPr>
            <w:tcW w:w="26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3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44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303030"/>
            </w:tcBorders>
            <w:shd w:val="clear" w:color="auto" w:fill="E4E4E4"/>
          </w:tcPr>
          <w:p>
            <w:pPr>
              <w:spacing w:after="0"/>
              <w:rPr>
                <w:sz w:val="4"/>
                <w:szCs w:val="4"/>
                <w:color w:val="auto"/>
              </w:rPr>
            </w:pPr>
          </w:p>
        </w:tc>
        <w:tc>
          <w:tcPr>
            <w:tcW w:w="180" w:type="dxa"/>
            <w:vAlign w:val="bottom"/>
            <w:tcBorders>
              <w:top w:val="single" w:sz="8" w:color="303030"/>
            </w:tcBorders>
            <w:shd w:val="clear" w:color="auto" w:fill="E4E4E4"/>
          </w:tcPr>
          <w:p>
            <w:pPr>
              <w:spacing w:after="0"/>
              <w:rPr>
                <w:sz w:val="4"/>
                <w:szCs w:val="4"/>
                <w:color w:val="auto"/>
              </w:rPr>
            </w:pPr>
          </w:p>
        </w:tc>
        <w:tc>
          <w:tcPr>
            <w:tcW w:w="4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34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00" w:type="dxa"/>
            <w:vAlign w:val="bottom"/>
            <w:tcBorders>
              <w:top w:val="single" w:sz="8" w:color="303030"/>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11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760" w:type="dxa"/>
            <w:vAlign w:val="bottom"/>
            <w:tcBorders>
              <w:top w:val="single" w:sz="8" w:color="E4E4E4"/>
            </w:tcBorders>
            <w:shd w:val="clear" w:color="auto" w:fill="E4E4E4"/>
          </w:tcPr>
          <w:p>
            <w:pPr>
              <w:spacing w:after="0"/>
              <w:rPr>
                <w:sz w:val="4"/>
                <w:szCs w:val="4"/>
                <w:color w:val="auto"/>
              </w:rPr>
            </w:pPr>
          </w:p>
        </w:tc>
        <w:tc>
          <w:tcPr>
            <w:tcW w:w="74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5"/>
              </w:rPr>
              <w:t>4.04</w:t>
            </w:r>
          </w:p>
        </w:tc>
        <w:tc>
          <w:tcPr>
            <w:tcW w:w="6060" w:type="dxa"/>
            <w:vAlign w:val="bottom"/>
            <w:gridSpan w:val="27"/>
            <w:shd w:val="clear" w:color="auto" w:fill="FEFEFE"/>
          </w:tcPr>
          <w:p>
            <w:pPr>
              <w:spacing w:after="0"/>
              <w:rPr>
                <w:sz w:val="20"/>
                <w:szCs w:val="20"/>
                <w:color w:val="auto"/>
              </w:rPr>
            </w:pPr>
            <w:r>
              <w:rPr>
                <w:rFonts w:ascii="Arial" w:cs="Arial" w:eastAsia="Arial" w:hAnsi="Arial"/>
                <w:sz w:val="18"/>
                <w:szCs w:val="18"/>
                <w:color w:val="303030"/>
                <w:w w:val="93"/>
              </w:rPr>
              <w:t>Third Supplemental Indenture, dated as of April 1, 2020 by and between TJX and</w:t>
            </w:r>
          </w:p>
        </w:tc>
        <w:tc>
          <w:tcPr>
            <w:tcW w:w="740" w:type="dxa"/>
            <w:vAlign w:val="bottom"/>
            <w:gridSpan w:val="18"/>
            <w:shd w:val="clear" w:color="auto" w:fill="FEFEFE"/>
          </w:tcPr>
          <w:p>
            <w:pPr>
              <w:jc w:val="right"/>
              <w:ind w:right="120"/>
              <w:spacing w:after="0"/>
              <w:rPr>
                <w:sz w:val="20"/>
                <w:szCs w:val="20"/>
                <w:color w:val="auto"/>
              </w:rPr>
            </w:pPr>
            <w:r>
              <w:rPr>
                <w:rFonts w:ascii="Arial" w:cs="Arial" w:eastAsia="Arial" w:hAnsi="Arial"/>
                <w:sz w:val="18"/>
                <w:szCs w:val="18"/>
                <w:color w:val="303030"/>
                <w:w w:val="88"/>
              </w:rPr>
              <w:t>.S. Bank</w:t>
            </w:r>
          </w:p>
        </w:tc>
        <w:tc>
          <w:tcPr>
            <w:tcW w:w="800" w:type="dxa"/>
            <w:vAlign w:val="bottom"/>
            <w:gridSpan w:val="3"/>
            <w:shd w:val="clear" w:color="auto" w:fill="FEFEFE"/>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5"/>
              </w:rPr>
              <w:t>4.4</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4 1 2020</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4140" w:type="dxa"/>
            <w:vAlign w:val="bottom"/>
            <w:tcBorders>
              <w:top w:val="single" w:sz="8" w:color="303030"/>
            </w:tcBorders>
            <w:gridSpan w:val="17"/>
            <w:shd w:val="clear" w:color="auto" w:fill="FEFEFE"/>
          </w:tcPr>
          <w:p>
            <w:pPr>
              <w:spacing w:after="0" w:line="160" w:lineRule="exact"/>
              <w:rPr>
                <w:sz w:val="20"/>
                <w:szCs w:val="20"/>
                <w:color w:val="auto"/>
              </w:rPr>
            </w:pPr>
            <w:r>
              <w:rPr>
                <w:rFonts w:ascii="Arial" w:cs="Arial" w:eastAsia="Arial" w:hAnsi="Arial"/>
                <w:sz w:val="18"/>
                <w:szCs w:val="18"/>
                <w:color w:val="303030"/>
                <w:w w:val="95"/>
              </w:rPr>
              <w:t>National Association, as Trustee, including the form of</w:t>
            </w:r>
          </w:p>
        </w:tc>
        <w:tc>
          <w:tcPr>
            <w:tcW w:w="2600" w:type="dxa"/>
            <w:vAlign w:val="bottom"/>
            <w:tcBorders>
              <w:top w:val="single" w:sz="8" w:color="303030"/>
            </w:tcBorders>
            <w:gridSpan w:val="25"/>
            <w:shd w:val="clear" w:color="auto" w:fill="FEFEFE"/>
          </w:tcPr>
          <w:p>
            <w:pPr>
              <w:jc w:val="center"/>
              <w:ind w:right="300"/>
              <w:spacing w:after="0" w:line="160" w:lineRule="exact"/>
              <w:rPr>
                <w:sz w:val="20"/>
                <w:szCs w:val="20"/>
                <w:color w:val="auto"/>
              </w:rPr>
            </w:pPr>
            <w:r>
              <w:rPr>
                <w:rFonts w:ascii="Arial" w:cs="Arial" w:eastAsia="Arial" w:hAnsi="Arial"/>
                <w:sz w:val="18"/>
                <w:szCs w:val="18"/>
                <w:color w:val="303030"/>
                <w:w w:val="91"/>
              </w:rPr>
              <w:t>lobal Note attached as Annex A</w:t>
            </w: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1180" w:type="dxa"/>
            <w:vAlign w:val="bottom"/>
            <w:tcBorders>
              <w:top w:val="single" w:sz="8" w:color="303030"/>
            </w:tcBorders>
            <w:gridSpan w:val="5"/>
            <w:shd w:val="clear" w:color="auto" w:fill="FEFEFE"/>
          </w:tcPr>
          <w:p>
            <w:pPr>
              <w:spacing w:after="0" w:line="160" w:lineRule="exact"/>
              <w:rPr>
                <w:sz w:val="20"/>
                <w:szCs w:val="20"/>
                <w:color w:val="auto"/>
              </w:rPr>
            </w:pPr>
            <w:r>
              <w:rPr>
                <w:rFonts w:ascii="Arial" w:cs="Arial" w:eastAsia="Arial" w:hAnsi="Arial"/>
                <w:sz w:val="18"/>
                <w:szCs w:val="18"/>
                <w:color w:val="303030"/>
              </w:rPr>
              <w:t>thereto</w:t>
            </w:r>
          </w:p>
        </w:tc>
        <w:tc>
          <w:tcPr>
            <w:tcW w:w="34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60" w:type="dxa"/>
            <w:vAlign w:val="bottom"/>
            <w:tcBorders>
              <w:top w:val="single" w:sz="8" w:color="303030"/>
            </w:tcBorders>
            <w:shd w:val="clear" w:color="auto" w:fill="FEFEFE"/>
          </w:tcPr>
          <w:p>
            <w:pPr>
              <w:spacing w:after="0"/>
              <w:rPr>
                <w:sz w:val="13"/>
                <w:szCs w:val="13"/>
                <w:color w:val="auto"/>
              </w:rPr>
            </w:pPr>
          </w:p>
        </w:tc>
        <w:tc>
          <w:tcPr>
            <w:tcW w:w="1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60" w:type="dxa"/>
            <w:vAlign w:val="bottom"/>
            <w:tcBorders>
              <w:top w:val="single" w:sz="8" w:color="303030"/>
            </w:tcBorders>
            <w:shd w:val="clear" w:color="auto" w:fill="FEFEFE"/>
          </w:tcPr>
          <w:p>
            <w:pPr>
              <w:spacing w:after="0"/>
              <w:rPr>
                <w:sz w:val="13"/>
                <w:szCs w:val="13"/>
                <w:color w:val="auto"/>
              </w:rPr>
            </w:pPr>
          </w:p>
        </w:tc>
        <w:tc>
          <w:tcPr>
            <w:tcW w:w="110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0" w:type="dxa"/>
            <w:vAlign w:val="bottom"/>
            <w:tcBorders>
              <w:top w:val="single" w:sz="8" w:color="303030"/>
            </w:tcBorders>
            <w:shd w:val="clear" w:color="auto" w:fill="FEFEFE"/>
          </w:tcPr>
          <w:p>
            <w:pPr>
              <w:spacing w:after="0"/>
              <w:rPr>
                <w:sz w:val="13"/>
                <w:szCs w:val="13"/>
                <w:color w:val="auto"/>
              </w:rPr>
            </w:pPr>
          </w:p>
        </w:tc>
        <w:tc>
          <w:tcPr>
            <w:tcW w:w="2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440" w:type="dxa"/>
            <w:vAlign w:val="bottom"/>
            <w:tcBorders>
              <w:top w:val="single" w:sz="8" w:color="303030"/>
            </w:tcBorders>
            <w:shd w:val="clear" w:color="auto" w:fill="FEFEFE"/>
          </w:tcPr>
          <w:p>
            <w:pPr>
              <w:spacing w:after="0"/>
              <w:rPr>
                <w:sz w:val="4"/>
                <w:szCs w:val="4"/>
                <w:color w:val="auto"/>
              </w:rPr>
            </w:pPr>
          </w:p>
        </w:tc>
        <w:tc>
          <w:tcPr>
            <w:tcW w:w="60" w:type="dxa"/>
            <w:vAlign w:val="bottom"/>
            <w:tcBorders>
              <w:top w:val="single" w:sz="8" w:color="303030"/>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6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11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760" w:type="dxa"/>
            <w:vAlign w:val="bottom"/>
            <w:tcBorders>
              <w:top w:val="single" w:sz="8" w:color="FEFEFE"/>
            </w:tcBorders>
            <w:shd w:val="clear" w:color="auto" w:fill="FEFEFE"/>
          </w:tcPr>
          <w:p>
            <w:pPr>
              <w:spacing w:after="0"/>
              <w:rPr>
                <w:sz w:val="4"/>
                <w:szCs w:val="4"/>
                <w:color w:val="auto"/>
              </w:rPr>
            </w:pPr>
          </w:p>
        </w:tc>
        <w:tc>
          <w:tcPr>
            <w:tcW w:w="74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5"/>
              </w:rPr>
              <w:t>4.05</w:t>
            </w:r>
          </w:p>
        </w:tc>
        <w:tc>
          <w:tcPr>
            <w:tcW w:w="6060" w:type="dxa"/>
            <w:vAlign w:val="bottom"/>
            <w:tcBorders>
              <w:bottom w:val="single" w:sz="8" w:color="303030"/>
            </w:tcBorders>
            <w:gridSpan w:val="27"/>
            <w:shd w:val="clear" w:color="auto" w:fill="E4E4E4"/>
          </w:tcPr>
          <w:p>
            <w:pPr>
              <w:spacing w:after="0"/>
              <w:rPr>
                <w:sz w:val="20"/>
                <w:szCs w:val="20"/>
                <w:color w:val="auto"/>
              </w:rPr>
            </w:pPr>
            <w:r>
              <w:rPr>
                <w:rFonts w:ascii="Arial" w:cs="Arial" w:eastAsia="Arial" w:hAnsi="Arial"/>
                <w:sz w:val="18"/>
                <w:szCs w:val="18"/>
                <w:color w:val="303030"/>
                <w:w w:val="91"/>
              </w:rPr>
              <w:t>Fourth Supplemental Indenture, dated as of April 1, 2020 by and between TJX and</w:t>
            </w:r>
          </w:p>
        </w:tc>
        <w:tc>
          <w:tcPr>
            <w:tcW w:w="60" w:type="dxa"/>
            <w:vAlign w:val="bottom"/>
            <w:tcBorders>
              <w:bottom w:val="single" w:sz="8" w:color="303030"/>
            </w:tcBorders>
            <w:shd w:val="clear" w:color="auto" w:fill="E4E4E4"/>
          </w:tcPr>
          <w:p>
            <w:pPr>
              <w:spacing w:after="0"/>
              <w:rPr>
                <w:sz w:val="18"/>
                <w:szCs w:val="18"/>
                <w:color w:val="auto"/>
              </w:rPr>
            </w:pPr>
          </w:p>
        </w:tc>
        <w:tc>
          <w:tcPr>
            <w:tcW w:w="20" w:type="dxa"/>
            <w:vAlign w:val="bottom"/>
            <w:tcBorders>
              <w:bottom w:val="single" w:sz="8" w:color="303030"/>
            </w:tcBorders>
            <w:shd w:val="clear" w:color="auto" w:fill="E4E4E4"/>
          </w:tcPr>
          <w:p>
            <w:pPr>
              <w:spacing w:after="0"/>
              <w:rPr>
                <w:sz w:val="18"/>
                <w:szCs w:val="18"/>
                <w:color w:val="auto"/>
              </w:rPr>
            </w:pPr>
          </w:p>
        </w:tc>
        <w:tc>
          <w:tcPr>
            <w:tcW w:w="660" w:type="dxa"/>
            <w:vAlign w:val="bottom"/>
            <w:tcBorders>
              <w:bottom w:val="single" w:sz="8" w:color="303030"/>
            </w:tcBorders>
            <w:gridSpan w:val="16"/>
            <w:shd w:val="clear" w:color="auto" w:fill="E4E4E4"/>
          </w:tcPr>
          <w:p>
            <w:pPr>
              <w:spacing w:after="0"/>
              <w:rPr>
                <w:sz w:val="20"/>
                <w:szCs w:val="20"/>
                <w:color w:val="auto"/>
              </w:rPr>
            </w:pPr>
            <w:r>
              <w:rPr>
                <w:rFonts w:ascii="Arial" w:cs="Arial" w:eastAsia="Arial" w:hAnsi="Arial"/>
                <w:sz w:val="18"/>
                <w:szCs w:val="18"/>
                <w:color w:val="303030"/>
                <w:w w:val="93"/>
              </w:rPr>
              <w:t>.S. Bank</w:t>
            </w:r>
          </w:p>
        </w:tc>
        <w:tc>
          <w:tcPr>
            <w:tcW w:w="800" w:type="dxa"/>
            <w:vAlign w:val="bottom"/>
            <w:tcBorders>
              <w:bottom w:val="single" w:sz="8" w:color="E4E4E4"/>
            </w:tcBorders>
            <w:gridSpan w:val="3"/>
            <w:shd w:val="clear" w:color="auto" w:fill="E4E4E4"/>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5"/>
              </w:rPr>
              <w:t>4.5</w:t>
            </w:r>
          </w:p>
        </w:tc>
        <w:tc>
          <w:tcPr>
            <w:tcW w:w="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4 1 2020</w:t>
            </w:r>
          </w:p>
        </w:tc>
        <w:tc>
          <w:tcPr>
            <w:tcW w:w="0" w:type="dxa"/>
            <w:vAlign w:val="bottom"/>
          </w:tcPr>
          <w:p>
            <w:pPr>
              <w:spacing w:after="0"/>
              <w:rPr>
                <w:sz w:val="1"/>
                <w:szCs w:val="1"/>
                <w:color w:val="auto"/>
              </w:rPr>
            </w:pPr>
          </w:p>
        </w:tc>
      </w:tr>
      <w:tr>
        <w:trPr>
          <w:trHeight w:val="160"/>
        </w:trPr>
        <w:tc>
          <w:tcPr>
            <w:tcW w:w="760" w:type="dxa"/>
            <w:vAlign w:val="bottom"/>
            <w:shd w:val="clear" w:color="auto" w:fill="E4E4E4"/>
          </w:tcPr>
          <w:p>
            <w:pPr>
              <w:spacing w:after="0"/>
              <w:rPr>
                <w:sz w:val="13"/>
                <w:szCs w:val="13"/>
                <w:color w:val="auto"/>
              </w:rPr>
            </w:pPr>
          </w:p>
        </w:tc>
        <w:tc>
          <w:tcPr>
            <w:tcW w:w="4140" w:type="dxa"/>
            <w:vAlign w:val="bottom"/>
            <w:gridSpan w:val="17"/>
            <w:shd w:val="clear" w:color="auto" w:fill="E4E4E4"/>
          </w:tcPr>
          <w:p>
            <w:pPr>
              <w:spacing w:after="0" w:line="160" w:lineRule="exact"/>
              <w:rPr>
                <w:sz w:val="20"/>
                <w:szCs w:val="20"/>
                <w:color w:val="auto"/>
              </w:rPr>
            </w:pPr>
            <w:r>
              <w:rPr>
                <w:rFonts w:ascii="Arial" w:cs="Arial" w:eastAsia="Arial" w:hAnsi="Arial"/>
                <w:sz w:val="18"/>
                <w:szCs w:val="18"/>
                <w:color w:val="303030"/>
                <w:w w:val="95"/>
              </w:rPr>
              <w:t>National Association, as Trustee, including the form of</w:t>
            </w:r>
          </w:p>
        </w:tc>
        <w:tc>
          <w:tcPr>
            <w:tcW w:w="2660" w:type="dxa"/>
            <w:vAlign w:val="bottom"/>
            <w:gridSpan w:val="28"/>
            <w:shd w:val="clear" w:color="auto" w:fill="E4E4E4"/>
          </w:tcPr>
          <w:p>
            <w:pPr>
              <w:jc w:val="center"/>
              <w:ind w:right="360"/>
              <w:spacing w:after="0" w:line="160" w:lineRule="exact"/>
              <w:rPr>
                <w:sz w:val="20"/>
                <w:szCs w:val="20"/>
                <w:color w:val="auto"/>
              </w:rPr>
            </w:pPr>
            <w:r>
              <w:rPr>
                <w:rFonts w:ascii="Arial" w:cs="Arial" w:eastAsia="Arial" w:hAnsi="Arial"/>
                <w:sz w:val="18"/>
                <w:szCs w:val="18"/>
                <w:color w:val="303030"/>
                <w:w w:val="91"/>
              </w:rPr>
              <w:t>lobal Note attached as Annex A</w:t>
            </w: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760" w:type="dxa"/>
            <w:vAlign w:val="bottom"/>
            <w:shd w:val="clear" w:color="auto" w:fill="E4E4E4"/>
          </w:tcPr>
          <w:p>
            <w:pPr>
              <w:spacing w:after="0"/>
              <w:rPr>
                <w:sz w:val="13"/>
                <w:szCs w:val="13"/>
                <w:color w:val="auto"/>
              </w:rPr>
            </w:pPr>
          </w:p>
        </w:tc>
        <w:tc>
          <w:tcPr>
            <w:tcW w:w="740" w:type="dxa"/>
            <w:vAlign w:val="bottom"/>
            <w:shd w:val="clear" w:color="auto" w:fill="E4E4E4"/>
          </w:tcPr>
          <w:p>
            <w:pPr>
              <w:spacing w:after="0"/>
              <w:rPr>
                <w:sz w:val="13"/>
                <w:szCs w:val="13"/>
                <w:color w:val="auto"/>
              </w:rPr>
            </w:pPr>
          </w:p>
        </w:tc>
        <w:tc>
          <w:tcPr>
            <w:tcW w:w="9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1180" w:type="dxa"/>
            <w:vAlign w:val="bottom"/>
            <w:tcBorders>
              <w:top w:val="single" w:sz="8" w:color="303030"/>
            </w:tcBorders>
            <w:gridSpan w:val="5"/>
            <w:shd w:val="clear" w:color="auto" w:fill="E4E4E4"/>
          </w:tcPr>
          <w:p>
            <w:pPr>
              <w:spacing w:after="0" w:line="160" w:lineRule="exact"/>
              <w:rPr>
                <w:sz w:val="20"/>
                <w:szCs w:val="20"/>
                <w:color w:val="auto"/>
              </w:rPr>
            </w:pPr>
            <w:r>
              <w:rPr>
                <w:rFonts w:ascii="Arial" w:cs="Arial" w:eastAsia="Arial" w:hAnsi="Arial"/>
                <w:sz w:val="18"/>
                <w:szCs w:val="18"/>
                <w:color w:val="303030"/>
              </w:rPr>
              <w:t>thereto</w:t>
            </w:r>
          </w:p>
        </w:tc>
        <w:tc>
          <w:tcPr>
            <w:tcW w:w="34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60" w:type="dxa"/>
            <w:vAlign w:val="bottom"/>
            <w:tcBorders>
              <w:top w:val="single" w:sz="8" w:color="303030"/>
            </w:tcBorders>
            <w:shd w:val="clear" w:color="auto" w:fill="E4E4E4"/>
          </w:tcPr>
          <w:p>
            <w:pPr>
              <w:spacing w:after="0"/>
              <w:rPr>
                <w:sz w:val="13"/>
                <w:szCs w:val="13"/>
                <w:color w:val="auto"/>
              </w:rPr>
            </w:pPr>
          </w:p>
        </w:tc>
        <w:tc>
          <w:tcPr>
            <w:tcW w:w="16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360" w:type="dxa"/>
            <w:vAlign w:val="bottom"/>
            <w:tcBorders>
              <w:top w:val="single" w:sz="8" w:color="303030"/>
            </w:tcBorders>
            <w:shd w:val="clear" w:color="auto" w:fill="E4E4E4"/>
          </w:tcPr>
          <w:p>
            <w:pPr>
              <w:spacing w:after="0"/>
              <w:rPr>
                <w:sz w:val="13"/>
                <w:szCs w:val="13"/>
                <w:color w:val="auto"/>
              </w:rPr>
            </w:pPr>
          </w:p>
        </w:tc>
        <w:tc>
          <w:tcPr>
            <w:tcW w:w="110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0" w:type="dxa"/>
            <w:vAlign w:val="bottom"/>
            <w:tcBorders>
              <w:top w:val="single" w:sz="8" w:color="303030"/>
            </w:tcBorders>
            <w:shd w:val="clear" w:color="auto" w:fill="E4E4E4"/>
          </w:tcPr>
          <w:p>
            <w:pPr>
              <w:spacing w:after="0"/>
              <w:rPr>
                <w:sz w:val="13"/>
                <w:szCs w:val="13"/>
                <w:color w:val="auto"/>
              </w:rPr>
            </w:pPr>
          </w:p>
        </w:tc>
        <w:tc>
          <w:tcPr>
            <w:tcW w:w="26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3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44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303030"/>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11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760" w:type="dxa"/>
            <w:vAlign w:val="bottom"/>
            <w:tcBorders>
              <w:top w:val="single" w:sz="8" w:color="E4E4E4"/>
            </w:tcBorders>
            <w:shd w:val="clear" w:color="auto" w:fill="E4E4E4"/>
          </w:tcPr>
          <w:p>
            <w:pPr>
              <w:spacing w:after="0"/>
              <w:rPr>
                <w:sz w:val="4"/>
                <w:szCs w:val="4"/>
                <w:color w:val="auto"/>
              </w:rPr>
            </w:pPr>
          </w:p>
        </w:tc>
        <w:tc>
          <w:tcPr>
            <w:tcW w:w="74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5"/>
              </w:rPr>
              <w:t>4.06</w:t>
            </w:r>
          </w:p>
        </w:tc>
        <w:tc>
          <w:tcPr>
            <w:tcW w:w="6420" w:type="dxa"/>
            <w:vAlign w:val="bottom"/>
            <w:gridSpan w:val="35"/>
            <w:shd w:val="clear" w:color="auto" w:fill="FEFEFE"/>
          </w:tcPr>
          <w:p>
            <w:pPr>
              <w:spacing w:after="0"/>
              <w:rPr>
                <w:sz w:val="20"/>
                <w:szCs w:val="20"/>
                <w:color w:val="auto"/>
              </w:rPr>
            </w:pPr>
            <w:r>
              <w:rPr>
                <w:rFonts w:ascii="Arial" w:cs="Arial" w:eastAsia="Arial" w:hAnsi="Arial"/>
                <w:sz w:val="18"/>
                <w:szCs w:val="18"/>
                <w:color w:val="303030"/>
                <w:w w:val="91"/>
              </w:rPr>
              <w:t>Fifth Supplemental Indenture, dated as of November 30, 2020 by and between TJX and</w:t>
            </w:r>
          </w:p>
        </w:tc>
        <w:tc>
          <w:tcPr>
            <w:tcW w:w="60" w:type="dxa"/>
            <w:vAlign w:val="bottom"/>
            <w:shd w:val="clear" w:color="auto" w:fill="FEFEFE"/>
          </w:tcPr>
          <w:p>
            <w:pPr>
              <w:spacing w:after="0"/>
              <w:rPr>
                <w:sz w:val="18"/>
                <w:szCs w:val="18"/>
                <w:color w:val="auto"/>
              </w:rPr>
            </w:pPr>
          </w:p>
        </w:tc>
        <w:tc>
          <w:tcPr>
            <w:tcW w:w="320" w:type="dxa"/>
            <w:vAlign w:val="bottom"/>
            <w:gridSpan w:val="9"/>
            <w:shd w:val="clear" w:color="auto" w:fill="FEFEFE"/>
          </w:tcPr>
          <w:p>
            <w:pPr>
              <w:jc w:val="right"/>
              <w:ind w:right="120"/>
              <w:spacing w:after="0"/>
              <w:rPr>
                <w:sz w:val="20"/>
                <w:szCs w:val="20"/>
                <w:color w:val="auto"/>
              </w:rPr>
            </w:pPr>
            <w:r>
              <w:rPr>
                <w:rFonts w:ascii="Arial" w:cs="Arial" w:eastAsia="Arial" w:hAnsi="Arial"/>
                <w:sz w:val="18"/>
                <w:szCs w:val="18"/>
                <w:color w:val="303030"/>
                <w:w w:val="81"/>
              </w:rPr>
              <w:t>.S.</w:t>
            </w:r>
          </w:p>
        </w:tc>
        <w:tc>
          <w:tcPr>
            <w:tcW w:w="800" w:type="dxa"/>
            <w:vAlign w:val="bottom"/>
            <w:gridSpan w:val="3"/>
            <w:shd w:val="clear" w:color="auto" w:fill="FEFEFE"/>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5"/>
              </w:rPr>
              <w:t>4.1</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12 3 2020</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4560" w:type="dxa"/>
            <w:vAlign w:val="bottom"/>
            <w:tcBorders>
              <w:top w:val="single" w:sz="8" w:color="303030"/>
            </w:tcBorders>
            <w:gridSpan w:val="20"/>
            <w:shd w:val="clear" w:color="auto" w:fill="FEFEFE"/>
          </w:tcPr>
          <w:p>
            <w:pPr>
              <w:spacing w:after="0" w:line="160" w:lineRule="exact"/>
              <w:rPr>
                <w:sz w:val="20"/>
                <w:szCs w:val="20"/>
                <w:color w:val="auto"/>
              </w:rPr>
            </w:pPr>
            <w:r>
              <w:rPr>
                <w:rFonts w:ascii="Arial" w:cs="Arial" w:eastAsia="Arial" w:hAnsi="Arial"/>
                <w:sz w:val="18"/>
                <w:szCs w:val="18"/>
                <w:color w:val="303030"/>
                <w:w w:val="95"/>
              </w:rPr>
              <w:t>Bank National Association, as Trustee, including the form of</w:t>
            </w:r>
          </w:p>
        </w:tc>
        <w:tc>
          <w:tcPr>
            <w:tcW w:w="2160" w:type="dxa"/>
            <w:vAlign w:val="bottom"/>
            <w:tcBorders>
              <w:top w:val="single" w:sz="8" w:color="303030"/>
            </w:tcBorders>
            <w:gridSpan w:val="21"/>
            <w:shd w:val="clear" w:color="auto" w:fill="FEFEFE"/>
          </w:tcPr>
          <w:p>
            <w:pPr>
              <w:jc w:val="center"/>
              <w:ind w:right="40"/>
              <w:spacing w:after="0" w:line="160" w:lineRule="exact"/>
              <w:rPr>
                <w:sz w:val="20"/>
                <w:szCs w:val="20"/>
                <w:color w:val="auto"/>
              </w:rPr>
            </w:pPr>
            <w:r>
              <w:rPr>
                <w:rFonts w:ascii="Arial" w:cs="Arial" w:eastAsia="Arial" w:hAnsi="Arial"/>
                <w:sz w:val="18"/>
                <w:szCs w:val="18"/>
                <w:color w:val="303030"/>
                <w:w w:val="90"/>
              </w:rPr>
              <w:t>lobal Note attached as Annex</w:t>
            </w:r>
          </w:p>
        </w:tc>
        <w:tc>
          <w:tcPr>
            <w:tcW w:w="60" w:type="dxa"/>
            <w:vAlign w:val="bottom"/>
            <w:tcBorders>
              <w:top w:val="single" w:sz="8" w:color="FEFEFE"/>
            </w:tcBorders>
            <w:gridSpan w:val="3"/>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1180" w:type="dxa"/>
            <w:vAlign w:val="bottom"/>
            <w:tcBorders>
              <w:top w:val="single" w:sz="8" w:color="303030"/>
            </w:tcBorders>
            <w:gridSpan w:val="5"/>
            <w:shd w:val="clear" w:color="auto" w:fill="FEFEFE"/>
          </w:tcPr>
          <w:p>
            <w:pPr>
              <w:spacing w:after="0" w:line="160" w:lineRule="exact"/>
              <w:rPr>
                <w:sz w:val="20"/>
                <w:szCs w:val="20"/>
                <w:color w:val="auto"/>
              </w:rPr>
            </w:pPr>
            <w:r>
              <w:rPr>
                <w:rFonts w:ascii="Arial" w:cs="Arial" w:eastAsia="Arial" w:hAnsi="Arial"/>
                <w:sz w:val="18"/>
                <w:szCs w:val="18"/>
                <w:color w:val="303030"/>
              </w:rPr>
              <w:t>A thereto.</w:t>
            </w:r>
          </w:p>
        </w:tc>
        <w:tc>
          <w:tcPr>
            <w:tcW w:w="34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160" w:type="dxa"/>
            <w:vAlign w:val="bottom"/>
            <w:tcBorders>
              <w:top w:val="single" w:sz="8" w:color="303030"/>
            </w:tcBorders>
            <w:shd w:val="clear" w:color="auto" w:fill="FEFEFE"/>
          </w:tcPr>
          <w:p>
            <w:pPr>
              <w:spacing w:after="0"/>
              <w:rPr>
                <w:sz w:val="13"/>
                <w:szCs w:val="13"/>
                <w:color w:val="auto"/>
              </w:rPr>
            </w:pPr>
          </w:p>
        </w:tc>
        <w:tc>
          <w:tcPr>
            <w:tcW w:w="1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60" w:type="dxa"/>
            <w:vAlign w:val="bottom"/>
            <w:tcBorders>
              <w:top w:val="single" w:sz="8" w:color="303030"/>
            </w:tcBorders>
            <w:shd w:val="clear" w:color="auto" w:fill="FEFEFE"/>
          </w:tcPr>
          <w:p>
            <w:pPr>
              <w:spacing w:after="0"/>
              <w:rPr>
                <w:sz w:val="13"/>
                <w:szCs w:val="13"/>
                <w:color w:val="auto"/>
              </w:rPr>
            </w:pPr>
          </w:p>
        </w:tc>
        <w:tc>
          <w:tcPr>
            <w:tcW w:w="110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0" w:type="dxa"/>
            <w:vAlign w:val="bottom"/>
            <w:tcBorders>
              <w:top w:val="single" w:sz="8" w:color="303030"/>
            </w:tcBorders>
            <w:shd w:val="clear" w:color="auto" w:fill="FEFEFE"/>
          </w:tcPr>
          <w:p>
            <w:pPr>
              <w:spacing w:after="0"/>
              <w:rPr>
                <w:sz w:val="13"/>
                <w:szCs w:val="13"/>
                <w:color w:val="auto"/>
              </w:rPr>
            </w:pPr>
          </w:p>
        </w:tc>
        <w:tc>
          <w:tcPr>
            <w:tcW w:w="2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440" w:type="dxa"/>
            <w:vAlign w:val="bottom"/>
            <w:tcBorders>
              <w:top w:val="single" w:sz="8" w:color="303030"/>
            </w:tcBorders>
            <w:shd w:val="clear" w:color="auto" w:fill="FEFEFE"/>
          </w:tcPr>
          <w:p>
            <w:pPr>
              <w:spacing w:after="0"/>
              <w:rPr>
                <w:sz w:val="4"/>
                <w:szCs w:val="4"/>
                <w:color w:val="auto"/>
              </w:rPr>
            </w:pPr>
          </w:p>
        </w:tc>
        <w:tc>
          <w:tcPr>
            <w:tcW w:w="60" w:type="dxa"/>
            <w:vAlign w:val="bottom"/>
            <w:tcBorders>
              <w:top w:val="single" w:sz="8" w:color="303030"/>
            </w:tcBorders>
            <w:shd w:val="clear" w:color="auto" w:fill="FEFEFE"/>
          </w:tcPr>
          <w:p>
            <w:pPr>
              <w:spacing w:after="0"/>
              <w:rPr>
                <w:sz w:val="4"/>
                <w:szCs w:val="4"/>
                <w:color w:val="auto"/>
              </w:rPr>
            </w:pPr>
          </w:p>
        </w:tc>
        <w:tc>
          <w:tcPr>
            <w:tcW w:w="180" w:type="dxa"/>
            <w:vAlign w:val="bottom"/>
            <w:tcBorders>
              <w:top w:val="single" w:sz="8" w:color="303030"/>
            </w:tcBorders>
            <w:shd w:val="clear" w:color="auto" w:fill="FEFEFE"/>
          </w:tcPr>
          <w:p>
            <w:pPr>
              <w:spacing w:after="0"/>
              <w:rPr>
                <w:sz w:val="4"/>
                <w:szCs w:val="4"/>
                <w:color w:val="auto"/>
              </w:rPr>
            </w:pPr>
          </w:p>
        </w:tc>
        <w:tc>
          <w:tcPr>
            <w:tcW w:w="40" w:type="dxa"/>
            <w:vAlign w:val="bottom"/>
            <w:tcBorders>
              <w:top w:val="single" w:sz="8" w:color="303030"/>
            </w:tcBorders>
            <w:shd w:val="clear" w:color="auto" w:fill="FEFEFE"/>
          </w:tcPr>
          <w:p>
            <w:pPr>
              <w:spacing w:after="0"/>
              <w:rPr>
                <w:sz w:val="4"/>
                <w:szCs w:val="4"/>
                <w:color w:val="auto"/>
              </w:rPr>
            </w:pPr>
          </w:p>
        </w:tc>
        <w:tc>
          <w:tcPr>
            <w:tcW w:w="46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11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760" w:type="dxa"/>
            <w:vAlign w:val="bottom"/>
            <w:tcBorders>
              <w:top w:val="single" w:sz="8" w:color="FEFEFE"/>
            </w:tcBorders>
            <w:shd w:val="clear" w:color="auto" w:fill="FEFEFE"/>
          </w:tcPr>
          <w:p>
            <w:pPr>
              <w:spacing w:after="0"/>
              <w:rPr>
                <w:sz w:val="4"/>
                <w:szCs w:val="4"/>
                <w:color w:val="auto"/>
              </w:rPr>
            </w:pPr>
          </w:p>
        </w:tc>
        <w:tc>
          <w:tcPr>
            <w:tcW w:w="74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5"/>
              </w:rPr>
              <w:t>4.07</w:t>
            </w:r>
          </w:p>
        </w:tc>
        <w:tc>
          <w:tcPr>
            <w:tcW w:w="5760" w:type="dxa"/>
            <w:vAlign w:val="bottom"/>
            <w:gridSpan w:val="24"/>
            <w:shd w:val="clear" w:color="auto" w:fill="E4E4E4"/>
          </w:tcPr>
          <w:p>
            <w:pPr>
              <w:spacing w:after="0"/>
              <w:rPr>
                <w:sz w:val="20"/>
                <w:szCs w:val="20"/>
                <w:color w:val="auto"/>
              </w:rPr>
            </w:pPr>
            <w:r>
              <w:rPr>
                <w:rFonts w:ascii="Arial" w:cs="Arial" w:eastAsia="Arial" w:hAnsi="Arial"/>
                <w:sz w:val="18"/>
                <w:szCs w:val="18"/>
                <w:color w:val="303030"/>
                <w:w w:val="91"/>
              </w:rPr>
              <w:t>Sixth Supplemental Indenture, dated as of November 30, 2020 by and TJX and</w:t>
            </w:r>
          </w:p>
        </w:tc>
        <w:tc>
          <w:tcPr>
            <w:tcW w:w="1040" w:type="dxa"/>
            <w:vAlign w:val="bottom"/>
            <w:gridSpan w:val="21"/>
            <w:shd w:val="clear" w:color="auto" w:fill="E4E4E4"/>
          </w:tcPr>
          <w:p>
            <w:pPr>
              <w:ind w:left="100"/>
              <w:spacing w:after="0"/>
              <w:rPr>
                <w:sz w:val="20"/>
                <w:szCs w:val="20"/>
                <w:color w:val="auto"/>
              </w:rPr>
            </w:pPr>
            <w:r>
              <w:rPr>
                <w:rFonts w:ascii="Arial" w:cs="Arial" w:eastAsia="Arial" w:hAnsi="Arial"/>
                <w:sz w:val="18"/>
                <w:szCs w:val="18"/>
                <w:color w:val="303030"/>
              </w:rPr>
              <w:t>.S. Bank</w:t>
            </w:r>
          </w:p>
        </w:tc>
        <w:tc>
          <w:tcPr>
            <w:tcW w:w="800" w:type="dxa"/>
            <w:vAlign w:val="bottom"/>
            <w:gridSpan w:val="3"/>
            <w:shd w:val="clear" w:color="auto" w:fill="E4E4E4"/>
          </w:tcPr>
          <w:p>
            <w:pPr>
              <w:jc w:val="center"/>
              <w:ind w:right="1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5"/>
              </w:rPr>
              <w:t>4.2</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9"/>
              </w:rPr>
              <w:t>12 3 2020</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4140" w:type="dxa"/>
            <w:vAlign w:val="bottom"/>
            <w:tcBorders>
              <w:top w:val="single" w:sz="8" w:color="303030"/>
            </w:tcBorders>
            <w:gridSpan w:val="17"/>
            <w:shd w:val="clear" w:color="auto" w:fill="E4E4E4"/>
          </w:tcPr>
          <w:p>
            <w:pPr>
              <w:spacing w:after="0" w:line="160" w:lineRule="exact"/>
              <w:rPr>
                <w:sz w:val="20"/>
                <w:szCs w:val="20"/>
                <w:color w:val="auto"/>
              </w:rPr>
            </w:pPr>
            <w:r>
              <w:rPr>
                <w:rFonts w:ascii="Arial" w:cs="Arial" w:eastAsia="Arial" w:hAnsi="Arial"/>
                <w:sz w:val="18"/>
                <w:szCs w:val="18"/>
                <w:color w:val="303030"/>
                <w:w w:val="95"/>
              </w:rPr>
              <w:t>National Association, as Trustee, including the form of</w:t>
            </w:r>
          </w:p>
        </w:tc>
        <w:tc>
          <w:tcPr>
            <w:tcW w:w="2380" w:type="dxa"/>
            <w:vAlign w:val="bottom"/>
            <w:tcBorders>
              <w:top w:val="single" w:sz="8" w:color="303030"/>
            </w:tcBorders>
            <w:gridSpan w:val="20"/>
            <w:shd w:val="clear" w:color="auto" w:fill="E4E4E4"/>
          </w:tcPr>
          <w:p>
            <w:pPr>
              <w:jc w:val="center"/>
              <w:spacing w:after="0" w:line="160" w:lineRule="exact"/>
              <w:rPr>
                <w:sz w:val="20"/>
                <w:szCs w:val="20"/>
                <w:color w:val="auto"/>
              </w:rPr>
            </w:pPr>
            <w:r>
              <w:rPr>
                <w:rFonts w:ascii="Arial" w:cs="Arial" w:eastAsia="Arial" w:hAnsi="Arial"/>
                <w:sz w:val="18"/>
                <w:szCs w:val="18"/>
                <w:color w:val="303030"/>
                <w:w w:val="91"/>
              </w:rPr>
              <w:t>lobal Note attached as Annex A</w:t>
            </w:r>
          </w:p>
        </w:tc>
        <w:tc>
          <w:tcPr>
            <w:tcW w:w="10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140" w:type="dxa"/>
            <w:vAlign w:val="bottom"/>
            <w:tcBorders>
              <w:top w:val="single" w:sz="8" w:color="E4E4E4"/>
            </w:tcBorders>
            <w:gridSpan w:val="5"/>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1180" w:type="dxa"/>
            <w:vAlign w:val="bottom"/>
            <w:tcBorders>
              <w:top w:val="single" w:sz="8" w:color="303030"/>
            </w:tcBorders>
            <w:gridSpan w:val="5"/>
            <w:shd w:val="clear" w:color="auto" w:fill="E4E4E4"/>
          </w:tcPr>
          <w:p>
            <w:pPr>
              <w:spacing w:after="0" w:line="160" w:lineRule="exact"/>
              <w:rPr>
                <w:sz w:val="20"/>
                <w:szCs w:val="20"/>
                <w:color w:val="auto"/>
              </w:rPr>
            </w:pPr>
            <w:r>
              <w:rPr>
                <w:rFonts w:ascii="Arial" w:cs="Arial" w:eastAsia="Arial" w:hAnsi="Arial"/>
                <w:sz w:val="18"/>
                <w:szCs w:val="18"/>
                <w:color w:val="303030"/>
              </w:rPr>
              <w:t>thereto</w:t>
            </w:r>
          </w:p>
        </w:tc>
        <w:tc>
          <w:tcPr>
            <w:tcW w:w="34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160" w:type="dxa"/>
            <w:vAlign w:val="bottom"/>
            <w:tcBorders>
              <w:top w:val="single" w:sz="8" w:color="303030"/>
            </w:tcBorders>
            <w:shd w:val="clear" w:color="auto" w:fill="E4E4E4"/>
          </w:tcPr>
          <w:p>
            <w:pPr>
              <w:spacing w:after="0"/>
              <w:rPr>
                <w:sz w:val="13"/>
                <w:szCs w:val="13"/>
                <w:color w:val="auto"/>
              </w:rPr>
            </w:pPr>
          </w:p>
        </w:tc>
        <w:tc>
          <w:tcPr>
            <w:tcW w:w="16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360" w:type="dxa"/>
            <w:vAlign w:val="bottom"/>
            <w:tcBorders>
              <w:top w:val="single" w:sz="8" w:color="303030"/>
            </w:tcBorders>
            <w:shd w:val="clear" w:color="auto" w:fill="E4E4E4"/>
          </w:tcPr>
          <w:p>
            <w:pPr>
              <w:spacing w:after="0"/>
              <w:rPr>
                <w:sz w:val="13"/>
                <w:szCs w:val="13"/>
                <w:color w:val="auto"/>
              </w:rPr>
            </w:pPr>
          </w:p>
        </w:tc>
        <w:tc>
          <w:tcPr>
            <w:tcW w:w="110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0" w:type="dxa"/>
            <w:vAlign w:val="bottom"/>
            <w:tcBorders>
              <w:top w:val="single" w:sz="8" w:color="303030"/>
            </w:tcBorders>
            <w:shd w:val="clear" w:color="auto" w:fill="E4E4E4"/>
          </w:tcPr>
          <w:p>
            <w:pPr>
              <w:spacing w:after="0"/>
              <w:rPr>
                <w:sz w:val="13"/>
                <w:szCs w:val="13"/>
                <w:color w:val="auto"/>
              </w:rPr>
            </w:pPr>
          </w:p>
        </w:tc>
        <w:tc>
          <w:tcPr>
            <w:tcW w:w="260" w:type="dxa"/>
            <w:vAlign w:val="bottom"/>
            <w:tcBorders>
              <w:top w:val="single" w:sz="8" w:color="303030"/>
            </w:tcBorders>
            <w:shd w:val="clear" w:color="auto" w:fill="E4E4E4"/>
          </w:tcPr>
          <w:p>
            <w:pPr>
              <w:spacing w:after="0"/>
              <w:rPr>
                <w:sz w:val="13"/>
                <w:szCs w:val="13"/>
                <w:color w:val="auto"/>
              </w:rPr>
            </w:pPr>
          </w:p>
        </w:tc>
        <w:tc>
          <w:tcPr>
            <w:tcW w:w="200" w:type="dxa"/>
            <w:vAlign w:val="bottom"/>
            <w:tcBorders>
              <w:top w:val="single" w:sz="8" w:color="303030"/>
            </w:tcBorders>
            <w:shd w:val="clear" w:color="auto" w:fill="E4E4E4"/>
          </w:tcPr>
          <w:p>
            <w:pPr>
              <w:spacing w:after="0"/>
              <w:rPr>
                <w:sz w:val="13"/>
                <w:szCs w:val="13"/>
                <w:color w:val="auto"/>
              </w:rPr>
            </w:pPr>
          </w:p>
        </w:tc>
        <w:tc>
          <w:tcPr>
            <w:tcW w:w="3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10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440" w:type="dxa"/>
            <w:vAlign w:val="bottom"/>
            <w:tcBorders>
              <w:top w:val="single" w:sz="8" w:color="303030"/>
            </w:tcBorders>
            <w:shd w:val="clear" w:color="auto" w:fill="E4E4E4"/>
          </w:tcPr>
          <w:p>
            <w:pPr>
              <w:spacing w:after="0"/>
              <w:rPr>
                <w:sz w:val="4"/>
                <w:szCs w:val="4"/>
                <w:color w:val="auto"/>
              </w:rPr>
            </w:pPr>
          </w:p>
        </w:tc>
        <w:tc>
          <w:tcPr>
            <w:tcW w:w="60" w:type="dxa"/>
            <w:vAlign w:val="bottom"/>
            <w:tcBorders>
              <w:top w:val="single" w:sz="8" w:color="303030"/>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11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1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760" w:type="dxa"/>
            <w:vAlign w:val="bottom"/>
            <w:tcBorders>
              <w:top w:val="single" w:sz="8" w:color="E4E4E4"/>
            </w:tcBorders>
            <w:shd w:val="clear" w:color="auto" w:fill="E4E4E4"/>
          </w:tcPr>
          <w:p>
            <w:pPr>
              <w:spacing w:after="0"/>
              <w:rPr>
                <w:sz w:val="4"/>
                <w:szCs w:val="4"/>
                <w:color w:val="auto"/>
              </w:rPr>
            </w:pPr>
          </w:p>
        </w:tc>
        <w:tc>
          <w:tcPr>
            <w:tcW w:w="74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85"/>
              </w:rPr>
              <w:t>4.08</w:t>
            </w:r>
          </w:p>
        </w:tc>
        <w:tc>
          <w:tcPr>
            <w:tcW w:w="1180" w:type="dxa"/>
            <w:vAlign w:val="bottom"/>
            <w:tcBorders>
              <w:bottom w:val="single" w:sz="8" w:color="303030"/>
            </w:tcBorders>
            <w:gridSpan w:val="5"/>
            <w:shd w:val="clear" w:color="auto" w:fill="FEFEFE"/>
          </w:tcPr>
          <w:p>
            <w:pPr>
              <w:spacing w:after="0"/>
              <w:rPr>
                <w:sz w:val="20"/>
                <w:szCs w:val="20"/>
                <w:color w:val="auto"/>
              </w:rPr>
            </w:pPr>
            <w:r>
              <w:rPr>
                <w:rFonts w:ascii="Arial" w:cs="Arial" w:eastAsia="Arial" w:hAnsi="Arial"/>
                <w:sz w:val="18"/>
                <w:szCs w:val="18"/>
                <w:color w:val="303030"/>
              </w:rPr>
              <w:t>Description of</w:t>
            </w:r>
          </w:p>
        </w:tc>
        <w:tc>
          <w:tcPr>
            <w:tcW w:w="1500" w:type="dxa"/>
            <w:vAlign w:val="bottom"/>
            <w:tcBorders>
              <w:bottom w:val="single" w:sz="8" w:color="303030"/>
            </w:tcBorders>
            <w:gridSpan w:val="10"/>
            <w:shd w:val="clear" w:color="auto" w:fill="FEFEFE"/>
          </w:tcPr>
          <w:p>
            <w:pPr>
              <w:ind w:left="20"/>
              <w:spacing w:after="0"/>
              <w:rPr>
                <w:sz w:val="20"/>
                <w:szCs w:val="20"/>
                <w:color w:val="auto"/>
              </w:rPr>
            </w:pPr>
            <w:r>
              <w:rPr>
                <w:rFonts w:ascii="Arial" w:cs="Arial" w:eastAsia="Arial" w:hAnsi="Arial"/>
                <w:sz w:val="18"/>
                <w:szCs w:val="18"/>
                <w:color w:val="303030"/>
                <w:w w:val="87"/>
              </w:rPr>
              <w:t>egistrant s Securities</w:t>
            </w:r>
          </w:p>
        </w:tc>
        <w:tc>
          <w:tcPr>
            <w:tcW w:w="1460" w:type="dxa"/>
            <w:vAlign w:val="bottom"/>
            <w:tcBorders>
              <w:bottom w:val="single" w:sz="8" w:color="FEFEFE"/>
            </w:tcBorders>
            <w:gridSpan w:val="2"/>
            <w:shd w:val="clear" w:color="auto" w:fill="FEFEFE"/>
          </w:tcPr>
          <w:p>
            <w:pPr>
              <w:spacing w:after="0"/>
              <w:rPr>
                <w:sz w:val="23"/>
                <w:szCs w:val="23"/>
                <w:color w:val="auto"/>
              </w:rPr>
            </w:pPr>
          </w:p>
        </w:tc>
        <w:tc>
          <w:tcPr>
            <w:tcW w:w="30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FEFEFE"/>
            </w:tcBorders>
            <w:shd w:val="clear" w:color="auto" w:fill="FEFEFE"/>
          </w:tcPr>
          <w:p>
            <w:pPr>
              <w:spacing w:after="0"/>
              <w:rPr>
                <w:sz w:val="23"/>
                <w:szCs w:val="23"/>
                <w:color w:val="auto"/>
              </w:rPr>
            </w:pPr>
          </w:p>
        </w:tc>
        <w:tc>
          <w:tcPr>
            <w:tcW w:w="260" w:type="dxa"/>
            <w:vAlign w:val="bottom"/>
            <w:tcBorders>
              <w:bottom w:val="single" w:sz="8" w:color="FEFEFE"/>
            </w:tcBorders>
            <w:shd w:val="clear" w:color="auto" w:fill="FEFEFE"/>
          </w:tcPr>
          <w:p>
            <w:pPr>
              <w:spacing w:after="0"/>
              <w:rPr>
                <w:sz w:val="23"/>
                <w:szCs w:val="23"/>
                <w:color w:val="auto"/>
              </w:rPr>
            </w:pPr>
          </w:p>
        </w:tc>
        <w:tc>
          <w:tcPr>
            <w:tcW w:w="200" w:type="dxa"/>
            <w:vAlign w:val="bottom"/>
            <w:tcBorders>
              <w:bottom w:val="single" w:sz="8" w:color="FEFEFE"/>
            </w:tcBorders>
            <w:shd w:val="clear" w:color="auto" w:fill="FEFEFE"/>
          </w:tcPr>
          <w:p>
            <w:pPr>
              <w:spacing w:after="0"/>
              <w:rPr>
                <w:sz w:val="23"/>
                <w:szCs w:val="23"/>
                <w:color w:val="auto"/>
              </w:rPr>
            </w:pPr>
          </w:p>
        </w:tc>
        <w:tc>
          <w:tcPr>
            <w:tcW w:w="340" w:type="dxa"/>
            <w:vAlign w:val="bottom"/>
            <w:tcBorders>
              <w:bottom w:val="single" w:sz="8" w:color="FEFEFE"/>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8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4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800" w:type="dxa"/>
            <w:vAlign w:val="bottom"/>
            <w:tcBorders>
              <w:bottom w:val="single" w:sz="8" w:color="FEFEFE"/>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4.06</w:t>
            </w:r>
          </w:p>
        </w:tc>
        <w:tc>
          <w:tcPr>
            <w:tcW w:w="98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89"/>
              </w:rPr>
              <w:t>3 27 2020</w:t>
            </w:r>
          </w:p>
        </w:tc>
        <w:tc>
          <w:tcPr>
            <w:tcW w:w="0" w:type="dxa"/>
            <w:vAlign w:val="bottom"/>
          </w:tcPr>
          <w:p>
            <w:pPr>
              <w:spacing w:after="0"/>
              <w:rPr>
                <w:sz w:val="1"/>
                <w:szCs w:val="1"/>
                <w:color w:val="auto"/>
              </w:rPr>
            </w:pPr>
          </w:p>
        </w:tc>
      </w:tr>
      <w:tr>
        <w:trPr>
          <w:trHeight w:val="265"/>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10.01</w:t>
            </w:r>
          </w:p>
        </w:tc>
        <w:tc>
          <w:tcPr>
            <w:tcW w:w="4440" w:type="dxa"/>
            <w:vAlign w:val="bottom"/>
            <w:tcBorders>
              <w:bottom w:val="single" w:sz="8" w:color="303030"/>
            </w:tcBorders>
            <w:gridSpan w:val="18"/>
            <w:shd w:val="clear" w:color="auto" w:fill="E4E4E4"/>
          </w:tcPr>
          <w:p>
            <w:pPr>
              <w:spacing w:after="0"/>
              <w:rPr>
                <w:sz w:val="20"/>
                <w:szCs w:val="20"/>
                <w:color w:val="auto"/>
              </w:rPr>
            </w:pPr>
            <w:r>
              <w:rPr>
                <w:rFonts w:ascii="Arial" w:cs="Arial" w:eastAsia="Arial" w:hAnsi="Arial"/>
                <w:sz w:val="18"/>
                <w:szCs w:val="18"/>
                <w:color w:val="303030"/>
                <w:w w:val="90"/>
              </w:rPr>
              <w:t>The Executive Severance Plan effective September 27, 2018</w:t>
            </w:r>
          </w:p>
        </w:tc>
        <w:tc>
          <w:tcPr>
            <w:tcW w:w="120" w:type="dxa"/>
            <w:vAlign w:val="bottom"/>
            <w:tcBorders>
              <w:bottom w:val="single" w:sz="8" w:color="E4E4E4"/>
            </w:tcBorders>
            <w:gridSpan w:val="2"/>
            <w:shd w:val="clear" w:color="auto" w:fill="E4E4E4"/>
          </w:tcPr>
          <w:p>
            <w:pPr>
              <w:spacing w:after="0"/>
              <w:rPr>
                <w:sz w:val="23"/>
                <w:szCs w:val="23"/>
                <w:color w:val="auto"/>
              </w:rPr>
            </w:pPr>
          </w:p>
        </w:tc>
        <w:tc>
          <w:tcPr>
            <w:tcW w:w="40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34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8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10.2</w:t>
            </w:r>
          </w:p>
        </w:tc>
        <w:tc>
          <w:tcPr>
            <w:tcW w:w="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9"/>
              </w:rPr>
              <w:t>12 4 2018</w:t>
            </w: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10.02</w:t>
            </w:r>
          </w:p>
        </w:tc>
        <w:tc>
          <w:tcPr>
            <w:tcW w:w="6800" w:type="dxa"/>
            <w:vAlign w:val="bottom"/>
            <w:gridSpan w:val="45"/>
            <w:shd w:val="clear" w:color="auto" w:fill="FEFEFE"/>
          </w:tcPr>
          <w:p>
            <w:pPr>
              <w:spacing w:after="0"/>
              <w:rPr>
                <w:sz w:val="20"/>
                <w:szCs w:val="20"/>
                <w:color w:val="auto"/>
              </w:rPr>
            </w:pPr>
            <w:r>
              <w:rPr>
                <w:rFonts w:ascii="Arial" w:cs="Arial" w:eastAsia="Arial" w:hAnsi="Arial"/>
                <w:sz w:val="18"/>
                <w:szCs w:val="18"/>
                <w:color w:val="303030"/>
                <w:w w:val="92"/>
              </w:rPr>
              <w:t>The Executive Severance Plan Participation Agreement dated September 27, 2018 between</w:t>
            </w:r>
          </w:p>
        </w:tc>
        <w:tc>
          <w:tcPr>
            <w:tcW w:w="800" w:type="dxa"/>
            <w:vAlign w:val="bottom"/>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10.3</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12 4 2018</w:t>
            </w: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440" w:type="dxa"/>
            <w:vAlign w:val="bottom"/>
            <w:tcBorders>
              <w:top w:val="single" w:sz="8" w:color="303030"/>
              <w:bottom w:val="single" w:sz="8" w:color="303030"/>
            </w:tcBorders>
            <w:shd w:val="clear" w:color="auto" w:fill="FEFEFE"/>
          </w:tcPr>
          <w:p>
            <w:pPr>
              <w:spacing w:after="0" w:line="160" w:lineRule="exact"/>
              <w:rPr>
                <w:sz w:val="20"/>
                <w:szCs w:val="20"/>
                <w:color w:val="auto"/>
              </w:rPr>
            </w:pPr>
            <w:r>
              <w:rPr>
                <w:rFonts w:ascii="Arial" w:cs="Arial" w:eastAsia="Arial" w:hAnsi="Arial"/>
                <w:sz w:val="18"/>
                <w:szCs w:val="18"/>
                <w:color w:val="303030"/>
                <w:w w:val="97"/>
              </w:rPr>
              <w:t>Carol</w:t>
            </w:r>
          </w:p>
        </w:tc>
        <w:tc>
          <w:tcPr>
            <w:tcW w:w="60" w:type="dxa"/>
            <w:vAlign w:val="bottom"/>
            <w:tcBorders>
              <w:top w:val="single" w:sz="8" w:color="303030"/>
              <w:bottom w:val="single" w:sz="8" w:color="303030"/>
            </w:tcBorders>
            <w:shd w:val="clear" w:color="auto" w:fill="FEFEFE"/>
          </w:tcPr>
          <w:p>
            <w:pPr>
              <w:spacing w:after="0"/>
              <w:rPr>
                <w:sz w:val="18"/>
                <w:szCs w:val="18"/>
                <w:color w:val="auto"/>
              </w:rPr>
            </w:pPr>
          </w:p>
        </w:tc>
        <w:tc>
          <w:tcPr>
            <w:tcW w:w="680" w:type="dxa"/>
            <w:vAlign w:val="bottom"/>
            <w:tcBorders>
              <w:top w:val="single" w:sz="8" w:color="303030"/>
              <w:bottom w:val="single" w:sz="8" w:color="303030"/>
            </w:tcBorders>
            <w:gridSpan w:val="3"/>
            <w:shd w:val="clear" w:color="auto" w:fill="FEFEFE"/>
          </w:tcPr>
          <w:p>
            <w:pPr>
              <w:ind w:left="100"/>
              <w:spacing w:after="0" w:line="160" w:lineRule="exact"/>
              <w:rPr>
                <w:sz w:val="20"/>
                <w:szCs w:val="20"/>
                <w:color w:val="auto"/>
              </w:rPr>
            </w:pPr>
            <w:r>
              <w:rPr>
                <w:rFonts w:ascii="Arial" w:cs="Arial" w:eastAsia="Arial" w:hAnsi="Arial"/>
                <w:sz w:val="18"/>
                <w:szCs w:val="18"/>
                <w:color w:val="303030"/>
                <w:w w:val="98"/>
              </w:rPr>
              <w:t>eyrowit</w:t>
            </w:r>
          </w:p>
        </w:tc>
        <w:tc>
          <w:tcPr>
            <w:tcW w:w="800" w:type="dxa"/>
            <w:vAlign w:val="bottom"/>
            <w:tcBorders>
              <w:top w:val="single" w:sz="8" w:color="303030"/>
              <w:bottom w:val="single" w:sz="8" w:color="303030"/>
            </w:tcBorders>
            <w:gridSpan w:val="5"/>
            <w:shd w:val="clear" w:color="auto" w:fill="FEFEFE"/>
          </w:tcPr>
          <w:p>
            <w:pPr>
              <w:ind w:left="100"/>
              <w:spacing w:after="0" w:line="160" w:lineRule="exact"/>
              <w:rPr>
                <w:sz w:val="20"/>
                <w:szCs w:val="20"/>
                <w:color w:val="auto"/>
              </w:rPr>
            </w:pPr>
            <w:r>
              <w:rPr>
                <w:rFonts w:ascii="Arial" w:cs="Arial" w:eastAsia="Arial" w:hAnsi="Arial"/>
                <w:sz w:val="18"/>
                <w:szCs w:val="18"/>
                <w:color w:val="303030"/>
              </w:rPr>
              <w:t>and TJX</w:t>
            </w:r>
          </w:p>
        </w:tc>
        <w:tc>
          <w:tcPr>
            <w:tcW w:w="1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60" w:type="dxa"/>
            <w:vAlign w:val="bottom"/>
            <w:tcBorders>
              <w:top w:val="single" w:sz="8" w:color="303030"/>
              <w:bottom w:val="single" w:sz="8" w:color="FEFEFE"/>
            </w:tcBorders>
            <w:shd w:val="clear" w:color="auto" w:fill="FEFEFE"/>
          </w:tcPr>
          <w:p>
            <w:pPr>
              <w:spacing w:after="0"/>
              <w:rPr>
                <w:sz w:val="18"/>
                <w:szCs w:val="18"/>
                <w:color w:val="auto"/>
              </w:rPr>
            </w:pPr>
          </w:p>
        </w:tc>
        <w:tc>
          <w:tcPr>
            <w:tcW w:w="1100" w:type="dxa"/>
            <w:vAlign w:val="bottom"/>
            <w:tcBorders>
              <w:top w:val="single" w:sz="8" w:color="303030"/>
              <w:bottom w:val="single" w:sz="8" w:color="FEFEFE"/>
            </w:tcBorders>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740" w:type="dxa"/>
            <w:vAlign w:val="bottom"/>
            <w:tcBorders>
              <w:top w:val="single" w:sz="8" w:color="FEFEFE"/>
              <w:bottom w:val="single" w:sz="8" w:color="FEFEFE"/>
            </w:tcBorders>
            <w:shd w:val="clear" w:color="auto" w:fill="FEFEFE"/>
          </w:tcPr>
          <w:p>
            <w:pPr>
              <w:spacing w:after="0"/>
              <w:rPr>
                <w:sz w:val="18"/>
                <w:szCs w:val="18"/>
                <w:color w:val="auto"/>
              </w:rPr>
            </w:pPr>
          </w:p>
        </w:tc>
        <w:tc>
          <w:tcPr>
            <w:tcW w:w="98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10.03</w:t>
            </w:r>
          </w:p>
        </w:tc>
        <w:tc>
          <w:tcPr>
            <w:tcW w:w="4960" w:type="dxa"/>
            <w:vAlign w:val="bottom"/>
            <w:tcBorders>
              <w:bottom w:val="single" w:sz="8" w:color="303030"/>
            </w:tcBorders>
            <w:gridSpan w:val="21"/>
            <w:shd w:val="clear" w:color="auto" w:fill="E4E4E4"/>
          </w:tcPr>
          <w:p>
            <w:pPr>
              <w:spacing w:after="0"/>
              <w:rPr>
                <w:sz w:val="20"/>
                <w:szCs w:val="20"/>
                <w:color w:val="auto"/>
              </w:rPr>
            </w:pPr>
            <w:r>
              <w:rPr>
                <w:rFonts w:ascii="Arial" w:cs="Arial" w:eastAsia="Arial" w:hAnsi="Arial"/>
                <w:sz w:val="18"/>
                <w:szCs w:val="18"/>
                <w:color w:val="303030"/>
                <w:w w:val="91"/>
              </w:rPr>
              <w:t>The Employment Agreement dated February 1, 201  between Carol</w:t>
            </w:r>
          </w:p>
        </w:tc>
        <w:tc>
          <w:tcPr>
            <w:tcW w:w="800" w:type="dxa"/>
            <w:vAlign w:val="bottom"/>
            <w:tcBorders>
              <w:bottom w:val="single" w:sz="8" w:color="303030"/>
            </w:tcBorders>
            <w:gridSpan w:val="3"/>
            <w:shd w:val="clear" w:color="auto" w:fill="E4E4E4"/>
          </w:tcPr>
          <w:p>
            <w:pPr>
              <w:ind w:left="160"/>
              <w:spacing w:after="0"/>
              <w:rPr>
                <w:sz w:val="20"/>
                <w:szCs w:val="20"/>
                <w:color w:val="auto"/>
              </w:rPr>
            </w:pPr>
            <w:r>
              <w:rPr>
                <w:rFonts w:ascii="Arial" w:cs="Arial" w:eastAsia="Arial" w:hAnsi="Arial"/>
                <w:sz w:val="18"/>
                <w:szCs w:val="18"/>
                <w:color w:val="303030"/>
              </w:rPr>
              <w:t>eyrowit</w:t>
            </w:r>
          </w:p>
        </w:tc>
        <w:tc>
          <w:tcPr>
            <w:tcW w:w="660" w:type="dxa"/>
            <w:vAlign w:val="bottom"/>
            <w:tcBorders>
              <w:bottom w:val="single" w:sz="8" w:color="303030"/>
            </w:tcBorders>
            <w:gridSpan w:val="11"/>
            <w:shd w:val="clear" w:color="auto" w:fill="E4E4E4"/>
          </w:tcPr>
          <w:p>
            <w:pPr>
              <w:jc w:val="center"/>
              <w:spacing w:after="0"/>
              <w:rPr>
                <w:sz w:val="20"/>
                <w:szCs w:val="20"/>
                <w:color w:val="auto"/>
              </w:rPr>
            </w:pPr>
            <w:r>
              <w:rPr>
                <w:rFonts w:ascii="Arial" w:cs="Arial" w:eastAsia="Arial" w:hAnsi="Arial"/>
                <w:sz w:val="18"/>
                <w:szCs w:val="18"/>
                <w:color w:val="303030"/>
                <w:w w:val="92"/>
              </w:rPr>
              <w:t>and TJX</w:t>
            </w:r>
          </w:p>
        </w:tc>
        <w:tc>
          <w:tcPr>
            <w:tcW w:w="60" w:type="dxa"/>
            <w:vAlign w:val="bottom"/>
            <w:tcBorders>
              <w:bottom w:val="single" w:sz="8" w:color="303030"/>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8"/>
              </w:rPr>
              <w:t>10.03</w:t>
            </w:r>
          </w:p>
        </w:tc>
        <w:tc>
          <w:tcPr>
            <w:tcW w:w="980" w:type="dxa"/>
            <w:vAlign w:val="bottom"/>
            <w:tcBorders>
              <w:bottom w:val="single" w:sz="8" w:color="E4E4E4"/>
            </w:tcBorders>
            <w:shd w:val="clear" w:color="auto" w:fill="E4E4E4"/>
          </w:tcPr>
          <w:p>
            <w:pPr>
              <w:jc w:val="right"/>
              <w:ind w:right="170"/>
              <w:spacing w:after="0"/>
              <w:rPr>
                <w:sz w:val="20"/>
                <w:szCs w:val="20"/>
                <w:color w:val="auto"/>
              </w:rPr>
            </w:pPr>
            <w:r>
              <w:rPr>
                <w:rFonts w:ascii="Arial" w:cs="Arial" w:eastAsia="Arial" w:hAnsi="Arial"/>
                <w:sz w:val="18"/>
                <w:szCs w:val="18"/>
                <w:color w:val="auto"/>
              </w:rPr>
              <w:t>4 3 201</w:t>
            </w:r>
          </w:p>
        </w:tc>
        <w:tc>
          <w:tcPr>
            <w:tcW w:w="0" w:type="dxa"/>
            <w:vAlign w:val="bottom"/>
          </w:tcPr>
          <w:p>
            <w:pPr>
              <w:spacing w:after="0"/>
              <w:rPr>
                <w:sz w:val="1"/>
                <w:szCs w:val="1"/>
                <w:color w:val="auto"/>
              </w:rPr>
            </w:pPr>
          </w:p>
        </w:tc>
      </w:tr>
      <w:tr>
        <w:trPr>
          <w:trHeight w:val="215"/>
        </w:trPr>
        <w:tc>
          <w:tcPr>
            <w:tcW w:w="76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93"/>
              </w:rPr>
              <w:t>10.04</w:t>
            </w:r>
          </w:p>
        </w:tc>
        <w:tc>
          <w:tcPr>
            <w:tcW w:w="5420" w:type="dxa"/>
            <w:vAlign w:val="bottom"/>
            <w:tcBorders>
              <w:top w:val="single" w:sz="8" w:color="E4E4E4"/>
            </w:tcBorders>
            <w:gridSpan w:val="23"/>
            <w:shd w:val="clear" w:color="auto" w:fill="FEFEFE"/>
          </w:tcPr>
          <w:p>
            <w:pPr>
              <w:spacing w:after="0"/>
              <w:rPr>
                <w:sz w:val="20"/>
                <w:szCs w:val="20"/>
                <w:color w:val="auto"/>
              </w:rPr>
            </w:pPr>
            <w:r>
              <w:rPr>
                <w:rFonts w:ascii="Arial" w:cs="Arial" w:eastAsia="Arial" w:hAnsi="Arial"/>
                <w:sz w:val="18"/>
                <w:szCs w:val="18"/>
                <w:color w:val="303030"/>
                <w:w w:val="94"/>
              </w:rPr>
              <w:t>The Amendment to the Employment Agreement between Carol  eyrowit</w:t>
            </w:r>
          </w:p>
        </w:tc>
        <w:tc>
          <w:tcPr>
            <w:tcW w:w="1380" w:type="dxa"/>
            <w:vAlign w:val="bottom"/>
            <w:tcBorders>
              <w:top w:val="single" w:sz="8" w:color="E4E4E4"/>
            </w:tcBorders>
            <w:gridSpan w:val="22"/>
            <w:shd w:val="clear" w:color="auto" w:fill="FEFEFE"/>
          </w:tcPr>
          <w:p>
            <w:pPr>
              <w:jc w:val="center"/>
              <w:ind w:right="20"/>
              <w:spacing w:after="0"/>
              <w:rPr>
                <w:sz w:val="20"/>
                <w:szCs w:val="20"/>
                <w:color w:val="auto"/>
              </w:rPr>
            </w:pPr>
            <w:r>
              <w:rPr>
                <w:rFonts w:ascii="Arial" w:cs="Arial" w:eastAsia="Arial" w:hAnsi="Arial"/>
                <w:sz w:val="18"/>
                <w:szCs w:val="18"/>
                <w:color w:val="303030"/>
                <w:w w:val="92"/>
              </w:rPr>
              <w:t>and TJX effective</w:t>
            </w:r>
          </w:p>
        </w:tc>
        <w:tc>
          <w:tcPr>
            <w:tcW w:w="800" w:type="dxa"/>
            <w:vAlign w:val="bottom"/>
            <w:tcBorders>
              <w:top w:val="single" w:sz="8" w:color="E4E4E4"/>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88"/>
              </w:rPr>
              <w:t>10.04</w:t>
            </w:r>
          </w:p>
        </w:tc>
        <w:tc>
          <w:tcPr>
            <w:tcW w:w="98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89"/>
              </w:rPr>
              <w:t>3 30 2022</w:t>
            </w:r>
          </w:p>
        </w:tc>
        <w:tc>
          <w:tcPr>
            <w:tcW w:w="0" w:type="dxa"/>
            <w:vAlign w:val="bottom"/>
          </w:tcPr>
          <w:p>
            <w:pPr>
              <w:spacing w:after="0"/>
              <w:rPr>
                <w:sz w:val="1"/>
                <w:szCs w:val="1"/>
                <w:color w:val="auto"/>
              </w:rPr>
            </w:pPr>
          </w:p>
        </w:tc>
      </w:tr>
      <w:tr>
        <w:trPr>
          <w:trHeight w:val="165"/>
        </w:trPr>
        <w:tc>
          <w:tcPr>
            <w:tcW w:w="760" w:type="dxa"/>
            <w:vAlign w:val="bottom"/>
            <w:tcBorders>
              <w:top w:val="single" w:sz="8" w:color="FEFEFE"/>
              <w:bottom w:val="single" w:sz="8" w:color="FEFEFE"/>
            </w:tcBorders>
            <w:shd w:val="clear" w:color="auto" w:fill="FEFEFE"/>
          </w:tcPr>
          <w:p>
            <w:pPr>
              <w:spacing w:after="0"/>
              <w:rPr>
                <w:sz w:val="14"/>
                <w:szCs w:val="14"/>
                <w:color w:val="auto"/>
              </w:rPr>
            </w:pPr>
          </w:p>
        </w:tc>
        <w:tc>
          <w:tcPr>
            <w:tcW w:w="1720" w:type="dxa"/>
            <w:vAlign w:val="bottom"/>
            <w:tcBorders>
              <w:top w:val="single" w:sz="8" w:color="303030"/>
              <w:bottom w:val="single" w:sz="8" w:color="303030"/>
            </w:tcBorders>
            <w:gridSpan w:val="8"/>
            <w:shd w:val="clear" w:color="auto" w:fill="FEFEFE"/>
          </w:tcPr>
          <w:p>
            <w:pPr>
              <w:spacing w:after="0" w:line="160" w:lineRule="exact"/>
              <w:rPr>
                <w:sz w:val="20"/>
                <w:szCs w:val="20"/>
                <w:color w:val="auto"/>
              </w:rPr>
            </w:pPr>
            <w:r>
              <w:rPr>
                <w:rFonts w:ascii="Arial" w:cs="Arial" w:eastAsia="Arial" w:hAnsi="Arial"/>
                <w:sz w:val="18"/>
                <w:szCs w:val="18"/>
                <w:color w:val="303030"/>
                <w:w w:val="92"/>
              </w:rPr>
              <w:t>as of January 28, 2022</w:t>
            </w:r>
          </w:p>
        </w:tc>
        <w:tc>
          <w:tcPr>
            <w:tcW w:w="420" w:type="dxa"/>
            <w:vAlign w:val="bottom"/>
            <w:tcBorders>
              <w:top w:val="single" w:sz="8" w:color="303030"/>
              <w:bottom w:val="single" w:sz="8" w:color="FEFEFE"/>
            </w:tcBorders>
            <w:gridSpan w:val="3"/>
            <w:shd w:val="clear" w:color="auto" w:fill="FEFEFE"/>
          </w:tcPr>
          <w:p>
            <w:pPr>
              <w:spacing w:after="0"/>
              <w:rPr>
                <w:sz w:val="14"/>
                <w:szCs w:val="14"/>
                <w:color w:val="auto"/>
              </w:rPr>
            </w:pPr>
          </w:p>
        </w:tc>
        <w:tc>
          <w:tcPr>
            <w:tcW w:w="20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80" w:type="dxa"/>
            <w:vAlign w:val="bottom"/>
            <w:tcBorders>
              <w:top w:val="single" w:sz="8" w:color="303030"/>
              <w:bottom w:val="single" w:sz="8" w:color="FEFEFE"/>
            </w:tcBorders>
            <w:shd w:val="clear" w:color="auto" w:fill="FEFEFE"/>
          </w:tcPr>
          <w:p>
            <w:pPr>
              <w:spacing w:after="0"/>
              <w:rPr>
                <w:sz w:val="14"/>
                <w:szCs w:val="14"/>
                <w:color w:val="auto"/>
              </w:rPr>
            </w:pPr>
          </w:p>
        </w:tc>
        <w:tc>
          <w:tcPr>
            <w:tcW w:w="200" w:type="dxa"/>
            <w:vAlign w:val="bottom"/>
            <w:tcBorders>
              <w:top w:val="single" w:sz="8" w:color="303030"/>
              <w:bottom w:val="single" w:sz="8" w:color="FEFEFE"/>
            </w:tcBorders>
            <w:shd w:val="clear" w:color="auto" w:fill="FEFEFE"/>
          </w:tcPr>
          <w:p>
            <w:pPr>
              <w:spacing w:after="0"/>
              <w:rPr>
                <w:sz w:val="14"/>
                <w:szCs w:val="14"/>
                <w:color w:val="auto"/>
              </w:rPr>
            </w:pPr>
          </w:p>
        </w:tc>
        <w:tc>
          <w:tcPr>
            <w:tcW w:w="360" w:type="dxa"/>
            <w:vAlign w:val="bottom"/>
            <w:tcBorders>
              <w:top w:val="single" w:sz="8" w:color="303030"/>
              <w:bottom w:val="single" w:sz="8" w:color="FEFEFE"/>
            </w:tcBorders>
            <w:shd w:val="clear" w:color="auto" w:fill="FEFEFE"/>
          </w:tcPr>
          <w:p>
            <w:pPr>
              <w:spacing w:after="0"/>
              <w:rPr>
                <w:sz w:val="14"/>
                <w:szCs w:val="14"/>
                <w:color w:val="auto"/>
              </w:rPr>
            </w:pPr>
          </w:p>
        </w:tc>
        <w:tc>
          <w:tcPr>
            <w:tcW w:w="1100" w:type="dxa"/>
            <w:vAlign w:val="bottom"/>
            <w:tcBorders>
              <w:top w:val="single" w:sz="8" w:color="303030"/>
              <w:bottom w:val="single" w:sz="8" w:color="FEFEFE"/>
            </w:tcBorders>
            <w:shd w:val="clear" w:color="auto" w:fill="FEFEFE"/>
          </w:tcPr>
          <w:p>
            <w:pPr>
              <w:spacing w:after="0"/>
              <w:rPr>
                <w:sz w:val="14"/>
                <w:szCs w:val="14"/>
                <w:color w:val="auto"/>
              </w:rPr>
            </w:pPr>
          </w:p>
        </w:tc>
        <w:tc>
          <w:tcPr>
            <w:tcW w:w="30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400" w:type="dxa"/>
            <w:vAlign w:val="bottom"/>
            <w:tcBorders>
              <w:top w:val="single" w:sz="8" w:color="303030"/>
              <w:bottom w:val="single" w:sz="8" w:color="FEFEFE"/>
            </w:tcBorders>
            <w:shd w:val="clear" w:color="auto" w:fill="FEFEFE"/>
          </w:tcPr>
          <w:p>
            <w:pPr>
              <w:spacing w:after="0"/>
              <w:rPr>
                <w:sz w:val="14"/>
                <w:szCs w:val="14"/>
                <w:color w:val="auto"/>
              </w:rPr>
            </w:pPr>
          </w:p>
        </w:tc>
        <w:tc>
          <w:tcPr>
            <w:tcW w:w="260" w:type="dxa"/>
            <w:vAlign w:val="bottom"/>
            <w:tcBorders>
              <w:top w:val="single" w:sz="8" w:color="303030"/>
              <w:bottom w:val="single" w:sz="8" w:color="FEFEFE"/>
            </w:tcBorders>
            <w:shd w:val="clear" w:color="auto" w:fill="FEFEFE"/>
          </w:tcPr>
          <w:p>
            <w:pPr>
              <w:spacing w:after="0"/>
              <w:rPr>
                <w:sz w:val="14"/>
                <w:szCs w:val="14"/>
                <w:color w:val="auto"/>
              </w:rPr>
            </w:pPr>
          </w:p>
        </w:tc>
        <w:tc>
          <w:tcPr>
            <w:tcW w:w="200" w:type="dxa"/>
            <w:vAlign w:val="bottom"/>
            <w:tcBorders>
              <w:top w:val="single" w:sz="8" w:color="303030"/>
              <w:bottom w:val="single" w:sz="8" w:color="FEFEFE"/>
            </w:tcBorders>
            <w:shd w:val="clear" w:color="auto" w:fill="FEFEFE"/>
          </w:tcPr>
          <w:p>
            <w:pPr>
              <w:spacing w:after="0"/>
              <w:rPr>
                <w:sz w:val="14"/>
                <w:szCs w:val="14"/>
                <w:color w:val="auto"/>
              </w:rPr>
            </w:pPr>
          </w:p>
        </w:tc>
        <w:tc>
          <w:tcPr>
            <w:tcW w:w="340" w:type="dxa"/>
            <w:vAlign w:val="bottom"/>
            <w:tcBorders>
              <w:top w:val="single" w:sz="8" w:color="303030"/>
              <w:bottom w:val="single" w:sz="8" w:color="FEFEFE"/>
            </w:tcBorders>
            <w:shd w:val="clear" w:color="auto" w:fill="FEFEFE"/>
          </w:tcPr>
          <w:p>
            <w:pPr>
              <w:spacing w:after="0"/>
              <w:rPr>
                <w:sz w:val="14"/>
                <w:szCs w:val="14"/>
                <w:color w:val="auto"/>
              </w:rPr>
            </w:pPr>
          </w:p>
        </w:tc>
        <w:tc>
          <w:tcPr>
            <w:tcW w:w="120" w:type="dxa"/>
            <w:vAlign w:val="bottom"/>
            <w:tcBorders>
              <w:top w:val="single" w:sz="8" w:color="303030"/>
              <w:bottom w:val="single" w:sz="8" w:color="FEFEFE"/>
            </w:tcBorders>
            <w:shd w:val="clear" w:color="auto" w:fill="FEFEFE"/>
          </w:tcPr>
          <w:p>
            <w:pPr>
              <w:spacing w:after="0"/>
              <w:rPr>
                <w:sz w:val="14"/>
                <w:szCs w:val="14"/>
                <w:color w:val="auto"/>
              </w:rPr>
            </w:pPr>
          </w:p>
        </w:tc>
        <w:tc>
          <w:tcPr>
            <w:tcW w:w="100" w:type="dxa"/>
            <w:vAlign w:val="bottom"/>
            <w:tcBorders>
              <w:top w:val="single" w:sz="8" w:color="303030"/>
              <w:bottom w:val="single" w:sz="8" w:color="FEFEFE"/>
            </w:tcBorders>
            <w:shd w:val="clear" w:color="auto" w:fill="FEFEFE"/>
          </w:tcPr>
          <w:p>
            <w:pPr>
              <w:spacing w:after="0"/>
              <w:rPr>
                <w:sz w:val="14"/>
                <w:szCs w:val="14"/>
                <w:color w:val="auto"/>
              </w:rPr>
            </w:pPr>
          </w:p>
        </w:tc>
        <w:tc>
          <w:tcPr>
            <w:tcW w:w="8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10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40" w:type="dxa"/>
            <w:vAlign w:val="bottom"/>
            <w:tcBorders>
              <w:top w:val="single" w:sz="8" w:color="303030"/>
              <w:bottom w:val="single" w:sz="8" w:color="FEFEFE"/>
            </w:tcBorders>
            <w:shd w:val="clear" w:color="auto" w:fill="FEFEFE"/>
          </w:tcPr>
          <w:p>
            <w:pPr>
              <w:spacing w:after="0"/>
              <w:rPr>
                <w:sz w:val="14"/>
                <w:szCs w:val="14"/>
                <w:color w:val="auto"/>
              </w:rPr>
            </w:pPr>
          </w:p>
        </w:tc>
        <w:tc>
          <w:tcPr>
            <w:tcW w:w="10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6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303030"/>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760" w:type="dxa"/>
            <w:vAlign w:val="bottom"/>
            <w:tcBorders>
              <w:top w:val="single" w:sz="8" w:color="FEFEFE"/>
              <w:bottom w:val="single" w:sz="8" w:color="FEFEFE"/>
            </w:tcBorders>
            <w:shd w:val="clear" w:color="auto" w:fill="FEFEFE"/>
          </w:tcPr>
          <w:p>
            <w:pPr>
              <w:spacing w:after="0"/>
              <w:rPr>
                <w:sz w:val="14"/>
                <w:szCs w:val="14"/>
                <w:color w:val="auto"/>
              </w:rPr>
            </w:pPr>
          </w:p>
        </w:tc>
        <w:tc>
          <w:tcPr>
            <w:tcW w:w="740" w:type="dxa"/>
            <w:vAlign w:val="bottom"/>
            <w:tcBorders>
              <w:top w:val="single" w:sz="8" w:color="FEFEFE"/>
              <w:bottom w:val="single" w:sz="8" w:color="FEFEFE"/>
            </w:tcBorders>
            <w:shd w:val="clear" w:color="auto" w:fill="FEFEFE"/>
          </w:tcPr>
          <w:p>
            <w:pPr>
              <w:spacing w:after="0"/>
              <w:rPr>
                <w:sz w:val="14"/>
                <w:szCs w:val="14"/>
                <w:color w:val="auto"/>
              </w:rPr>
            </w:pPr>
          </w:p>
        </w:tc>
        <w:tc>
          <w:tcPr>
            <w:tcW w:w="980" w:type="dxa"/>
            <w:vAlign w:val="bottom"/>
            <w:tcBorders>
              <w:top w:val="single" w:sz="8" w:color="FEFEFE"/>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10.05</w:t>
            </w:r>
          </w:p>
        </w:tc>
        <w:tc>
          <w:tcPr>
            <w:tcW w:w="4560" w:type="dxa"/>
            <w:vAlign w:val="bottom"/>
            <w:tcBorders>
              <w:bottom w:val="single" w:sz="8" w:color="303030"/>
            </w:tcBorders>
            <w:gridSpan w:val="20"/>
            <w:shd w:val="clear" w:color="auto" w:fill="E4E4E4"/>
          </w:tcPr>
          <w:p>
            <w:pPr>
              <w:spacing w:after="0"/>
              <w:rPr>
                <w:sz w:val="20"/>
                <w:szCs w:val="20"/>
                <w:color w:val="auto"/>
              </w:rPr>
            </w:pPr>
            <w:r>
              <w:rPr>
                <w:rFonts w:ascii="Arial" w:cs="Arial" w:eastAsia="Arial" w:hAnsi="Arial"/>
                <w:sz w:val="18"/>
                <w:szCs w:val="18"/>
                <w:color w:val="303030"/>
                <w:w w:val="92"/>
              </w:rPr>
              <w:t>The Letter Agreement dated January 31, 2025 between Carol</w:t>
            </w:r>
          </w:p>
        </w:tc>
        <w:tc>
          <w:tcPr>
            <w:tcW w:w="660" w:type="dxa"/>
            <w:vAlign w:val="bottom"/>
            <w:tcBorders>
              <w:bottom w:val="single" w:sz="8" w:color="303030"/>
            </w:tcBorders>
            <w:gridSpan w:val="2"/>
            <w:shd w:val="clear" w:color="auto" w:fill="E4E4E4"/>
          </w:tcPr>
          <w:p>
            <w:pPr>
              <w:ind w:left="60"/>
              <w:spacing w:after="0"/>
              <w:rPr>
                <w:sz w:val="20"/>
                <w:szCs w:val="20"/>
                <w:color w:val="auto"/>
              </w:rPr>
            </w:pPr>
            <w:r>
              <w:rPr>
                <w:rFonts w:ascii="Arial" w:cs="Arial" w:eastAsia="Arial" w:hAnsi="Arial"/>
                <w:sz w:val="18"/>
                <w:szCs w:val="18"/>
                <w:color w:val="303030"/>
              </w:rPr>
              <w:t>eyrowit</w:t>
            </w:r>
          </w:p>
        </w:tc>
        <w:tc>
          <w:tcPr>
            <w:tcW w:w="760" w:type="dxa"/>
            <w:vAlign w:val="bottom"/>
            <w:tcBorders>
              <w:bottom w:val="single" w:sz="8" w:color="303030"/>
            </w:tcBorders>
            <w:gridSpan w:val="4"/>
            <w:shd w:val="clear" w:color="auto" w:fill="E4E4E4"/>
          </w:tcPr>
          <w:p>
            <w:pPr>
              <w:jc w:val="center"/>
              <w:ind w:right="20"/>
              <w:spacing w:after="0"/>
              <w:rPr>
                <w:sz w:val="20"/>
                <w:szCs w:val="20"/>
                <w:color w:val="auto"/>
              </w:rPr>
            </w:pPr>
            <w:r>
              <w:rPr>
                <w:rFonts w:ascii="Arial" w:cs="Arial" w:eastAsia="Arial" w:hAnsi="Arial"/>
                <w:sz w:val="18"/>
                <w:szCs w:val="18"/>
                <w:color w:val="303030"/>
                <w:w w:val="92"/>
              </w:rPr>
              <w:t>and TJX</w:t>
            </w:r>
          </w:p>
        </w:tc>
        <w:tc>
          <w:tcPr>
            <w:tcW w:w="8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8"/>
              </w:rPr>
              <w:t>10.05</w:t>
            </w:r>
          </w:p>
        </w:tc>
        <w:tc>
          <w:tcPr>
            <w:tcW w:w="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4 2 2025</w:t>
            </w: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10.06</w:t>
            </w:r>
          </w:p>
        </w:tc>
        <w:tc>
          <w:tcPr>
            <w:tcW w:w="6800" w:type="dxa"/>
            <w:vAlign w:val="bottom"/>
            <w:gridSpan w:val="45"/>
            <w:shd w:val="clear" w:color="auto" w:fill="FEFEFE"/>
          </w:tcPr>
          <w:p>
            <w:pPr>
              <w:spacing w:after="0"/>
              <w:rPr>
                <w:sz w:val="20"/>
                <w:szCs w:val="20"/>
                <w:color w:val="auto"/>
              </w:rPr>
            </w:pPr>
            <w:r>
              <w:rPr>
                <w:rFonts w:ascii="Arial" w:cs="Arial" w:eastAsia="Arial" w:hAnsi="Arial"/>
                <w:sz w:val="18"/>
                <w:szCs w:val="18"/>
                <w:color w:val="303030"/>
                <w:w w:val="92"/>
              </w:rPr>
              <w:t>The Executive Severance Plan Participation Agreement dated September 27, 2018 between</w:t>
            </w:r>
          </w:p>
        </w:tc>
        <w:tc>
          <w:tcPr>
            <w:tcW w:w="800" w:type="dxa"/>
            <w:vAlign w:val="bottom"/>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10.4</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12 4 2018</w:t>
            </w: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440" w:type="dxa"/>
            <w:vAlign w:val="bottom"/>
            <w:tcBorders>
              <w:top w:val="single" w:sz="8" w:color="303030"/>
              <w:bottom w:val="single" w:sz="8" w:color="303030"/>
            </w:tcBorders>
            <w:shd w:val="clear" w:color="auto" w:fill="FEFEFE"/>
          </w:tcPr>
          <w:p>
            <w:pPr>
              <w:spacing w:after="0" w:line="160" w:lineRule="exact"/>
              <w:rPr>
                <w:sz w:val="20"/>
                <w:szCs w:val="20"/>
                <w:color w:val="auto"/>
              </w:rPr>
            </w:pPr>
            <w:r>
              <w:rPr>
                <w:rFonts w:ascii="Arial" w:cs="Arial" w:eastAsia="Arial" w:hAnsi="Arial"/>
                <w:sz w:val="18"/>
                <w:szCs w:val="18"/>
                <w:color w:val="303030"/>
                <w:w w:val="99"/>
              </w:rPr>
              <w:t>Ernie</w:t>
            </w:r>
          </w:p>
        </w:tc>
        <w:tc>
          <w:tcPr>
            <w:tcW w:w="60" w:type="dxa"/>
            <w:vAlign w:val="bottom"/>
            <w:tcBorders>
              <w:top w:val="single" w:sz="8" w:color="303030"/>
              <w:bottom w:val="single" w:sz="8" w:color="303030"/>
            </w:tcBorders>
            <w:shd w:val="clear" w:color="auto" w:fill="FEFEFE"/>
          </w:tcPr>
          <w:p>
            <w:pPr>
              <w:spacing w:after="0"/>
              <w:rPr>
                <w:sz w:val="18"/>
                <w:szCs w:val="18"/>
                <w:color w:val="auto"/>
              </w:rPr>
            </w:pPr>
          </w:p>
        </w:tc>
        <w:tc>
          <w:tcPr>
            <w:tcW w:w="1320" w:type="dxa"/>
            <w:vAlign w:val="bottom"/>
            <w:tcBorders>
              <w:top w:val="single" w:sz="8" w:color="303030"/>
              <w:bottom w:val="single" w:sz="8" w:color="303030"/>
            </w:tcBorders>
            <w:gridSpan w:val="7"/>
            <w:shd w:val="clear" w:color="auto" w:fill="FEFEFE"/>
          </w:tcPr>
          <w:p>
            <w:pPr>
              <w:ind w:left="60"/>
              <w:spacing w:after="0" w:line="160" w:lineRule="exact"/>
              <w:rPr>
                <w:sz w:val="20"/>
                <w:szCs w:val="20"/>
                <w:color w:val="auto"/>
              </w:rPr>
            </w:pPr>
            <w:r>
              <w:rPr>
                <w:rFonts w:ascii="Arial" w:cs="Arial" w:eastAsia="Arial" w:hAnsi="Arial"/>
                <w:sz w:val="18"/>
                <w:szCs w:val="18"/>
                <w:color w:val="303030"/>
                <w:w w:val="96"/>
              </w:rPr>
              <w:t>errman and TJX</w:t>
            </w:r>
          </w:p>
        </w:tc>
        <w:tc>
          <w:tcPr>
            <w:tcW w:w="320" w:type="dxa"/>
            <w:vAlign w:val="bottom"/>
            <w:tcBorders>
              <w:top w:val="single" w:sz="8" w:color="303030"/>
              <w:bottom w:val="single" w:sz="8" w:color="FEFEFE"/>
            </w:tcBorders>
            <w:gridSpan w:val="2"/>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60" w:type="dxa"/>
            <w:vAlign w:val="bottom"/>
            <w:tcBorders>
              <w:top w:val="single" w:sz="8" w:color="303030"/>
              <w:bottom w:val="single" w:sz="8" w:color="FEFEFE"/>
            </w:tcBorders>
            <w:shd w:val="clear" w:color="auto" w:fill="FEFEFE"/>
          </w:tcPr>
          <w:p>
            <w:pPr>
              <w:spacing w:after="0"/>
              <w:rPr>
                <w:sz w:val="18"/>
                <w:szCs w:val="18"/>
                <w:color w:val="auto"/>
              </w:rPr>
            </w:pPr>
          </w:p>
        </w:tc>
        <w:tc>
          <w:tcPr>
            <w:tcW w:w="1100" w:type="dxa"/>
            <w:vAlign w:val="bottom"/>
            <w:tcBorders>
              <w:top w:val="single" w:sz="8" w:color="303030"/>
              <w:bottom w:val="single" w:sz="8" w:color="FEFEFE"/>
            </w:tcBorders>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740" w:type="dxa"/>
            <w:vAlign w:val="bottom"/>
            <w:tcBorders>
              <w:top w:val="single" w:sz="8" w:color="FEFEFE"/>
              <w:bottom w:val="single" w:sz="8" w:color="FEFEFE"/>
            </w:tcBorders>
            <w:shd w:val="clear" w:color="auto" w:fill="FEFEFE"/>
          </w:tcPr>
          <w:p>
            <w:pPr>
              <w:spacing w:after="0"/>
              <w:rPr>
                <w:sz w:val="18"/>
                <w:szCs w:val="18"/>
                <w:color w:val="auto"/>
              </w:rPr>
            </w:pPr>
          </w:p>
        </w:tc>
        <w:tc>
          <w:tcPr>
            <w:tcW w:w="98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10.07</w:t>
            </w:r>
          </w:p>
        </w:tc>
        <w:tc>
          <w:tcPr>
            <w:tcW w:w="4960" w:type="dxa"/>
            <w:vAlign w:val="bottom"/>
            <w:tcBorders>
              <w:bottom w:val="single" w:sz="8" w:color="303030"/>
            </w:tcBorders>
            <w:gridSpan w:val="21"/>
            <w:shd w:val="clear" w:color="auto" w:fill="E4E4E4"/>
          </w:tcPr>
          <w:p>
            <w:pPr>
              <w:spacing w:after="0"/>
              <w:rPr>
                <w:sz w:val="20"/>
                <w:szCs w:val="20"/>
                <w:color w:val="auto"/>
              </w:rPr>
            </w:pPr>
            <w:r>
              <w:rPr>
                <w:rFonts w:ascii="Arial" w:cs="Arial" w:eastAsia="Arial" w:hAnsi="Arial"/>
                <w:sz w:val="18"/>
                <w:szCs w:val="18"/>
                <w:color w:val="303030"/>
                <w:w w:val="92"/>
              </w:rPr>
              <w:t>The Employment Agreement dated February 1, 201  between Ernie</w:t>
            </w:r>
          </w:p>
        </w:tc>
        <w:tc>
          <w:tcPr>
            <w:tcW w:w="1360" w:type="dxa"/>
            <w:vAlign w:val="bottom"/>
            <w:tcBorders>
              <w:bottom w:val="single" w:sz="8" w:color="303030"/>
            </w:tcBorders>
            <w:gridSpan w:val="13"/>
            <w:shd w:val="clear" w:color="auto" w:fill="E4E4E4"/>
          </w:tcPr>
          <w:p>
            <w:pPr>
              <w:ind w:left="120"/>
              <w:spacing w:after="0"/>
              <w:rPr>
                <w:sz w:val="20"/>
                <w:szCs w:val="20"/>
                <w:color w:val="auto"/>
              </w:rPr>
            </w:pPr>
            <w:r>
              <w:rPr>
                <w:rFonts w:ascii="Arial" w:cs="Arial" w:eastAsia="Arial" w:hAnsi="Arial"/>
                <w:sz w:val="18"/>
                <w:szCs w:val="18"/>
                <w:color w:val="303030"/>
                <w:w w:val="94"/>
              </w:rPr>
              <w:t>errman and TJX</w:t>
            </w:r>
          </w:p>
        </w:tc>
        <w:tc>
          <w:tcPr>
            <w:tcW w:w="10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8"/>
              </w:rPr>
              <w:t>10.05</w:t>
            </w:r>
          </w:p>
        </w:tc>
        <w:tc>
          <w:tcPr>
            <w:tcW w:w="980" w:type="dxa"/>
            <w:vAlign w:val="bottom"/>
            <w:tcBorders>
              <w:bottom w:val="single" w:sz="8" w:color="E4E4E4"/>
            </w:tcBorders>
            <w:shd w:val="clear" w:color="auto" w:fill="E4E4E4"/>
          </w:tcPr>
          <w:p>
            <w:pPr>
              <w:jc w:val="right"/>
              <w:ind w:right="170"/>
              <w:spacing w:after="0"/>
              <w:rPr>
                <w:sz w:val="20"/>
                <w:szCs w:val="20"/>
                <w:color w:val="auto"/>
              </w:rPr>
            </w:pPr>
            <w:r>
              <w:rPr>
                <w:rFonts w:ascii="Arial" w:cs="Arial" w:eastAsia="Arial" w:hAnsi="Arial"/>
                <w:sz w:val="18"/>
                <w:szCs w:val="18"/>
                <w:color w:val="auto"/>
              </w:rPr>
              <w:t>4 3 201</w:t>
            </w: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10.08</w:t>
            </w:r>
          </w:p>
        </w:tc>
        <w:tc>
          <w:tcPr>
            <w:tcW w:w="4560" w:type="dxa"/>
            <w:vAlign w:val="bottom"/>
            <w:gridSpan w:val="20"/>
            <w:shd w:val="clear" w:color="auto" w:fill="FEFEFE"/>
          </w:tcPr>
          <w:p>
            <w:pPr>
              <w:spacing w:after="0"/>
              <w:rPr>
                <w:sz w:val="20"/>
                <w:szCs w:val="20"/>
                <w:color w:val="auto"/>
              </w:rPr>
            </w:pPr>
            <w:r>
              <w:rPr>
                <w:rFonts w:ascii="Arial" w:cs="Arial" w:eastAsia="Arial" w:hAnsi="Arial"/>
                <w:sz w:val="18"/>
                <w:szCs w:val="18"/>
                <w:color w:val="303030"/>
                <w:w w:val="90"/>
              </w:rPr>
              <w:t>The Amendment to the Employment Agreement between Ernie</w:t>
            </w:r>
          </w:p>
        </w:tc>
        <w:tc>
          <w:tcPr>
            <w:tcW w:w="2240" w:type="dxa"/>
            <w:vAlign w:val="bottom"/>
            <w:gridSpan w:val="25"/>
            <w:shd w:val="clear" w:color="auto" w:fill="FEFEFE"/>
          </w:tcPr>
          <w:p>
            <w:pPr>
              <w:ind w:left="180"/>
              <w:spacing w:after="0"/>
              <w:rPr>
                <w:sz w:val="20"/>
                <w:szCs w:val="20"/>
                <w:color w:val="auto"/>
              </w:rPr>
            </w:pPr>
            <w:r>
              <w:rPr>
                <w:rFonts w:ascii="Arial" w:cs="Arial" w:eastAsia="Arial" w:hAnsi="Arial"/>
                <w:sz w:val="18"/>
                <w:szCs w:val="18"/>
                <w:color w:val="303030"/>
                <w:w w:val="90"/>
              </w:rPr>
              <w:t>errman and TJX effective as</w:t>
            </w:r>
          </w:p>
        </w:tc>
        <w:tc>
          <w:tcPr>
            <w:tcW w:w="800" w:type="dxa"/>
            <w:vAlign w:val="bottom"/>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10.07</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3 30 2022</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2140" w:type="dxa"/>
            <w:vAlign w:val="bottom"/>
            <w:tcBorders>
              <w:top w:val="single" w:sz="8" w:color="303030"/>
            </w:tcBorders>
            <w:gridSpan w:val="11"/>
            <w:shd w:val="clear" w:color="auto" w:fill="FEFEFE"/>
          </w:tcPr>
          <w:p>
            <w:pPr>
              <w:spacing w:after="0" w:line="160" w:lineRule="exact"/>
              <w:rPr>
                <w:sz w:val="20"/>
                <w:szCs w:val="20"/>
                <w:color w:val="auto"/>
              </w:rPr>
            </w:pPr>
            <w:r>
              <w:rPr>
                <w:rFonts w:ascii="Arial" w:cs="Arial" w:eastAsia="Arial" w:hAnsi="Arial"/>
                <w:sz w:val="18"/>
                <w:szCs w:val="18"/>
                <w:color w:val="303030"/>
              </w:rPr>
              <w:t>of January 28, 2022</w:t>
            </w:r>
          </w:p>
        </w:tc>
        <w:tc>
          <w:tcPr>
            <w:tcW w:w="2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60" w:type="dxa"/>
            <w:vAlign w:val="bottom"/>
            <w:tcBorders>
              <w:top w:val="single" w:sz="8" w:color="303030"/>
            </w:tcBorders>
            <w:shd w:val="clear" w:color="auto" w:fill="FEFEFE"/>
          </w:tcPr>
          <w:p>
            <w:pPr>
              <w:spacing w:after="0"/>
              <w:rPr>
                <w:sz w:val="13"/>
                <w:szCs w:val="13"/>
                <w:color w:val="auto"/>
              </w:rPr>
            </w:pPr>
          </w:p>
        </w:tc>
        <w:tc>
          <w:tcPr>
            <w:tcW w:w="110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0" w:type="dxa"/>
            <w:vAlign w:val="bottom"/>
            <w:tcBorders>
              <w:top w:val="single" w:sz="8" w:color="303030"/>
            </w:tcBorders>
            <w:shd w:val="clear" w:color="auto" w:fill="FEFEFE"/>
          </w:tcPr>
          <w:p>
            <w:pPr>
              <w:spacing w:after="0"/>
              <w:rPr>
                <w:sz w:val="13"/>
                <w:szCs w:val="13"/>
                <w:color w:val="auto"/>
              </w:rPr>
            </w:pPr>
          </w:p>
        </w:tc>
        <w:tc>
          <w:tcPr>
            <w:tcW w:w="2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760" w:type="dxa"/>
            <w:vAlign w:val="bottom"/>
            <w:tcBorders>
              <w:top w:val="single" w:sz="8" w:color="FEFEFE"/>
            </w:tcBorders>
            <w:shd w:val="clear" w:color="auto" w:fill="FEFEFE"/>
          </w:tcPr>
          <w:p>
            <w:pPr>
              <w:spacing w:after="0"/>
              <w:rPr>
                <w:sz w:val="5"/>
                <w:szCs w:val="5"/>
                <w:color w:val="auto"/>
              </w:rPr>
            </w:pPr>
          </w:p>
        </w:tc>
        <w:tc>
          <w:tcPr>
            <w:tcW w:w="440" w:type="dxa"/>
            <w:vAlign w:val="bottom"/>
            <w:tcBorders>
              <w:top w:val="single" w:sz="8" w:color="303030"/>
            </w:tcBorders>
            <w:shd w:val="clear" w:color="auto" w:fill="FEFEFE"/>
          </w:tcPr>
          <w:p>
            <w:pPr>
              <w:spacing w:after="0"/>
              <w:rPr>
                <w:sz w:val="5"/>
                <w:szCs w:val="5"/>
                <w:color w:val="auto"/>
              </w:rPr>
            </w:pPr>
          </w:p>
        </w:tc>
        <w:tc>
          <w:tcPr>
            <w:tcW w:w="60" w:type="dxa"/>
            <w:vAlign w:val="bottom"/>
            <w:tcBorders>
              <w:top w:val="single" w:sz="8" w:color="303030"/>
            </w:tcBorders>
            <w:shd w:val="clear" w:color="auto" w:fill="FEFEFE"/>
          </w:tcPr>
          <w:p>
            <w:pPr>
              <w:spacing w:after="0"/>
              <w:rPr>
                <w:sz w:val="5"/>
                <w:szCs w:val="5"/>
                <w:color w:val="auto"/>
              </w:rPr>
            </w:pPr>
          </w:p>
        </w:tc>
        <w:tc>
          <w:tcPr>
            <w:tcW w:w="180" w:type="dxa"/>
            <w:vAlign w:val="bottom"/>
            <w:tcBorders>
              <w:top w:val="single" w:sz="8" w:color="303030"/>
            </w:tcBorders>
            <w:shd w:val="clear" w:color="auto" w:fill="FEFEFE"/>
          </w:tcPr>
          <w:p>
            <w:pPr>
              <w:spacing w:after="0"/>
              <w:rPr>
                <w:sz w:val="5"/>
                <w:szCs w:val="5"/>
                <w:color w:val="auto"/>
              </w:rPr>
            </w:pPr>
          </w:p>
        </w:tc>
        <w:tc>
          <w:tcPr>
            <w:tcW w:w="40" w:type="dxa"/>
            <w:vAlign w:val="bottom"/>
            <w:tcBorders>
              <w:top w:val="single" w:sz="8" w:color="303030"/>
            </w:tcBorders>
            <w:shd w:val="clear" w:color="auto" w:fill="FEFEFE"/>
          </w:tcPr>
          <w:p>
            <w:pPr>
              <w:spacing w:after="0"/>
              <w:rPr>
                <w:sz w:val="5"/>
                <w:szCs w:val="5"/>
                <w:color w:val="auto"/>
              </w:rPr>
            </w:pPr>
          </w:p>
        </w:tc>
        <w:tc>
          <w:tcPr>
            <w:tcW w:w="460" w:type="dxa"/>
            <w:vAlign w:val="bottom"/>
            <w:tcBorders>
              <w:top w:val="single" w:sz="8" w:color="303030"/>
            </w:tcBorders>
            <w:shd w:val="clear" w:color="auto" w:fill="FEFEFE"/>
          </w:tcPr>
          <w:p>
            <w:pPr>
              <w:spacing w:after="0"/>
              <w:rPr>
                <w:sz w:val="5"/>
                <w:szCs w:val="5"/>
                <w:color w:val="auto"/>
              </w:rPr>
            </w:pPr>
          </w:p>
        </w:tc>
        <w:tc>
          <w:tcPr>
            <w:tcW w:w="340" w:type="dxa"/>
            <w:vAlign w:val="bottom"/>
            <w:tcBorders>
              <w:top w:val="single" w:sz="8" w:color="303030"/>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160" w:type="dxa"/>
            <w:vAlign w:val="bottom"/>
            <w:tcBorders>
              <w:top w:val="single" w:sz="8" w:color="FEFEFE"/>
            </w:tcBorders>
            <w:shd w:val="clear" w:color="auto" w:fill="FEFEFE"/>
          </w:tcPr>
          <w:p>
            <w:pPr>
              <w:spacing w:after="0"/>
              <w:rPr>
                <w:sz w:val="5"/>
                <w:szCs w:val="5"/>
                <w:color w:val="auto"/>
              </w:rPr>
            </w:pPr>
          </w:p>
        </w:tc>
        <w:tc>
          <w:tcPr>
            <w:tcW w:w="160" w:type="dxa"/>
            <w:vAlign w:val="bottom"/>
            <w:tcBorders>
              <w:top w:val="single" w:sz="8" w:color="FEFEFE"/>
            </w:tcBorders>
            <w:shd w:val="clear" w:color="auto" w:fill="FEFEFE"/>
          </w:tcPr>
          <w:p>
            <w:pPr>
              <w:spacing w:after="0"/>
              <w:rPr>
                <w:sz w:val="5"/>
                <w:szCs w:val="5"/>
                <w:color w:val="auto"/>
              </w:rPr>
            </w:pPr>
          </w:p>
        </w:tc>
        <w:tc>
          <w:tcPr>
            <w:tcW w:w="20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80" w:type="dxa"/>
            <w:vAlign w:val="bottom"/>
            <w:tcBorders>
              <w:top w:val="single" w:sz="8" w:color="FEFEFE"/>
            </w:tcBorders>
            <w:shd w:val="clear" w:color="auto" w:fill="FEFEFE"/>
          </w:tcPr>
          <w:p>
            <w:pPr>
              <w:spacing w:after="0"/>
              <w:rPr>
                <w:sz w:val="5"/>
                <w:szCs w:val="5"/>
                <w:color w:val="auto"/>
              </w:rPr>
            </w:pPr>
          </w:p>
        </w:tc>
        <w:tc>
          <w:tcPr>
            <w:tcW w:w="200" w:type="dxa"/>
            <w:vAlign w:val="bottom"/>
            <w:tcBorders>
              <w:top w:val="single" w:sz="8" w:color="FEFEFE"/>
            </w:tcBorders>
            <w:shd w:val="clear" w:color="auto" w:fill="FEFEFE"/>
          </w:tcPr>
          <w:p>
            <w:pPr>
              <w:spacing w:after="0"/>
              <w:rPr>
                <w:sz w:val="5"/>
                <w:szCs w:val="5"/>
                <w:color w:val="auto"/>
              </w:rPr>
            </w:pPr>
          </w:p>
        </w:tc>
        <w:tc>
          <w:tcPr>
            <w:tcW w:w="360" w:type="dxa"/>
            <w:vAlign w:val="bottom"/>
            <w:tcBorders>
              <w:top w:val="single" w:sz="8" w:color="FEFEFE"/>
            </w:tcBorders>
            <w:shd w:val="clear" w:color="auto" w:fill="FEFEFE"/>
          </w:tcPr>
          <w:p>
            <w:pPr>
              <w:spacing w:after="0"/>
              <w:rPr>
                <w:sz w:val="5"/>
                <w:szCs w:val="5"/>
                <w:color w:val="auto"/>
              </w:rPr>
            </w:pPr>
          </w:p>
        </w:tc>
        <w:tc>
          <w:tcPr>
            <w:tcW w:w="1100" w:type="dxa"/>
            <w:vAlign w:val="bottom"/>
            <w:tcBorders>
              <w:top w:val="single" w:sz="8" w:color="FEFEFE"/>
            </w:tcBorders>
            <w:shd w:val="clear" w:color="auto" w:fill="FEFEFE"/>
          </w:tcPr>
          <w:p>
            <w:pPr>
              <w:spacing w:after="0"/>
              <w:rPr>
                <w:sz w:val="5"/>
                <w:szCs w:val="5"/>
                <w:color w:val="auto"/>
              </w:rPr>
            </w:pPr>
          </w:p>
        </w:tc>
        <w:tc>
          <w:tcPr>
            <w:tcW w:w="30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400" w:type="dxa"/>
            <w:vAlign w:val="bottom"/>
            <w:tcBorders>
              <w:top w:val="single" w:sz="8" w:color="FEFEFE"/>
            </w:tcBorders>
            <w:shd w:val="clear" w:color="auto" w:fill="FEFEFE"/>
          </w:tcPr>
          <w:p>
            <w:pPr>
              <w:spacing w:after="0"/>
              <w:rPr>
                <w:sz w:val="5"/>
                <w:szCs w:val="5"/>
                <w:color w:val="auto"/>
              </w:rPr>
            </w:pPr>
          </w:p>
        </w:tc>
        <w:tc>
          <w:tcPr>
            <w:tcW w:w="260" w:type="dxa"/>
            <w:vAlign w:val="bottom"/>
            <w:tcBorders>
              <w:top w:val="single" w:sz="8" w:color="FEFEFE"/>
            </w:tcBorders>
            <w:shd w:val="clear" w:color="auto" w:fill="FEFEFE"/>
          </w:tcPr>
          <w:p>
            <w:pPr>
              <w:spacing w:after="0"/>
              <w:rPr>
                <w:sz w:val="5"/>
                <w:szCs w:val="5"/>
                <w:color w:val="auto"/>
              </w:rPr>
            </w:pPr>
          </w:p>
        </w:tc>
        <w:tc>
          <w:tcPr>
            <w:tcW w:w="200" w:type="dxa"/>
            <w:vAlign w:val="bottom"/>
            <w:tcBorders>
              <w:top w:val="single" w:sz="8" w:color="FEFEFE"/>
            </w:tcBorders>
            <w:shd w:val="clear" w:color="auto" w:fill="FEFEFE"/>
          </w:tcPr>
          <w:p>
            <w:pPr>
              <w:spacing w:after="0"/>
              <w:rPr>
                <w:sz w:val="5"/>
                <w:szCs w:val="5"/>
                <w:color w:val="auto"/>
              </w:rPr>
            </w:pPr>
          </w:p>
        </w:tc>
        <w:tc>
          <w:tcPr>
            <w:tcW w:w="340" w:type="dxa"/>
            <w:vAlign w:val="bottom"/>
            <w:tcBorders>
              <w:top w:val="single" w:sz="8" w:color="FEFEFE"/>
            </w:tcBorders>
            <w:shd w:val="clear" w:color="auto" w:fill="FEFEFE"/>
          </w:tcPr>
          <w:p>
            <w:pPr>
              <w:spacing w:after="0"/>
              <w:rPr>
                <w:sz w:val="5"/>
                <w:szCs w:val="5"/>
                <w:color w:val="auto"/>
              </w:rPr>
            </w:pPr>
          </w:p>
        </w:tc>
        <w:tc>
          <w:tcPr>
            <w:tcW w:w="120" w:type="dxa"/>
            <w:vAlign w:val="bottom"/>
            <w:tcBorders>
              <w:top w:val="single" w:sz="8" w:color="FEFEFE"/>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8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40" w:type="dxa"/>
            <w:vAlign w:val="bottom"/>
            <w:tcBorders>
              <w:top w:val="single" w:sz="8" w:color="FEFEFE"/>
            </w:tcBorders>
            <w:shd w:val="clear" w:color="auto" w:fill="FEFEFE"/>
          </w:tcPr>
          <w:p>
            <w:pPr>
              <w:spacing w:after="0"/>
              <w:rPr>
                <w:sz w:val="5"/>
                <w:szCs w:val="5"/>
                <w:color w:val="auto"/>
              </w:rPr>
            </w:pPr>
          </w:p>
        </w:tc>
        <w:tc>
          <w:tcPr>
            <w:tcW w:w="10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6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20" w:type="dxa"/>
            <w:vAlign w:val="bottom"/>
            <w:tcBorders>
              <w:top w:val="single" w:sz="8" w:color="FEFEFE"/>
            </w:tcBorders>
            <w:shd w:val="clear" w:color="auto" w:fill="FEFEFE"/>
          </w:tcPr>
          <w:p>
            <w:pPr>
              <w:spacing w:after="0"/>
              <w:rPr>
                <w:sz w:val="5"/>
                <w:szCs w:val="5"/>
                <w:color w:val="auto"/>
              </w:rPr>
            </w:pPr>
          </w:p>
        </w:tc>
        <w:tc>
          <w:tcPr>
            <w:tcW w:w="760" w:type="dxa"/>
            <w:vAlign w:val="bottom"/>
            <w:tcBorders>
              <w:top w:val="single" w:sz="8" w:color="FEFEFE"/>
            </w:tcBorders>
            <w:shd w:val="clear" w:color="auto" w:fill="FEFEFE"/>
          </w:tcPr>
          <w:p>
            <w:pPr>
              <w:spacing w:after="0"/>
              <w:rPr>
                <w:sz w:val="5"/>
                <w:szCs w:val="5"/>
                <w:color w:val="auto"/>
              </w:rPr>
            </w:pPr>
          </w:p>
        </w:tc>
        <w:tc>
          <w:tcPr>
            <w:tcW w:w="740" w:type="dxa"/>
            <w:vAlign w:val="bottom"/>
            <w:tcBorders>
              <w:top w:val="single" w:sz="8" w:color="FEFEFE"/>
            </w:tcBorders>
            <w:shd w:val="clear" w:color="auto" w:fill="FEFEFE"/>
          </w:tcPr>
          <w:p>
            <w:pPr>
              <w:spacing w:after="0"/>
              <w:rPr>
                <w:sz w:val="5"/>
                <w:szCs w:val="5"/>
                <w:color w:val="auto"/>
              </w:rPr>
            </w:pPr>
          </w:p>
        </w:tc>
        <w:tc>
          <w:tcPr>
            <w:tcW w:w="980" w:type="dxa"/>
            <w:vAlign w:val="bottom"/>
            <w:tcBorders>
              <w:top w:val="single" w:sz="8" w:color="FEFEFE"/>
            </w:tcBorders>
            <w:shd w:val="clear" w:color="auto" w:fill="FEFEF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60" w:type="dxa"/>
            <w:vAlign w:val="bottom"/>
            <w:tcBorders>
              <w:bottom w:val="single" w:sz="8" w:color="E4E4E4"/>
            </w:tcBorders>
            <w:shd w:val="clear" w:color="auto" w:fill="E4E4E4"/>
          </w:tcPr>
          <w:p>
            <w:pPr>
              <w:jc w:val="right"/>
              <w:ind w:right="189"/>
              <w:spacing w:after="0"/>
              <w:rPr>
                <w:sz w:val="20"/>
                <w:szCs w:val="20"/>
                <w:color w:val="auto"/>
              </w:rPr>
            </w:pPr>
            <w:r>
              <w:rPr>
                <w:rFonts w:ascii="Arial" w:cs="Arial" w:eastAsia="Arial" w:hAnsi="Arial"/>
                <w:sz w:val="18"/>
                <w:szCs w:val="18"/>
                <w:color w:val="auto"/>
              </w:rPr>
              <w:t>10.0</w:t>
            </w:r>
          </w:p>
        </w:tc>
        <w:tc>
          <w:tcPr>
            <w:tcW w:w="4560" w:type="dxa"/>
            <w:vAlign w:val="bottom"/>
            <w:tcBorders>
              <w:bottom w:val="single" w:sz="8" w:color="303030"/>
            </w:tcBorders>
            <w:gridSpan w:val="20"/>
            <w:shd w:val="clear" w:color="auto" w:fill="E4E4E4"/>
          </w:tcPr>
          <w:p>
            <w:pPr>
              <w:spacing w:after="0"/>
              <w:rPr>
                <w:sz w:val="20"/>
                <w:szCs w:val="20"/>
                <w:color w:val="auto"/>
              </w:rPr>
            </w:pPr>
            <w:r>
              <w:rPr>
                <w:rFonts w:ascii="Arial" w:cs="Arial" w:eastAsia="Arial" w:hAnsi="Arial"/>
                <w:sz w:val="18"/>
                <w:szCs w:val="18"/>
                <w:color w:val="303030"/>
                <w:w w:val="92"/>
              </w:rPr>
              <w:t>The Letter Agreement dated January 31, 2025 between Ernie</w:t>
            </w:r>
          </w:p>
        </w:tc>
        <w:tc>
          <w:tcPr>
            <w:tcW w:w="1200" w:type="dxa"/>
            <w:vAlign w:val="bottom"/>
            <w:tcBorders>
              <w:bottom w:val="single" w:sz="8" w:color="303030"/>
            </w:tcBorders>
            <w:gridSpan w:val="4"/>
            <w:shd w:val="clear" w:color="auto" w:fill="E4E4E4"/>
          </w:tcPr>
          <w:p>
            <w:pPr>
              <w:ind w:left="20"/>
              <w:spacing w:after="0"/>
              <w:rPr>
                <w:sz w:val="20"/>
                <w:szCs w:val="20"/>
                <w:color w:val="auto"/>
              </w:rPr>
            </w:pPr>
            <w:r>
              <w:rPr>
                <w:rFonts w:ascii="Arial" w:cs="Arial" w:eastAsia="Arial" w:hAnsi="Arial"/>
                <w:sz w:val="18"/>
                <w:szCs w:val="18"/>
                <w:color w:val="303030"/>
                <w:w w:val="89"/>
              </w:rPr>
              <w:t>errman and TJX</w:t>
            </w:r>
          </w:p>
        </w:tc>
        <w:tc>
          <w:tcPr>
            <w:tcW w:w="120" w:type="dxa"/>
            <w:vAlign w:val="bottom"/>
            <w:tcBorders>
              <w:bottom w:val="single" w:sz="8" w:color="303030"/>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8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right"/>
              <w:ind w:right="150"/>
              <w:spacing w:after="0"/>
              <w:rPr>
                <w:sz w:val="20"/>
                <w:szCs w:val="20"/>
                <w:color w:val="auto"/>
              </w:rPr>
            </w:pPr>
            <w:r>
              <w:rPr>
                <w:rFonts w:ascii="Arial" w:cs="Arial" w:eastAsia="Arial" w:hAnsi="Arial"/>
                <w:sz w:val="18"/>
                <w:szCs w:val="18"/>
                <w:color w:val="auto"/>
              </w:rPr>
              <w:t>10.0</w:t>
            </w:r>
          </w:p>
        </w:tc>
        <w:tc>
          <w:tcPr>
            <w:tcW w:w="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4 2 2025</w:t>
            </w:r>
          </w:p>
        </w:tc>
        <w:tc>
          <w:tcPr>
            <w:tcW w:w="0" w:type="dxa"/>
            <w:vAlign w:val="bottom"/>
          </w:tcPr>
          <w:p>
            <w:pPr>
              <w:spacing w:after="0"/>
              <w:rPr>
                <w:sz w:val="1"/>
                <w:szCs w:val="1"/>
                <w:color w:val="auto"/>
              </w:rPr>
            </w:pPr>
          </w:p>
        </w:tc>
      </w:tr>
      <w:tr>
        <w:trPr>
          <w:trHeight w:val="265"/>
        </w:trPr>
        <w:tc>
          <w:tcPr>
            <w:tcW w:w="760" w:type="dxa"/>
            <w:vAlign w:val="bottom"/>
            <w:tcBorders>
              <w:top w:val="single" w:sz="8" w:color="E4E4E4"/>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3"/>
              </w:rPr>
              <w:t>10.10</w:t>
            </w:r>
          </w:p>
        </w:tc>
        <w:tc>
          <w:tcPr>
            <w:tcW w:w="4560" w:type="dxa"/>
            <w:vAlign w:val="bottom"/>
            <w:tcBorders>
              <w:top w:val="single" w:sz="8" w:color="E4E4E4"/>
              <w:bottom w:val="single" w:sz="8" w:color="303030"/>
            </w:tcBorders>
            <w:gridSpan w:val="20"/>
            <w:shd w:val="clear" w:color="auto" w:fill="FEFEFE"/>
          </w:tcPr>
          <w:p>
            <w:pPr>
              <w:spacing w:after="0"/>
              <w:rPr>
                <w:sz w:val="20"/>
                <w:szCs w:val="20"/>
                <w:color w:val="auto"/>
              </w:rPr>
            </w:pPr>
            <w:r>
              <w:rPr>
                <w:rFonts w:ascii="Arial" w:cs="Arial" w:eastAsia="Arial" w:hAnsi="Arial"/>
                <w:sz w:val="18"/>
                <w:szCs w:val="18"/>
                <w:color w:val="303030"/>
                <w:w w:val="91"/>
              </w:rPr>
              <w:t>The Employment Agreement dated February 2, 2018 between</w:t>
            </w:r>
          </w:p>
        </w:tc>
        <w:tc>
          <w:tcPr>
            <w:tcW w:w="2080" w:type="dxa"/>
            <w:vAlign w:val="bottom"/>
            <w:tcBorders>
              <w:top w:val="single" w:sz="8" w:color="E4E4E4"/>
              <w:bottom w:val="single" w:sz="8" w:color="303030"/>
            </w:tcBorders>
            <w:gridSpan w:val="19"/>
            <w:shd w:val="clear" w:color="auto" w:fill="FEFEFE"/>
          </w:tcPr>
          <w:p>
            <w:pPr>
              <w:jc w:val="center"/>
              <w:spacing w:after="0"/>
              <w:rPr>
                <w:sz w:val="20"/>
                <w:szCs w:val="20"/>
                <w:color w:val="auto"/>
              </w:rPr>
            </w:pPr>
            <w:r>
              <w:rPr>
                <w:rFonts w:ascii="Arial" w:cs="Arial" w:eastAsia="Arial" w:hAnsi="Arial"/>
                <w:sz w:val="18"/>
                <w:szCs w:val="18"/>
                <w:color w:val="303030"/>
                <w:w w:val="89"/>
              </w:rPr>
              <w:t>enneth Canestrari and TJX</w:t>
            </w:r>
          </w:p>
        </w:tc>
        <w:tc>
          <w:tcPr>
            <w:tcW w:w="160" w:type="dxa"/>
            <w:vAlign w:val="bottom"/>
            <w:tcBorders>
              <w:top w:val="single" w:sz="8" w:color="E4E4E4"/>
              <w:bottom w:val="single" w:sz="8" w:color="FEFEFE"/>
            </w:tcBorders>
            <w:gridSpan w:val="6"/>
            <w:shd w:val="clear" w:color="auto" w:fill="FEFEFE"/>
          </w:tcPr>
          <w:p>
            <w:pPr>
              <w:spacing w:after="0"/>
              <w:rPr>
                <w:sz w:val="23"/>
                <w:szCs w:val="23"/>
                <w:color w:val="auto"/>
              </w:rPr>
            </w:pPr>
          </w:p>
        </w:tc>
        <w:tc>
          <w:tcPr>
            <w:tcW w:w="800" w:type="dxa"/>
            <w:vAlign w:val="bottom"/>
            <w:tcBorders>
              <w:top w:val="single" w:sz="8" w:color="E4E4E4"/>
              <w:bottom w:val="single" w:sz="8" w:color="FEFEFE"/>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E4E4E4"/>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10.6</w:t>
            </w:r>
          </w:p>
        </w:tc>
        <w:tc>
          <w:tcPr>
            <w:tcW w:w="980" w:type="dxa"/>
            <w:vAlign w:val="bottom"/>
            <w:tcBorders>
              <w:top w:val="single" w:sz="8" w:color="E4E4E4"/>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4 4 2018</w:t>
            </w: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3"/>
              </w:rPr>
              <w:t>10.11</w:t>
            </w:r>
          </w:p>
        </w:tc>
        <w:tc>
          <w:tcPr>
            <w:tcW w:w="6800" w:type="dxa"/>
            <w:vAlign w:val="bottom"/>
            <w:gridSpan w:val="45"/>
            <w:shd w:val="clear" w:color="auto" w:fill="E4E4E4"/>
          </w:tcPr>
          <w:p>
            <w:pPr>
              <w:spacing w:after="0"/>
              <w:rPr>
                <w:sz w:val="20"/>
                <w:szCs w:val="20"/>
                <w:color w:val="auto"/>
              </w:rPr>
            </w:pPr>
            <w:r>
              <w:rPr>
                <w:rFonts w:ascii="Arial" w:cs="Arial" w:eastAsia="Arial" w:hAnsi="Arial"/>
                <w:sz w:val="18"/>
                <w:szCs w:val="18"/>
                <w:color w:val="303030"/>
                <w:w w:val="92"/>
              </w:rPr>
              <w:t>The Executive Severance Plan Participation Agreement dated September 27, 2018 between</w:t>
            </w:r>
          </w:p>
        </w:tc>
        <w:tc>
          <w:tcPr>
            <w:tcW w:w="800" w:type="dxa"/>
            <w:vAlign w:val="bottom"/>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10.7</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9"/>
              </w:rPr>
              <w:t>12 4 2018</w:t>
            </w:r>
          </w:p>
        </w:tc>
        <w:tc>
          <w:tcPr>
            <w:tcW w:w="0" w:type="dxa"/>
            <w:vAlign w:val="bottom"/>
          </w:tcPr>
          <w:p>
            <w:pPr>
              <w:spacing w:after="0"/>
              <w:rPr>
                <w:sz w:val="1"/>
                <w:szCs w:val="1"/>
                <w:color w:val="auto"/>
              </w:rPr>
            </w:pPr>
          </w:p>
        </w:tc>
      </w:tr>
      <w:tr>
        <w:trPr>
          <w:trHeight w:val="215"/>
        </w:trPr>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2140" w:type="dxa"/>
            <w:vAlign w:val="bottom"/>
            <w:tcBorders>
              <w:top w:val="single" w:sz="8" w:color="303030"/>
              <w:bottom w:val="single" w:sz="8" w:color="303030"/>
            </w:tcBorders>
            <w:gridSpan w:val="11"/>
            <w:shd w:val="clear" w:color="auto" w:fill="E4E4E4"/>
          </w:tcPr>
          <w:p>
            <w:pPr>
              <w:ind w:left="140"/>
              <w:spacing w:after="0" w:line="160" w:lineRule="exact"/>
              <w:rPr>
                <w:sz w:val="20"/>
                <w:szCs w:val="20"/>
                <w:color w:val="auto"/>
              </w:rPr>
            </w:pPr>
            <w:r>
              <w:rPr>
                <w:rFonts w:ascii="Arial" w:cs="Arial" w:eastAsia="Arial" w:hAnsi="Arial"/>
                <w:sz w:val="18"/>
                <w:szCs w:val="18"/>
                <w:color w:val="303030"/>
                <w:w w:val="92"/>
              </w:rPr>
              <w:t>enneth Canestrari and TJX</w:t>
            </w: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360" w:type="dxa"/>
            <w:vAlign w:val="bottom"/>
            <w:tcBorders>
              <w:top w:val="single" w:sz="8" w:color="303030"/>
              <w:bottom w:val="single" w:sz="8" w:color="E4E4E4"/>
            </w:tcBorders>
            <w:shd w:val="clear" w:color="auto" w:fill="E4E4E4"/>
          </w:tcPr>
          <w:p>
            <w:pPr>
              <w:spacing w:after="0"/>
              <w:rPr>
                <w:sz w:val="18"/>
                <w:szCs w:val="18"/>
                <w:color w:val="auto"/>
              </w:rPr>
            </w:pPr>
          </w:p>
        </w:tc>
        <w:tc>
          <w:tcPr>
            <w:tcW w:w="1100" w:type="dxa"/>
            <w:vAlign w:val="bottom"/>
            <w:tcBorders>
              <w:top w:val="single" w:sz="8" w:color="303030"/>
              <w:bottom w:val="single" w:sz="8" w:color="E4E4E4"/>
            </w:tcBorders>
            <w:shd w:val="clear" w:color="auto" w:fill="E4E4E4"/>
          </w:tcPr>
          <w:p>
            <w:pPr>
              <w:spacing w:after="0"/>
              <w:rPr>
                <w:sz w:val="18"/>
                <w:szCs w:val="18"/>
                <w:color w:val="auto"/>
              </w:rPr>
            </w:pPr>
          </w:p>
        </w:tc>
        <w:tc>
          <w:tcPr>
            <w:tcW w:w="3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0" w:type="dxa"/>
            <w:vAlign w:val="bottom"/>
            <w:tcBorders>
              <w:top w:val="single" w:sz="8" w:color="303030"/>
              <w:bottom w:val="single" w:sz="8" w:color="E4E4E4"/>
            </w:tcBorders>
            <w:shd w:val="clear" w:color="auto" w:fill="E4E4E4"/>
          </w:tcPr>
          <w:p>
            <w:pPr>
              <w:spacing w:after="0"/>
              <w:rPr>
                <w:sz w:val="18"/>
                <w:szCs w:val="18"/>
                <w:color w:val="auto"/>
              </w:rPr>
            </w:pPr>
          </w:p>
        </w:tc>
        <w:tc>
          <w:tcPr>
            <w:tcW w:w="26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34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740" w:type="dxa"/>
            <w:vAlign w:val="bottom"/>
            <w:tcBorders>
              <w:top w:val="single" w:sz="8" w:color="E4E4E4"/>
              <w:bottom w:val="single" w:sz="8" w:color="E4E4E4"/>
            </w:tcBorders>
            <w:shd w:val="clear" w:color="auto" w:fill="E4E4E4"/>
          </w:tcPr>
          <w:p>
            <w:pPr>
              <w:spacing w:after="0"/>
              <w:rPr>
                <w:sz w:val="18"/>
                <w:szCs w:val="18"/>
                <w:color w:val="auto"/>
              </w:rPr>
            </w:pPr>
          </w:p>
        </w:tc>
        <w:tc>
          <w:tcPr>
            <w:tcW w:w="980" w:type="dxa"/>
            <w:vAlign w:val="bottom"/>
            <w:tcBorders>
              <w:top w:val="single" w:sz="8" w:color="E4E4E4"/>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93"/>
              </w:rPr>
              <w:t>10.12</w:t>
            </w:r>
          </w:p>
        </w:tc>
        <w:tc>
          <w:tcPr>
            <w:tcW w:w="4140" w:type="dxa"/>
            <w:vAlign w:val="bottom"/>
            <w:tcBorders>
              <w:top w:val="single" w:sz="8" w:color="E4E4E4"/>
            </w:tcBorders>
            <w:gridSpan w:val="17"/>
            <w:shd w:val="clear" w:color="auto" w:fill="FEFEFE"/>
          </w:tcPr>
          <w:p>
            <w:pPr>
              <w:spacing w:after="0"/>
              <w:rPr>
                <w:sz w:val="20"/>
                <w:szCs w:val="20"/>
                <w:color w:val="auto"/>
              </w:rPr>
            </w:pPr>
            <w:r>
              <w:rPr>
                <w:rFonts w:ascii="Arial" w:cs="Arial" w:eastAsia="Arial" w:hAnsi="Arial"/>
                <w:sz w:val="18"/>
                <w:szCs w:val="18"/>
                <w:color w:val="303030"/>
                <w:w w:val="90"/>
              </w:rPr>
              <w:t>The Amendment to the Employment Agreement between</w:t>
            </w:r>
          </w:p>
        </w:tc>
        <w:tc>
          <w:tcPr>
            <w:tcW w:w="2280" w:type="dxa"/>
            <w:vAlign w:val="bottom"/>
            <w:tcBorders>
              <w:top w:val="single" w:sz="8" w:color="E4E4E4"/>
            </w:tcBorders>
            <w:gridSpan w:val="18"/>
            <w:shd w:val="clear" w:color="auto" w:fill="FEFEFE"/>
          </w:tcPr>
          <w:p>
            <w:pPr>
              <w:jc w:val="center"/>
              <w:ind w:right="20"/>
              <w:spacing w:after="0"/>
              <w:rPr>
                <w:sz w:val="20"/>
                <w:szCs w:val="20"/>
                <w:color w:val="auto"/>
              </w:rPr>
            </w:pPr>
            <w:r>
              <w:rPr>
                <w:rFonts w:ascii="Arial" w:cs="Arial" w:eastAsia="Arial" w:hAnsi="Arial"/>
                <w:sz w:val="18"/>
                <w:szCs w:val="18"/>
                <w:color w:val="303030"/>
                <w:w w:val="90"/>
              </w:rPr>
              <w:t>enneth Canestrari and TJX</w:t>
            </w:r>
          </w:p>
        </w:tc>
        <w:tc>
          <w:tcPr>
            <w:tcW w:w="60" w:type="dxa"/>
            <w:vAlign w:val="bottom"/>
            <w:tcBorders>
              <w:top w:val="single" w:sz="8" w:color="E4E4E4"/>
            </w:tcBorders>
            <w:shd w:val="clear" w:color="auto" w:fill="FEFEFE"/>
          </w:tcPr>
          <w:p>
            <w:pPr>
              <w:spacing w:after="0"/>
              <w:rPr>
                <w:sz w:val="18"/>
                <w:szCs w:val="18"/>
                <w:color w:val="auto"/>
              </w:rPr>
            </w:pPr>
          </w:p>
        </w:tc>
        <w:tc>
          <w:tcPr>
            <w:tcW w:w="40" w:type="dxa"/>
            <w:vAlign w:val="bottom"/>
            <w:tcBorders>
              <w:top w:val="single" w:sz="8" w:color="E4E4E4"/>
            </w:tcBorders>
            <w:shd w:val="clear" w:color="auto" w:fill="FEFEFE"/>
          </w:tcPr>
          <w:p>
            <w:pPr>
              <w:spacing w:after="0"/>
              <w:rPr>
                <w:sz w:val="18"/>
                <w:szCs w:val="18"/>
                <w:color w:val="auto"/>
              </w:rPr>
            </w:pPr>
          </w:p>
        </w:tc>
        <w:tc>
          <w:tcPr>
            <w:tcW w:w="10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6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800" w:type="dxa"/>
            <w:vAlign w:val="bottom"/>
            <w:tcBorders>
              <w:top w:val="single" w:sz="8" w:color="E4E4E4"/>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88"/>
              </w:rPr>
              <w:t>10.16</w:t>
            </w:r>
          </w:p>
        </w:tc>
        <w:tc>
          <w:tcPr>
            <w:tcW w:w="980" w:type="dxa"/>
            <w:vAlign w:val="bottom"/>
            <w:tcBorders>
              <w:top w:val="single" w:sz="8" w:color="E4E4E4"/>
            </w:tcBorders>
            <w:shd w:val="clear" w:color="auto" w:fill="FEFEFE"/>
          </w:tcPr>
          <w:p>
            <w:pPr>
              <w:jc w:val="right"/>
              <w:ind w:right="170"/>
              <w:spacing w:after="0"/>
              <w:rPr>
                <w:sz w:val="20"/>
                <w:szCs w:val="20"/>
                <w:color w:val="auto"/>
              </w:rPr>
            </w:pPr>
            <w:r>
              <w:rPr>
                <w:rFonts w:ascii="Arial" w:cs="Arial" w:eastAsia="Arial" w:hAnsi="Arial"/>
                <w:sz w:val="18"/>
                <w:szCs w:val="18"/>
                <w:color w:val="auto"/>
              </w:rPr>
              <w:t>4 3 201</w:t>
            </w: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2480" w:type="dxa"/>
            <w:vAlign w:val="bottom"/>
            <w:tcBorders>
              <w:top w:val="single" w:sz="8" w:color="303030"/>
              <w:bottom w:val="single" w:sz="8" w:color="303030"/>
            </w:tcBorders>
            <w:gridSpan w:val="14"/>
            <w:shd w:val="clear" w:color="auto" w:fill="FEFEFE"/>
          </w:tcPr>
          <w:p>
            <w:pPr>
              <w:spacing w:after="0" w:line="160" w:lineRule="exact"/>
              <w:rPr>
                <w:sz w:val="20"/>
                <w:szCs w:val="20"/>
                <w:color w:val="auto"/>
              </w:rPr>
            </w:pPr>
            <w:r>
              <w:rPr>
                <w:rFonts w:ascii="Arial" w:cs="Arial" w:eastAsia="Arial" w:hAnsi="Arial"/>
                <w:sz w:val="18"/>
                <w:szCs w:val="18"/>
                <w:color w:val="303030"/>
                <w:w w:val="97"/>
              </w:rPr>
              <w:t>effective as of February 13, 201</w:t>
            </w:r>
          </w:p>
        </w:tc>
        <w:tc>
          <w:tcPr>
            <w:tcW w:w="1660" w:type="dxa"/>
            <w:vAlign w:val="bottom"/>
            <w:tcBorders>
              <w:top w:val="single" w:sz="8" w:color="303030"/>
              <w:bottom w:val="single" w:sz="8" w:color="FEFEFE"/>
            </w:tcBorders>
            <w:gridSpan w:val="3"/>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10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10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740" w:type="dxa"/>
            <w:vAlign w:val="bottom"/>
            <w:tcBorders>
              <w:top w:val="single" w:sz="8" w:color="FEFEFE"/>
              <w:bottom w:val="single" w:sz="8" w:color="FEFEFE"/>
            </w:tcBorders>
            <w:shd w:val="clear" w:color="auto" w:fill="FEFEFE"/>
          </w:tcPr>
          <w:p>
            <w:pPr>
              <w:spacing w:after="0"/>
              <w:rPr>
                <w:sz w:val="18"/>
                <w:szCs w:val="18"/>
                <w:color w:val="auto"/>
              </w:rPr>
            </w:pPr>
          </w:p>
        </w:tc>
        <w:tc>
          <w:tcPr>
            <w:tcW w:w="98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3"/>
              </w:rPr>
              <w:t>10.13</w:t>
            </w:r>
          </w:p>
        </w:tc>
        <w:tc>
          <w:tcPr>
            <w:tcW w:w="4140" w:type="dxa"/>
            <w:vAlign w:val="bottom"/>
            <w:gridSpan w:val="17"/>
            <w:shd w:val="clear" w:color="auto" w:fill="E4E4E4"/>
          </w:tcPr>
          <w:p>
            <w:pPr>
              <w:spacing w:after="0"/>
              <w:rPr>
                <w:sz w:val="20"/>
                <w:szCs w:val="20"/>
                <w:color w:val="auto"/>
              </w:rPr>
            </w:pPr>
            <w:r>
              <w:rPr>
                <w:rFonts w:ascii="Arial" w:cs="Arial" w:eastAsia="Arial" w:hAnsi="Arial"/>
                <w:sz w:val="18"/>
                <w:szCs w:val="18"/>
                <w:color w:val="303030"/>
                <w:w w:val="90"/>
              </w:rPr>
              <w:t>The Amendment to the Employment Agreement between</w:t>
            </w:r>
          </w:p>
        </w:tc>
        <w:tc>
          <w:tcPr>
            <w:tcW w:w="2280" w:type="dxa"/>
            <w:vAlign w:val="bottom"/>
            <w:gridSpan w:val="18"/>
            <w:shd w:val="clear" w:color="auto" w:fill="E4E4E4"/>
          </w:tcPr>
          <w:p>
            <w:pPr>
              <w:jc w:val="center"/>
              <w:ind w:right="20"/>
              <w:spacing w:after="0"/>
              <w:rPr>
                <w:sz w:val="20"/>
                <w:szCs w:val="20"/>
                <w:color w:val="auto"/>
              </w:rPr>
            </w:pPr>
            <w:r>
              <w:rPr>
                <w:rFonts w:ascii="Arial" w:cs="Arial" w:eastAsia="Arial" w:hAnsi="Arial"/>
                <w:sz w:val="18"/>
                <w:szCs w:val="18"/>
                <w:color w:val="303030"/>
                <w:w w:val="90"/>
              </w:rPr>
              <w:t>enneth Canestrari and TJX</w:t>
            </w:r>
          </w:p>
        </w:tc>
        <w:tc>
          <w:tcPr>
            <w:tcW w:w="6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0" w:type="dxa"/>
            <w:vAlign w:val="bottom"/>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8"/>
              </w:rPr>
              <w:t>10.17</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9"/>
              </w:rPr>
              <w:t>3 31 2021</w:t>
            </w:r>
          </w:p>
        </w:tc>
        <w:tc>
          <w:tcPr>
            <w:tcW w:w="0" w:type="dxa"/>
            <w:vAlign w:val="bottom"/>
          </w:tcPr>
          <w:p>
            <w:pPr>
              <w:spacing w:after="0"/>
              <w:rPr>
                <w:sz w:val="1"/>
                <w:szCs w:val="1"/>
                <w:color w:val="auto"/>
              </w:rPr>
            </w:pPr>
          </w:p>
        </w:tc>
      </w:tr>
      <w:tr>
        <w:trPr>
          <w:trHeight w:val="210"/>
        </w:trPr>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2400" w:type="dxa"/>
            <w:vAlign w:val="bottom"/>
            <w:tcBorders>
              <w:top w:val="single" w:sz="8" w:color="303030"/>
              <w:bottom w:val="single" w:sz="8" w:color="303030"/>
            </w:tcBorders>
            <w:gridSpan w:val="13"/>
            <w:shd w:val="clear" w:color="auto" w:fill="E4E4E4"/>
          </w:tcPr>
          <w:p>
            <w:pPr>
              <w:spacing w:after="0" w:line="160" w:lineRule="exact"/>
              <w:rPr>
                <w:sz w:val="20"/>
                <w:szCs w:val="20"/>
                <w:color w:val="auto"/>
              </w:rPr>
            </w:pPr>
            <w:r>
              <w:rPr>
                <w:rFonts w:ascii="Arial" w:cs="Arial" w:eastAsia="Arial" w:hAnsi="Arial"/>
                <w:sz w:val="18"/>
                <w:szCs w:val="18"/>
                <w:color w:val="303030"/>
                <w:w w:val="95"/>
              </w:rPr>
              <w:t>effective as of January 2 , 2021</w:t>
            </w:r>
          </w:p>
        </w:tc>
        <w:tc>
          <w:tcPr>
            <w:tcW w:w="1740" w:type="dxa"/>
            <w:vAlign w:val="bottom"/>
            <w:tcBorders>
              <w:top w:val="single" w:sz="8" w:color="303030"/>
              <w:bottom w:val="single" w:sz="8" w:color="E4E4E4"/>
            </w:tcBorders>
            <w:gridSpan w:val="4"/>
            <w:shd w:val="clear" w:color="auto" w:fill="E4E4E4"/>
          </w:tcPr>
          <w:p>
            <w:pPr>
              <w:spacing w:after="0"/>
              <w:rPr>
                <w:sz w:val="18"/>
                <w:szCs w:val="18"/>
                <w:color w:val="auto"/>
              </w:rPr>
            </w:pPr>
          </w:p>
        </w:tc>
        <w:tc>
          <w:tcPr>
            <w:tcW w:w="3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0" w:type="dxa"/>
            <w:vAlign w:val="bottom"/>
            <w:tcBorders>
              <w:top w:val="single" w:sz="8" w:color="303030"/>
              <w:bottom w:val="single" w:sz="8" w:color="E4E4E4"/>
            </w:tcBorders>
            <w:shd w:val="clear" w:color="auto" w:fill="E4E4E4"/>
          </w:tcPr>
          <w:p>
            <w:pPr>
              <w:spacing w:after="0"/>
              <w:rPr>
                <w:sz w:val="18"/>
                <w:szCs w:val="18"/>
                <w:color w:val="auto"/>
              </w:rPr>
            </w:pPr>
          </w:p>
        </w:tc>
        <w:tc>
          <w:tcPr>
            <w:tcW w:w="26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34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100" w:type="dxa"/>
            <w:vAlign w:val="bottom"/>
            <w:tcBorders>
              <w:top w:val="single" w:sz="8" w:color="E4E4E4"/>
              <w:bottom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40" w:type="dxa"/>
            <w:vAlign w:val="bottom"/>
            <w:tcBorders>
              <w:top w:val="single" w:sz="8" w:color="E4E4E4"/>
              <w:bottom w:val="single" w:sz="8" w:color="E4E4E4"/>
            </w:tcBorders>
            <w:shd w:val="clear" w:color="auto" w:fill="E4E4E4"/>
          </w:tcPr>
          <w:p>
            <w:pPr>
              <w:spacing w:after="0"/>
              <w:rPr>
                <w:sz w:val="18"/>
                <w:szCs w:val="18"/>
                <w:color w:val="auto"/>
              </w:rPr>
            </w:pPr>
          </w:p>
        </w:tc>
        <w:tc>
          <w:tcPr>
            <w:tcW w:w="10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740" w:type="dxa"/>
            <w:vAlign w:val="bottom"/>
            <w:tcBorders>
              <w:top w:val="single" w:sz="8" w:color="E4E4E4"/>
              <w:bottom w:val="single" w:sz="8" w:color="E4E4E4"/>
            </w:tcBorders>
            <w:shd w:val="clear" w:color="auto" w:fill="E4E4E4"/>
          </w:tcPr>
          <w:p>
            <w:pPr>
              <w:spacing w:after="0"/>
              <w:rPr>
                <w:sz w:val="18"/>
                <w:szCs w:val="18"/>
                <w:color w:val="auto"/>
              </w:rPr>
            </w:pPr>
          </w:p>
        </w:tc>
        <w:tc>
          <w:tcPr>
            <w:tcW w:w="980" w:type="dxa"/>
            <w:vAlign w:val="bottom"/>
            <w:tcBorders>
              <w:top w:val="single" w:sz="8" w:color="E4E4E4"/>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10.14</w:t>
            </w:r>
          </w:p>
        </w:tc>
        <w:tc>
          <w:tcPr>
            <w:tcW w:w="4140" w:type="dxa"/>
            <w:vAlign w:val="bottom"/>
            <w:gridSpan w:val="17"/>
            <w:shd w:val="clear" w:color="auto" w:fill="FEFEFE"/>
          </w:tcPr>
          <w:p>
            <w:pPr>
              <w:spacing w:after="0"/>
              <w:rPr>
                <w:sz w:val="20"/>
                <w:szCs w:val="20"/>
                <w:color w:val="auto"/>
              </w:rPr>
            </w:pPr>
            <w:r>
              <w:rPr>
                <w:rFonts w:ascii="Arial" w:cs="Arial" w:eastAsia="Arial" w:hAnsi="Arial"/>
                <w:sz w:val="18"/>
                <w:szCs w:val="18"/>
                <w:color w:val="303030"/>
                <w:w w:val="90"/>
              </w:rPr>
              <w:t>The Amendment to the Employment Agreement between</w:t>
            </w:r>
          </w:p>
        </w:tc>
        <w:tc>
          <w:tcPr>
            <w:tcW w:w="2280" w:type="dxa"/>
            <w:vAlign w:val="bottom"/>
            <w:gridSpan w:val="18"/>
            <w:shd w:val="clear" w:color="auto" w:fill="FEFEFE"/>
          </w:tcPr>
          <w:p>
            <w:pPr>
              <w:jc w:val="center"/>
              <w:ind w:right="20"/>
              <w:spacing w:after="0"/>
              <w:rPr>
                <w:sz w:val="20"/>
                <w:szCs w:val="20"/>
                <w:color w:val="auto"/>
              </w:rPr>
            </w:pPr>
            <w:r>
              <w:rPr>
                <w:rFonts w:ascii="Arial" w:cs="Arial" w:eastAsia="Arial" w:hAnsi="Arial"/>
                <w:sz w:val="18"/>
                <w:szCs w:val="18"/>
                <w:color w:val="303030"/>
                <w:w w:val="90"/>
              </w:rPr>
              <w:t>enneth Canestrari and TJX</w:t>
            </w:r>
          </w:p>
        </w:tc>
        <w:tc>
          <w:tcPr>
            <w:tcW w:w="6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800" w:type="dxa"/>
            <w:vAlign w:val="bottom"/>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10.17</w:t>
            </w:r>
          </w:p>
        </w:tc>
        <w:tc>
          <w:tcPr>
            <w:tcW w:w="98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4 3 2024</w:t>
            </w: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2400" w:type="dxa"/>
            <w:vAlign w:val="bottom"/>
            <w:tcBorders>
              <w:top w:val="single" w:sz="8" w:color="303030"/>
              <w:bottom w:val="single" w:sz="8" w:color="303030"/>
            </w:tcBorders>
            <w:gridSpan w:val="13"/>
            <w:shd w:val="clear" w:color="auto" w:fill="FEFEFE"/>
          </w:tcPr>
          <w:p>
            <w:pPr>
              <w:spacing w:after="0" w:line="160" w:lineRule="exact"/>
              <w:rPr>
                <w:sz w:val="20"/>
                <w:szCs w:val="20"/>
                <w:color w:val="auto"/>
              </w:rPr>
            </w:pPr>
            <w:r>
              <w:rPr>
                <w:rFonts w:ascii="Arial" w:cs="Arial" w:eastAsia="Arial" w:hAnsi="Arial"/>
                <w:sz w:val="18"/>
                <w:szCs w:val="18"/>
                <w:color w:val="303030"/>
                <w:w w:val="94"/>
              </w:rPr>
              <w:t>effective as of February 2, 2024</w:t>
            </w:r>
          </w:p>
        </w:tc>
        <w:tc>
          <w:tcPr>
            <w:tcW w:w="1740" w:type="dxa"/>
            <w:vAlign w:val="bottom"/>
            <w:tcBorders>
              <w:top w:val="single" w:sz="8" w:color="303030"/>
              <w:bottom w:val="single" w:sz="8" w:color="FEFEFE"/>
            </w:tcBorders>
            <w:gridSpan w:val="4"/>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10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10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10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740" w:type="dxa"/>
            <w:vAlign w:val="bottom"/>
            <w:tcBorders>
              <w:top w:val="single" w:sz="8" w:color="FEFEFE"/>
              <w:bottom w:val="single" w:sz="8" w:color="FEFEFE"/>
            </w:tcBorders>
            <w:shd w:val="clear" w:color="auto" w:fill="FEFEFE"/>
          </w:tcPr>
          <w:p>
            <w:pPr>
              <w:spacing w:after="0"/>
              <w:rPr>
                <w:sz w:val="18"/>
                <w:szCs w:val="18"/>
                <w:color w:val="auto"/>
              </w:rPr>
            </w:pPr>
          </w:p>
        </w:tc>
        <w:tc>
          <w:tcPr>
            <w:tcW w:w="98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10.15</w:t>
            </w:r>
          </w:p>
        </w:tc>
        <w:tc>
          <w:tcPr>
            <w:tcW w:w="6060" w:type="dxa"/>
            <w:vAlign w:val="bottom"/>
            <w:tcBorders>
              <w:bottom w:val="single" w:sz="8" w:color="303030"/>
            </w:tcBorders>
            <w:gridSpan w:val="27"/>
            <w:shd w:val="clear" w:color="auto" w:fill="E4E4E4"/>
          </w:tcPr>
          <w:p>
            <w:pPr>
              <w:spacing w:after="0"/>
              <w:rPr>
                <w:sz w:val="20"/>
                <w:szCs w:val="20"/>
                <w:color w:val="auto"/>
              </w:rPr>
            </w:pPr>
            <w:r>
              <w:rPr>
                <w:rFonts w:ascii="Arial" w:cs="Arial" w:eastAsia="Arial" w:hAnsi="Arial"/>
                <w:sz w:val="18"/>
                <w:szCs w:val="18"/>
                <w:color w:val="303030"/>
                <w:w w:val="90"/>
              </w:rPr>
              <w:t>The Executive Severance and Change of Control Plan effective September 1 , 2022</w:t>
            </w:r>
          </w:p>
        </w:tc>
        <w:tc>
          <w:tcPr>
            <w:tcW w:w="60" w:type="dxa"/>
            <w:vAlign w:val="bottom"/>
            <w:tcBorders>
              <w:bottom w:val="single" w:sz="8" w:color="303030"/>
            </w:tcBorders>
            <w:shd w:val="clear" w:color="auto" w:fill="E4E4E4"/>
          </w:tcPr>
          <w:p>
            <w:pPr>
              <w:spacing w:after="0"/>
              <w:rPr>
                <w:sz w:val="23"/>
                <w:szCs w:val="23"/>
                <w:color w:val="auto"/>
              </w:rPr>
            </w:pPr>
          </w:p>
        </w:tc>
        <w:tc>
          <w:tcPr>
            <w:tcW w:w="20" w:type="dxa"/>
            <w:vAlign w:val="bottom"/>
            <w:tcBorders>
              <w:bottom w:val="single" w:sz="8" w:color="303030"/>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8"/>
              </w:rPr>
              <w:t>10.18</w:t>
            </w:r>
          </w:p>
        </w:tc>
        <w:tc>
          <w:tcPr>
            <w:tcW w:w="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4 3 2024</w:t>
            </w:r>
          </w:p>
        </w:tc>
        <w:tc>
          <w:tcPr>
            <w:tcW w:w="0" w:type="dxa"/>
            <w:vAlign w:val="bottom"/>
          </w:tcPr>
          <w:p>
            <w:pPr>
              <w:spacing w:after="0"/>
              <w:rPr>
                <w:sz w:val="1"/>
                <w:szCs w:val="1"/>
                <w:color w:val="auto"/>
              </w:rPr>
            </w:pPr>
          </w:p>
        </w:tc>
      </w:tr>
      <w:tr>
        <w:trPr>
          <w:trHeight w:val="270"/>
        </w:trPr>
        <w:tc>
          <w:tcPr>
            <w:tcW w:w="760" w:type="dxa"/>
            <w:vAlign w:val="bottom"/>
            <w:tcBorders>
              <w:top w:val="single" w:sz="8" w:color="E4E4E4"/>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3"/>
              </w:rPr>
              <w:t>10.16</w:t>
            </w:r>
          </w:p>
        </w:tc>
        <w:tc>
          <w:tcPr>
            <w:tcW w:w="440" w:type="dxa"/>
            <w:vAlign w:val="bottom"/>
            <w:tcBorders>
              <w:top w:val="single" w:sz="8" w:color="E4E4E4"/>
              <w:bottom w:val="single" w:sz="8" w:color="303030"/>
            </w:tcBorders>
            <w:shd w:val="clear" w:color="auto" w:fill="FEFEFE"/>
          </w:tcPr>
          <w:p>
            <w:pPr>
              <w:spacing w:after="0"/>
              <w:rPr>
                <w:sz w:val="20"/>
                <w:szCs w:val="20"/>
                <w:color w:val="auto"/>
              </w:rPr>
            </w:pPr>
            <w:r>
              <w:rPr>
                <w:rFonts w:ascii="Arial" w:cs="Arial" w:eastAsia="Arial" w:hAnsi="Arial"/>
                <w:sz w:val="18"/>
                <w:szCs w:val="18"/>
                <w:color w:val="303030"/>
              </w:rPr>
              <w:t>The</w:t>
            </w:r>
          </w:p>
        </w:tc>
        <w:tc>
          <w:tcPr>
            <w:tcW w:w="4520" w:type="dxa"/>
            <w:vAlign w:val="bottom"/>
            <w:tcBorders>
              <w:top w:val="single" w:sz="8" w:color="E4E4E4"/>
              <w:bottom w:val="single" w:sz="8" w:color="303030"/>
            </w:tcBorders>
            <w:gridSpan w:val="20"/>
            <w:shd w:val="clear" w:color="auto" w:fill="FEFEFE"/>
          </w:tcPr>
          <w:p>
            <w:pPr>
              <w:ind w:left="20"/>
              <w:spacing w:after="0"/>
              <w:rPr>
                <w:sz w:val="20"/>
                <w:szCs w:val="20"/>
                <w:color w:val="auto"/>
              </w:rPr>
            </w:pPr>
            <w:r>
              <w:rPr>
                <w:rFonts w:ascii="Arial" w:cs="Arial" w:eastAsia="Arial" w:hAnsi="Arial"/>
                <w:sz w:val="18"/>
                <w:szCs w:val="18"/>
                <w:color w:val="303030"/>
                <w:w w:val="93"/>
              </w:rPr>
              <w:t>ffer Letter Agreement dated February 2, 2024 between John</w:t>
            </w:r>
          </w:p>
        </w:tc>
        <w:tc>
          <w:tcPr>
            <w:tcW w:w="1100" w:type="dxa"/>
            <w:vAlign w:val="bottom"/>
            <w:tcBorders>
              <w:top w:val="single" w:sz="8" w:color="E4E4E4"/>
              <w:bottom w:val="single" w:sz="8" w:color="303030"/>
            </w:tcBorders>
            <w:gridSpan w:val="6"/>
            <w:shd w:val="clear" w:color="auto" w:fill="FEFEFE"/>
          </w:tcPr>
          <w:p>
            <w:pPr>
              <w:spacing w:after="0"/>
              <w:rPr>
                <w:sz w:val="20"/>
                <w:szCs w:val="20"/>
                <w:color w:val="auto"/>
              </w:rPr>
            </w:pPr>
            <w:r>
              <w:rPr>
                <w:rFonts w:ascii="Arial" w:cs="Arial" w:eastAsia="Arial" w:hAnsi="Arial"/>
                <w:sz w:val="18"/>
                <w:szCs w:val="18"/>
                <w:color w:val="303030"/>
                <w:w w:val="93"/>
              </w:rPr>
              <w:t>linger and TJX</w:t>
            </w:r>
          </w:p>
        </w:tc>
        <w:tc>
          <w:tcPr>
            <w:tcW w:w="60" w:type="dxa"/>
            <w:vAlign w:val="bottom"/>
            <w:tcBorders>
              <w:top w:val="single" w:sz="8" w:color="E4E4E4"/>
              <w:bottom w:val="single" w:sz="8" w:color="303030"/>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60" w:type="dxa"/>
            <w:vAlign w:val="bottom"/>
            <w:tcBorders>
              <w:top w:val="single" w:sz="8" w:color="E4E4E4"/>
              <w:bottom w:val="single" w:sz="8" w:color="FEFEFE"/>
            </w:tcBorders>
            <w:shd w:val="clear" w:color="auto" w:fill="FEFEFE"/>
          </w:tcPr>
          <w:p>
            <w:pPr>
              <w:spacing w:after="0"/>
              <w:rPr>
                <w:sz w:val="23"/>
                <w:szCs w:val="23"/>
                <w:color w:val="auto"/>
              </w:rPr>
            </w:pPr>
          </w:p>
        </w:tc>
        <w:tc>
          <w:tcPr>
            <w:tcW w:w="6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100" w:type="dxa"/>
            <w:vAlign w:val="bottom"/>
            <w:tcBorders>
              <w:top w:val="single" w:sz="8" w:color="E4E4E4"/>
              <w:bottom w:val="single" w:sz="8" w:color="FEFEFE"/>
            </w:tcBorders>
            <w:shd w:val="clear" w:color="auto" w:fill="FEFEFE"/>
          </w:tcPr>
          <w:p>
            <w:pPr>
              <w:spacing w:after="0"/>
              <w:rPr>
                <w:sz w:val="23"/>
                <w:szCs w:val="23"/>
                <w:color w:val="auto"/>
              </w:rPr>
            </w:pPr>
          </w:p>
        </w:tc>
        <w:tc>
          <w:tcPr>
            <w:tcW w:w="60" w:type="dxa"/>
            <w:vAlign w:val="bottom"/>
            <w:tcBorders>
              <w:top w:val="single" w:sz="8" w:color="E4E4E4"/>
              <w:bottom w:val="single" w:sz="8" w:color="FEFEFE"/>
            </w:tcBorders>
            <w:shd w:val="clear" w:color="auto" w:fill="FEFEFE"/>
          </w:tcPr>
          <w:p>
            <w:pPr>
              <w:spacing w:after="0"/>
              <w:rPr>
                <w:sz w:val="23"/>
                <w:szCs w:val="23"/>
                <w:color w:val="auto"/>
              </w:rPr>
            </w:pPr>
          </w:p>
        </w:tc>
        <w:tc>
          <w:tcPr>
            <w:tcW w:w="40" w:type="dxa"/>
            <w:vAlign w:val="bottom"/>
            <w:tcBorders>
              <w:top w:val="single" w:sz="8" w:color="E4E4E4"/>
              <w:bottom w:val="single" w:sz="8" w:color="FEFEFE"/>
            </w:tcBorders>
            <w:shd w:val="clear" w:color="auto" w:fill="FEFEFE"/>
          </w:tcPr>
          <w:p>
            <w:pPr>
              <w:spacing w:after="0"/>
              <w:rPr>
                <w:sz w:val="23"/>
                <w:szCs w:val="23"/>
                <w:color w:val="auto"/>
              </w:rPr>
            </w:pPr>
          </w:p>
        </w:tc>
        <w:tc>
          <w:tcPr>
            <w:tcW w:w="10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6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20" w:type="dxa"/>
            <w:vAlign w:val="bottom"/>
            <w:tcBorders>
              <w:top w:val="single" w:sz="8" w:color="E4E4E4"/>
              <w:bottom w:val="single" w:sz="8" w:color="FEFEFE"/>
            </w:tcBorders>
            <w:shd w:val="clear" w:color="auto" w:fill="FEFEFE"/>
          </w:tcPr>
          <w:p>
            <w:pPr>
              <w:spacing w:after="0"/>
              <w:rPr>
                <w:sz w:val="23"/>
                <w:szCs w:val="23"/>
                <w:color w:val="auto"/>
              </w:rPr>
            </w:pPr>
          </w:p>
        </w:tc>
        <w:tc>
          <w:tcPr>
            <w:tcW w:w="800" w:type="dxa"/>
            <w:vAlign w:val="bottom"/>
            <w:tcBorders>
              <w:top w:val="single" w:sz="8" w:color="E4E4E4"/>
              <w:bottom w:val="single" w:sz="8" w:color="FEFEFE"/>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E4E4E4"/>
              <w:bottom w:val="single" w:sz="8" w:color="FEFEFE"/>
            </w:tcBorders>
            <w:shd w:val="clear" w:color="auto" w:fill="FEFEFE"/>
          </w:tcPr>
          <w:p>
            <w:pPr>
              <w:jc w:val="right"/>
              <w:ind w:right="150"/>
              <w:spacing w:after="0"/>
              <w:rPr>
                <w:sz w:val="20"/>
                <w:szCs w:val="20"/>
                <w:color w:val="auto"/>
              </w:rPr>
            </w:pPr>
            <w:r>
              <w:rPr>
                <w:rFonts w:ascii="Arial" w:cs="Arial" w:eastAsia="Arial" w:hAnsi="Arial"/>
                <w:sz w:val="18"/>
                <w:szCs w:val="18"/>
                <w:color w:val="auto"/>
              </w:rPr>
              <w:t>10.1</w:t>
            </w:r>
          </w:p>
        </w:tc>
        <w:tc>
          <w:tcPr>
            <w:tcW w:w="980" w:type="dxa"/>
            <w:vAlign w:val="bottom"/>
            <w:tcBorders>
              <w:top w:val="single" w:sz="8" w:color="E4E4E4"/>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4 3 2024</w:t>
            </w:r>
          </w:p>
        </w:tc>
        <w:tc>
          <w:tcPr>
            <w:tcW w:w="0" w:type="dxa"/>
            <w:vAlign w:val="bottom"/>
          </w:tcPr>
          <w:p>
            <w:pPr>
              <w:spacing w:after="0"/>
              <w:rPr>
                <w:sz w:val="1"/>
                <w:szCs w:val="1"/>
                <w:color w:val="auto"/>
              </w:rPr>
            </w:pPr>
          </w:p>
        </w:tc>
      </w:tr>
      <w:tr>
        <w:trPr>
          <w:trHeight w:val="265"/>
        </w:trPr>
        <w:tc>
          <w:tcPr>
            <w:tcW w:w="760" w:type="dxa"/>
            <w:vAlign w:val="bottom"/>
            <w:tcBorders>
              <w:top w:val="single" w:sz="8" w:color="FEFEFE"/>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3"/>
              </w:rPr>
              <w:t>10.17</w:t>
            </w:r>
          </w:p>
        </w:tc>
        <w:tc>
          <w:tcPr>
            <w:tcW w:w="440" w:type="dxa"/>
            <w:vAlign w:val="bottom"/>
            <w:tcBorders>
              <w:top w:val="single" w:sz="8" w:color="FEFEFE"/>
              <w:bottom w:val="single" w:sz="8" w:color="303030"/>
            </w:tcBorders>
            <w:shd w:val="clear" w:color="auto" w:fill="E4E4E4"/>
          </w:tcPr>
          <w:p>
            <w:pPr>
              <w:spacing w:after="0"/>
              <w:rPr>
                <w:sz w:val="20"/>
                <w:szCs w:val="20"/>
                <w:color w:val="auto"/>
              </w:rPr>
            </w:pPr>
            <w:r>
              <w:rPr>
                <w:rFonts w:ascii="Arial" w:cs="Arial" w:eastAsia="Arial" w:hAnsi="Arial"/>
                <w:sz w:val="18"/>
                <w:szCs w:val="18"/>
                <w:color w:val="303030"/>
              </w:rPr>
              <w:t>The</w:t>
            </w:r>
          </w:p>
        </w:tc>
        <w:tc>
          <w:tcPr>
            <w:tcW w:w="4520" w:type="dxa"/>
            <w:vAlign w:val="bottom"/>
            <w:tcBorders>
              <w:top w:val="single" w:sz="8" w:color="FEFEFE"/>
              <w:bottom w:val="single" w:sz="8" w:color="303030"/>
            </w:tcBorders>
            <w:gridSpan w:val="20"/>
            <w:shd w:val="clear" w:color="auto" w:fill="E4E4E4"/>
          </w:tcPr>
          <w:p>
            <w:pPr>
              <w:ind w:left="20"/>
              <w:spacing w:after="0"/>
              <w:rPr>
                <w:sz w:val="20"/>
                <w:szCs w:val="20"/>
                <w:color w:val="auto"/>
              </w:rPr>
            </w:pPr>
            <w:r>
              <w:rPr>
                <w:rFonts w:ascii="Arial" w:cs="Arial" w:eastAsia="Arial" w:hAnsi="Arial"/>
                <w:sz w:val="18"/>
                <w:szCs w:val="18"/>
                <w:color w:val="303030"/>
                <w:w w:val="89"/>
              </w:rPr>
              <w:t>bligations Agreement dated November 14, 2022 between John</w:t>
            </w:r>
          </w:p>
        </w:tc>
        <w:tc>
          <w:tcPr>
            <w:tcW w:w="1340" w:type="dxa"/>
            <w:vAlign w:val="bottom"/>
            <w:tcBorders>
              <w:top w:val="single" w:sz="8" w:color="FEFEFE"/>
              <w:bottom w:val="single" w:sz="8" w:color="303030"/>
            </w:tcBorders>
            <w:gridSpan w:val="12"/>
            <w:shd w:val="clear" w:color="auto" w:fill="E4E4E4"/>
          </w:tcPr>
          <w:p>
            <w:pPr>
              <w:ind w:left="180"/>
              <w:spacing w:after="0"/>
              <w:rPr>
                <w:sz w:val="20"/>
                <w:szCs w:val="20"/>
                <w:color w:val="auto"/>
              </w:rPr>
            </w:pPr>
            <w:r>
              <w:rPr>
                <w:rFonts w:ascii="Arial" w:cs="Arial" w:eastAsia="Arial" w:hAnsi="Arial"/>
                <w:sz w:val="18"/>
                <w:szCs w:val="18"/>
                <w:color w:val="303030"/>
                <w:w w:val="98"/>
              </w:rPr>
              <w:t>linger and TJX</w:t>
            </w:r>
          </w:p>
        </w:tc>
        <w:tc>
          <w:tcPr>
            <w:tcW w:w="120" w:type="dxa"/>
            <w:vAlign w:val="bottom"/>
            <w:tcBorders>
              <w:top w:val="single" w:sz="8" w:color="FEFEFE"/>
              <w:bottom w:val="single" w:sz="8" w:color="E4E4E4"/>
            </w:tcBorders>
            <w:gridSpan w:val="2"/>
            <w:shd w:val="clear" w:color="auto" w:fill="E4E4E4"/>
          </w:tcPr>
          <w:p>
            <w:pPr>
              <w:spacing w:after="0"/>
              <w:rPr>
                <w:sz w:val="23"/>
                <w:szCs w:val="23"/>
                <w:color w:val="auto"/>
              </w:rPr>
            </w:pPr>
          </w:p>
        </w:tc>
        <w:tc>
          <w:tcPr>
            <w:tcW w:w="60" w:type="dxa"/>
            <w:vAlign w:val="bottom"/>
            <w:tcBorders>
              <w:top w:val="single" w:sz="8" w:color="FEFEFE"/>
              <w:bottom w:val="single" w:sz="8" w:color="E4E4E4"/>
            </w:tcBorders>
            <w:shd w:val="clear" w:color="auto" w:fill="E4E4E4"/>
          </w:tcPr>
          <w:p>
            <w:pPr>
              <w:spacing w:after="0"/>
              <w:rPr>
                <w:sz w:val="23"/>
                <w:szCs w:val="23"/>
                <w:color w:val="auto"/>
              </w:rPr>
            </w:pPr>
          </w:p>
        </w:tc>
        <w:tc>
          <w:tcPr>
            <w:tcW w:w="40" w:type="dxa"/>
            <w:vAlign w:val="bottom"/>
            <w:tcBorders>
              <w:top w:val="single" w:sz="8" w:color="FEFEFE"/>
              <w:bottom w:val="single" w:sz="8" w:color="E4E4E4"/>
            </w:tcBorders>
            <w:shd w:val="clear" w:color="auto" w:fill="E4E4E4"/>
          </w:tcPr>
          <w:p>
            <w:pPr>
              <w:spacing w:after="0"/>
              <w:rPr>
                <w:sz w:val="23"/>
                <w:szCs w:val="23"/>
                <w:color w:val="auto"/>
              </w:rPr>
            </w:pPr>
          </w:p>
        </w:tc>
        <w:tc>
          <w:tcPr>
            <w:tcW w:w="10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6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20" w:type="dxa"/>
            <w:vAlign w:val="bottom"/>
            <w:tcBorders>
              <w:top w:val="single" w:sz="8" w:color="FEFEFE"/>
              <w:bottom w:val="single" w:sz="8" w:color="E4E4E4"/>
            </w:tcBorders>
            <w:shd w:val="clear" w:color="auto" w:fill="E4E4E4"/>
          </w:tcPr>
          <w:p>
            <w:pPr>
              <w:spacing w:after="0"/>
              <w:rPr>
                <w:sz w:val="23"/>
                <w:szCs w:val="23"/>
                <w:color w:val="auto"/>
              </w:rPr>
            </w:pPr>
          </w:p>
        </w:tc>
        <w:tc>
          <w:tcPr>
            <w:tcW w:w="800" w:type="dxa"/>
            <w:vAlign w:val="bottom"/>
            <w:tcBorders>
              <w:top w:val="single" w:sz="8" w:color="FEFEFE"/>
              <w:bottom w:val="single" w:sz="8" w:color="E4E4E4"/>
            </w:tcBorders>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FEFEFE"/>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10.6</w:t>
            </w:r>
          </w:p>
        </w:tc>
        <w:tc>
          <w:tcPr>
            <w:tcW w:w="980" w:type="dxa"/>
            <w:vAlign w:val="bottom"/>
            <w:tcBorders>
              <w:top w:val="single" w:sz="8" w:color="FEFEFE"/>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6"/>
              </w:rPr>
              <w:t>11 2  2022</w:t>
            </w:r>
          </w:p>
        </w:tc>
        <w:tc>
          <w:tcPr>
            <w:tcW w:w="0" w:type="dxa"/>
            <w:vAlign w:val="bottom"/>
          </w:tcPr>
          <w:p>
            <w:pPr>
              <w:spacing w:after="0"/>
              <w:rPr>
                <w:sz w:val="1"/>
                <w:szCs w:val="1"/>
                <w:color w:val="auto"/>
              </w:rPr>
            </w:pPr>
          </w:p>
        </w:tc>
      </w:tr>
      <w:tr>
        <w:trPr>
          <w:trHeight w:val="265"/>
        </w:trPr>
        <w:tc>
          <w:tcPr>
            <w:tcW w:w="76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3"/>
              </w:rPr>
              <w:t>10.18</w:t>
            </w:r>
          </w:p>
        </w:tc>
        <w:tc>
          <w:tcPr>
            <w:tcW w:w="5220" w:type="dxa"/>
            <w:vAlign w:val="bottom"/>
            <w:tcBorders>
              <w:bottom w:val="single" w:sz="8" w:color="303030"/>
            </w:tcBorders>
            <w:gridSpan w:val="22"/>
            <w:shd w:val="clear" w:color="auto" w:fill="FEFEFE"/>
          </w:tcPr>
          <w:p>
            <w:pPr>
              <w:spacing w:after="0"/>
              <w:rPr>
                <w:sz w:val="20"/>
                <w:szCs w:val="20"/>
                <w:color w:val="auto"/>
              </w:rPr>
            </w:pPr>
            <w:r>
              <w:rPr>
                <w:rFonts w:ascii="Arial" w:cs="Arial" w:eastAsia="Arial" w:hAnsi="Arial"/>
                <w:sz w:val="18"/>
                <w:szCs w:val="18"/>
                <w:color w:val="303030"/>
                <w:w w:val="91"/>
              </w:rPr>
              <w:t>The Employment Agreement dated January 16, 2018 between Douglas</w:t>
            </w:r>
          </w:p>
        </w:tc>
        <w:tc>
          <w:tcPr>
            <w:tcW w:w="200" w:type="dxa"/>
            <w:vAlign w:val="bottom"/>
            <w:tcBorders>
              <w:bottom w:val="single" w:sz="8" w:color="303030"/>
            </w:tcBorders>
            <w:shd w:val="clear" w:color="auto" w:fill="FEFEFE"/>
          </w:tcPr>
          <w:p>
            <w:pPr>
              <w:ind w:left="100"/>
              <w:spacing w:after="0"/>
              <w:rPr>
                <w:sz w:val="20"/>
                <w:szCs w:val="20"/>
                <w:color w:val="auto"/>
              </w:rPr>
            </w:pPr>
            <w:r>
              <w:rPr>
                <w:rFonts w:ascii="Arial" w:cs="Arial" w:eastAsia="Arial" w:hAnsi="Arial"/>
                <w:sz w:val="18"/>
                <w:szCs w:val="18"/>
                <w:color w:val="303030"/>
              </w:rPr>
              <w:t>i</w:t>
            </w:r>
          </w:p>
        </w:tc>
        <w:tc>
          <w:tcPr>
            <w:tcW w:w="900" w:type="dxa"/>
            <w:vAlign w:val="bottom"/>
            <w:tcBorders>
              <w:bottom w:val="single" w:sz="8" w:color="303030"/>
            </w:tcBorders>
            <w:gridSpan w:val="11"/>
            <w:shd w:val="clear" w:color="auto" w:fill="FEFEFE"/>
          </w:tcPr>
          <w:p>
            <w:pPr>
              <w:jc w:val="center"/>
              <w:spacing w:after="0"/>
              <w:rPr>
                <w:sz w:val="20"/>
                <w:szCs w:val="20"/>
                <w:color w:val="auto"/>
              </w:rPr>
            </w:pPr>
            <w:r>
              <w:rPr>
                <w:rFonts w:ascii="Arial" w:cs="Arial" w:eastAsia="Arial" w:hAnsi="Arial"/>
                <w:sz w:val="18"/>
                <w:szCs w:val="18"/>
                <w:color w:val="303030"/>
                <w:w w:val="94"/>
              </w:rPr>
              <w:t>i and TJX</w:t>
            </w:r>
          </w:p>
        </w:tc>
        <w:tc>
          <w:tcPr>
            <w:tcW w:w="10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4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6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800" w:type="dxa"/>
            <w:vAlign w:val="bottom"/>
            <w:tcBorders>
              <w:bottom w:val="single" w:sz="8" w:color="FEFEFE"/>
            </w:tcBorders>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10.7</w:t>
            </w:r>
          </w:p>
        </w:tc>
        <w:tc>
          <w:tcPr>
            <w:tcW w:w="98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4 4 2018</w:t>
            </w: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right"/>
              <w:ind w:right="189"/>
              <w:spacing w:after="0"/>
              <w:rPr>
                <w:sz w:val="20"/>
                <w:szCs w:val="20"/>
                <w:color w:val="auto"/>
              </w:rPr>
            </w:pPr>
            <w:r>
              <w:rPr>
                <w:rFonts w:ascii="Arial" w:cs="Arial" w:eastAsia="Arial" w:hAnsi="Arial"/>
                <w:sz w:val="18"/>
                <w:szCs w:val="18"/>
                <w:color w:val="auto"/>
              </w:rPr>
              <w:t>10.1</w:t>
            </w:r>
          </w:p>
        </w:tc>
        <w:tc>
          <w:tcPr>
            <w:tcW w:w="6800" w:type="dxa"/>
            <w:vAlign w:val="bottom"/>
            <w:gridSpan w:val="45"/>
            <w:shd w:val="clear" w:color="auto" w:fill="E4E4E4"/>
          </w:tcPr>
          <w:p>
            <w:pPr>
              <w:spacing w:after="0"/>
              <w:rPr>
                <w:sz w:val="20"/>
                <w:szCs w:val="20"/>
                <w:color w:val="auto"/>
              </w:rPr>
            </w:pPr>
            <w:r>
              <w:rPr>
                <w:rFonts w:ascii="Arial" w:cs="Arial" w:eastAsia="Arial" w:hAnsi="Arial"/>
                <w:sz w:val="18"/>
                <w:szCs w:val="18"/>
                <w:color w:val="303030"/>
                <w:w w:val="92"/>
              </w:rPr>
              <w:t>The Executive Severance Plan Participation Agreement dated September 27, 2018 between</w:t>
            </w:r>
          </w:p>
        </w:tc>
        <w:tc>
          <w:tcPr>
            <w:tcW w:w="800" w:type="dxa"/>
            <w:vAlign w:val="bottom"/>
            <w:gridSpan w:val="3"/>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10.8</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9"/>
              </w:rPr>
              <w:t>12 4 2018</w:t>
            </w:r>
          </w:p>
        </w:tc>
        <w:tc>
          <w:tcPr>
            <w:tcW w:w="0" w:type="dxa"/>
            <w:vAlign w:val="bottom"/>
          </w:tcPr>
          <w:p>
            <w:pPr>
              <w:spacing w:after="0"/>
              <w:rPr>
                <w:sz w:val="1"/>
                <w:szCs w:val="1"/>
                <w:color w:val="auto"/>
              </w:rPr>
            </w:pPr>
          </w:p>
        </w:tc>
      </w:tr>
      <w:tr>
        <w:trPr>
          <w:trHeight w:val="210"/>
        </w:trPr>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1820" w:type="dxa"/>
            <w:vAlign w:val="bottom"/>
            <w:tcBorders>
              <w:top w:val="single" w:sz="8" w:color="303030"/>
              <w:bottom w:val="single" w:sz="8" w:color="303030"/>
            </w:tcBorders>
            <w:gridSpan w:val="9"/>
            <w:shd w:val="clear" w:color="auto" w:fill="E4E4E4"/>
          </w:tcPr>
          <w:p>
            <w:pPr>
              <w:spacing w:after="0" w:line="160" w:lineRule="exact"/>
              <w:rPr>
                <w:sz w:val="20"/>
                <w:szCs w:val="20"/>
                <w:color w:val="auto"/>
              </w:rPr>
            </w:pPr>
            <w:r>
              <w:rPr>
                <w:rFonts w:ascii="Arial" w:cs="Arial" w:eastAsia="Arial" w:hAnsi="Arial"/>
                <w:sz w:val="18"/>
                <w:szCs w:val="18"/>
                <w:color w:val="303030"/>
              </w:rPr>
              <w:t>Douglas  i  i and TJX</w:t>
            </w:r>
          </w:p>
        </w:tc>
        <w:tc>
          <w:tcPr>
            <w:tcW w:w="320" w:type="dxa"/>
            <w:vAlign w:val="bottom"/>
            <w:tcBorders>
              <w:top w:val="single" w:sz="8" w:color="303030"/>
              <w:bottom w:val="single" w:sz="8" w:color="E4E4E4"/>
            </w:tcBorders>
            <w:gridSpan w:val="2"/>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360" w:type="dxa"/>
            <w:vAlign w:val="bottom"/>
            <w:tcBorders>
              <w:top w:val="single" w:sz="8" w:color="303030"/>
              <w:bottom w:val="single" w:sz="8" w:color="E4E4E4"/>
            </w:tcBorders>
            <w:shd w:val="clear" w:color="auto" w:fill="E4E4E4"/>
          </w:tcPr>
          <w:p>
            <w:pPr>
              <w:spacing w:after="0"/>
              <w:rPr>
                <w:sz w:val="18"/>
                <w:szCs w:val="18"/>
                <w:color w:val="auto"/>
              </w:rPr>
            </w:pPr>
          </w:p>
        </w:tc>
        <w:tc>
          <w:tcPr>
            <w:tcW w:w="1100" w:type="dxa"/>
            <w:vAlign w:val="bottom"/>
            <w:tcBorders>
              <w:top w:val="single" w:sz="8" w:color="303030"/>
              <w:bottom w:val="single" w:sz="8" w:color="E4E4E4"/>
            </w:tcBorders>
            <w:shd w:val="clear" w:color="auto" w:fill="E4E4E4"/>
          </w:tcPr>
          <w:p>
            <w:pPr>
              <w:spacing w:after="0"/>
              <w:rPr>
                <w:sz w:val="18"/>
                <w:szCs w:val="18"/>
                <w:color w:val="auto"/>
              </w:rPr>
            </w:pPr>
          </w:p>
        </w:tc>
        <w:tc>
          <w:tcPr>
            <w:tcW w:w="3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0" w:type="dxa"/>
            <w:vAlign w:val="bottom"/>
            <w:tcBorders>
              <w:top w:val="single" w:sz="8" w:color="303030"/>
              <w:bottom w:val="single" w:sz="8" w:color="E4E4E4"/>
            </w:tcBorders>
            <w:shd w:val="clear" w:color="auto" w:fill="E4E4E4"/>
          </w:tcPr>
          <w:p>
            <w:pPr>
              <w:spacing w:after="0"/>
              <w:rPr>
                <w:sz w:val="18"/>
                <w:szCs w:val="18"/>
                <w:color w:val="auto"/>
              </w:rPr>
            </w:pPr>
          </w:p>
        </w:tc>
        <w:tc>
          <w:tcPr>
            <w:tcW w:w="26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34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10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740" w:type="dxa"/>
            <w:vAlign w:val="bottom"/>
            <w:tcBorders>
              <w:top w:val="single" w:sz="8" w:color="E4E4E4"/>
              <w:bottom w:val="single" w:sz="8" w:color="E4E4E4"/>
            </w:tcBorders>
            <w:shd w:val="clear" w:color="auto" w:fill="E4E4E4"/>
          </w:tcPr>
          <w:p>
            <w:pPr>
              <w:spacing w:after="0"/>
              <w:rPr>
                <w:sz w:val="18"/>
                <w:szCs w:val="18"/>
                <w:color w:val="auto"/>
              </w:rPr>
            </w:pPr>
          </w:p>
        </w:tc>
        <w:tc>
          <w:tcPr>
            <w:tcW w:w="980" w:type="dxa"/>
            <w:vAlign w:val="bottom"/>
            <w:tcBorders>
              <w:top w:val="single" w:sz="8" w:color="E4E4E4"/>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3"/>
              </w:rPr>
              <w:t>10.20</w:t>
            </w:r>
          </w:p>
        </w:tc>
        <w:tc>
          <w:tcPr>
            <w:tcW w:w="4960" w:type="dxa"/>
            <w:vAlign w:val="bottom"/>
            <w:gridSpan w:val="21"/>
            <w:shd w:val="clear" w:color="auto" w:fill="FEFEFE"/>
          </w:tcPr>
          <w:p>
            <w:pPr>
              <w:spacing w:after="0"/>
              <w:rPr>
                <w:sz w:val="20"/>
                <w:szCs w:val="20"/>
                <w:color w:val="auto"/>
              </w:rPr>
            </w:pPr>
            <w:r>
              <w:rPr>
                <w:rFonts w:ascii="Arial" w:cs="Arial" w:eastAsia="Arial" w:hAnsi="Arial"/>
                <w:sz w:val="18"/>
                <w:szCs w:val="18"/>
                <w:color w:val="303030"/>
                <w:w w:val="94"/>
              </w:rPr>
              <w:t>The Amendment to the Employment Agreement between Douglas</w:t>
            </w:r>
          </w:p>
        </w:tc>
        <w:tc>
          <w:tcPr>
            <w:tcW w:w="1840" w:type="dxa"/>
            <w:vAlign w:val="bottom"/>
            <w:gridSpan w:val="24"/>
            <w:shd w:val="clear" w:color="auto" w:fill="FEFEFE"/>
          </w:tcPr>
          <w:p>
            <w:pPr>
              <w:jc w:val="center"/>
              <w:spacing w:after="0"/>
              <w:rPr>
                <w:sz w:val="20"/>
                <w:szCs w:val="20"/>
                <w:color w:val="auto"/>
              </w:rPr>
            </w:pPr>
            <w:r>
              <w:rPr>
                <w:rFonts w:ascii="Arial" w:cs="Arial" w:eastAsia="Arial" w:hAnsi="Arial"/>
                <w:sz w:val="18"/>
                <w:szCs w:val="18"/>
                <w:color w:val="303030"/>
                <w:w w:val="96"/>
              </w:rPr>
              <w:t>i  i and TJX effective as</w:t>
            </w:r>
          </w:p>
        </w:tc>
        <w:tc>
          <w:tcPr>
            <w:tcW w:w="800" w:type="dxa"/>
            <w:vAlign w:val="bottom"/>
            <w:gridSpan w:val="3"/>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right"/>
              <w:ind w:right="170"/>
              <w:spacing w:after="0"/>
              <w:rPr>
                <w:sz w:val="20"/>
                <w:szCs w:val="20"/>
                <w:color w:val="auto"/>
              </w:rPr>
            </w:pPr>
            <w:r>
              <w:rPr>
                <w:rFonts w:ascii="Arial" w:cs="Arial" w:eastAsia="Arial" w:hAnsi="Arial"/>
                <w:sz w:val="18"/>
                <w:szCs w:val="18"/>
                <w:color w:val="auto"/>
              </w:rPr>
              <w:t>10.1</w:t>
            </w:r>
          </w:p>
        </w:tc>
        <w:tc>
          <w:tcPr>
            <w:tcW w:w="980" w:type="dxa"/>
            <w:vAlign w:val="bottom"/>
            <w:shd w:val="clear" w:color="auto" w:fill="FEFEFE"/>
          </w:tcPr>
          <w:p>
            <w:pPr>
              <w:jc w:val="right"/>
              <w:ind w:right="170"/>
              <w:spacing w:after="0"/>
              <w:rPr>
                <w:sz w:val="20"/>
                <w:szCs w:val="20"/>
                <w:color w:val="auto"/>
              </w:rPr>
            </w:pPr>
            <w:r>
              <w:rPr>
                <w:rFonts w:ascii="Arial" w:cs="Arial" w:eastAsia="Arial" w:hAnsi="Arial"/>
                <w:sz w:val="18"/>
                <w:szCs w:val="18"/>
                <w:color w:val="auto"/>
              </w:rPr>
              <w:t>4 3 201</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2140" w:type="dxa"/>
            <w:vAlign w:val="bottom"/>
            <w:tcBorders>
              <w:top w:val="single" w:sz="8" w:color="303030"/>
            </w:tcBorders>
            <w:gridSpan w:val="11"/>
            <w:shd w:val="clear" w:color="auto" w:fill="FEFEFE"/>
          </w:tcPr>
          <w:p>
            <w:pPr>
              <w:spacing w:after="0" w:line="160" w:lineRule="exact"/>
              <w:rPr>
                <w:sz w:val="20"/>
                <w:szCs w:val="20"/>
                <w:color w:val="auto"/>
              </w:rPr>
            </w:pPr>
            <w:r>
              <w:rPr>
                <w:rFonts w:ascii="Arial" w:cs="Arial" w:eastAsia="Arial" w:hAnsi="Arial"/>
                <w:sz w:val="18"/>
                <w:szCs w:val="18"/>
                <w:color w:val="303030"/>
              </w:rPr>
              <w:t>of February 13, 201</w:t>
            </w:r>
          </w:p>
        </w:tc>
        <w:tc>
          <w:tcPr>
            <w:tcW w:w="2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60" w:type="dxa"/>
            <w:vAlign w:val="bottom"/>
            <w:tcBorders>
              <w:top w:val="single" w:sz="8" w:color="303030"/>
            </w:tcBorders>
            <w:shd w:val="clear" w:color="auto" w:fill="FEFEFE"/>
          </w:tcPr>
          <w:p>
            <w:pPr>
              <w:spacing w:after="0"/>
              <w:rPr>
                <w:sz w:val="13"/>
                <w:szCs w:val="13"/>
                <w:color w:val="auto"/>
              </w:rPr>
            </w:pPr>
          </w:p>
        </w:tc>
        <w:tc>
          <w:tcPr>
            <w:tcW w:w="110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0" w:type="dxa"/>
            <w:vAlign w:val="bottom"/>
            <w:tcBorders>
              <w:top w:val="single" w:sz="8" w:color="303030"/>
            </w:tcBorders>
            <w:shd w:val="clear" w:color="auto" w:fill="FEFEFE"/>
          </w:tcPr>
          <w:p>
            <w:pPr>
              <w:spacing w:after="0"/>
              <w:rPr>
                <w:sz w:val="13"/>
                <w:szCs w:val="13"/>
                <w:color w:val="auto"/>
              </w:rPr>
            </w:pPr>
          </w:p>
        </w:tc>
        <w:tc>
          <w:tcPr>
            <w:tcW w:w="26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3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10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440" w:type="dxa"/>
            <w:vAlign w:val="bottom"/>
            <w:tcBorders>
              <w:top w:val="single" w:sz="8" w:color="303030"/>
            </w:tcBorders>
            <w:shd w:val="clear" w:color="auto" w:fill="FEFEFE"/>
          </w:tcPr>
          <w:p>
            <w:pPr>
              <w:spacing w:after="0"/>
              <w:rPr>
                <w:sz w:val="4"/>
                <w:szCs w:val="4"/>
                <w:color w:val="auto"/>
              </w:rPr>
            </w:pPr>
          </w:p>
        </w:tc>
        <w:tc>
          <w:tcPr>
            <w:tcW w:w="60" w:type="dxa"/>
            <w:vAlign w:val="bottom"/>
            <w:tcBorders>
              <w:top w:val="single" w:sz="8" w:color="303030"/>
            </w:tcBorders>
            <w:shd w:val="clear" w:color="auto" w:fill="FEFEFE"/>
          </w:tcPr>
          <w:p>
            <w:pPr>
              <w:spacing w:after="0"/>
              <w:rPr>
                <w:sz w:val="4"/>
                <w:szCs w:val="4"/>
                <w:color w:val="auto"/>
              </w:rPr>
            </w:pPr>
          </w:p>
        </w:tc>
        <w:tc>
          <w:tcPr>
            <w:tcW w:w="180" w:type="dxa"/>
            <w:vAlign w:val="bottom"/>
            <w:tcBorders>
              <w:top w:val="single" w:sz="8" w:color="303030"/>
            </w:tcBorders>
            <w:shd w:val="clear" w:color="auto" w:fill="FEFEFE"/>
          </w:tcPr>
          <w:p>
            <w:pPr>
              <w:spacing w:after="0"/>
              <w:rPr>
                <w:sz w:val="4"/>
                <w:szCs w:val="4"/>
                <w:color w:val="auto"/>
              </w:rPr>
            </w:pPr>
          </w:p>
        </w:tc>
        <w:tc>
          <w:tcPr>
            <w:tcW w:w="40" w:type="dxa"/>
            <w:vAlign w:val="bottom"/>
            <w:tcBorders>
              <w:top w:val="single" w:sz="8" w:color="303030"/>
            </w:tcBorders>
            <w:shd w:val="clear" w:color="auto" w:fill="FEFEFE"/>
          </w:tcPr>
          <w:p>
            <w:pPr>
              <w:spacing w:after="0"/>
              <w:rPr>
                <w:sz w:val="4"/>
                <w:szCs w:val="4"/>
                <w:color w:val="auto"/>
              </w:rPr>
            </w:pPr>
          </w:p>
        </w:tc>
        <w:tc>
          <w:tcPr>
            <w:tcW w:w="460" w:type="dxa"/>
            <w:vAlign w:val="bottom"/>
            <w:tcBorders>
              <w:top w:val="single" w:sz="8" w:color="303030"/>
            </w:tcBorders>
            <w:shd w:val="clear" w:color="auto" w:fill="FEFEFE"/>
          </w:tcPr>
          <w:p>
            <w:pPr>
              <w:spacing w:after="0"/>
              <w:rPr>
                <w:sz w:val="4"/>
                <w:szCs w:val="4"/>
                <w:color w:val="auto"/>
              </w:rPr>
            </w:pPr>
          </w:p>
        </w:tc>
        <w:tc>
          <w:tcPr>
            <w:tcW w:w="340" w:type="dxa"/>
            <w:vAlign w:val="bottom"/>
            <w:tcBorders>
              <w:top w:val="single" w:sz="8" w:color="303030"/>
            </w:tcBorders>
            <w:shd w:val="clear" w:color="auto" w:fill="FEFEFE"/>
          </w:tcPr>
          <w:p>
            <w:pPr>
              <w:spacing w:after="0"/>
              <w:rPr>
                <w:sz w:val="4"/>
                <w:szCs w:val="4"/>
                <w:color w:val="auto"/>
              </w:rPr>
            </w:pPr>
          </w:p>
        </w:tc>
        <w:tc>
          <w:tcPr>
            <w:tcW w:w="100" w:type="dxa"/>
            <w:vAlign w:val="bottom"/>
            <w:tcBorders>
              <w:top w:val="single" w:sz="8" w:color="303030"/>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11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760" w:type="dxa"/>
            <w:vAlign w:val="bottom"/>
            <w:tcBorders>
              <w:top w:val="single" w:sz="8" w:color="FEFEFE"/>
            </w:tcBorders>
            <w:shd w:val="clear" w:color="auto" w:fill="FEFEFE"/>
          </w:tcPr>
          <w:p>
            <w:pPr>
              <w:spacing w:after="0"/>
              <w:rPr>
                <w:sz w:val="4"/>
                <w:szCs w:val="4"/>
                <w:color w:val="auto"/>
              </w:rPr>
            </w:pPr>
          </w:p>
        </w:tc>
        <w:tc>
          <w:tcPr>
            <w:tcW w:w="74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1" w:orient="portrait"/>
          <w:cols w:equalWidth="0" w:num="1">
            <w:col w:w="10080"/>
          </w:cols>
          <w:pgMar w:left="1000" w:top="778" w:right="1161"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ectPr>
          <w:pgSz w:w="12240" w:h="15841" w:orient="portrait"/>
          <w:cols w:equalWidth="0" w:num="1">
            <w:col w:w="10080"/>
          </w:cols>
          <w:pgMar w:left="1000" w:top="778" w:right="1161"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Incorporate by</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eference</w:t>
            </w: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60" w:type="dxa"/>
            <w:vAlign w:val="bottom"/>
          </w:tcPr>
          <w:p>
            <w:pPr>
              <w:ind w:left="280"/>
              <w:spacing w:after="0"/>
              <w:rPr>
                <w:sz w:val="20"/>
                <w:szCs w:val="20"/>
                <w:color w:val="auto"/>
              </w:rPr>
            </w:pPr>
            <w:r>
              <w:rPr>
                <w:rFonts w:ascii="Arial" w:cs="Arial" w:eastAsia="Arial" w:hAnsi="Arial"/>
                <w:sz w:val="18"/>
                <w:szCs w:val="18"/>
                <w:color w:val="auto"/>
              </w:rPr>
              <w:t>hibit</w:t>
            </w:r>
          </w:p>
        </w:tc>
        <w:tc>
          <w:tcPr>
            <w:tcW w:w="20" w:type="dxa"/>
            <w:vAlign w:val="bottom"/>
          </w:tcPr>
          <w:p>
            <w:pPr>
              <w:spacing w:after="0"/>
              <w:rPr>
                <w:sz w:val="17"/>
                <w:szCs w:val="17"/>
                <w:color w:val="auto"/>
              </w:rPr>
            </w:pPr>
          </w:p>
        </w:tc>
        <w:tc>
          <w:tcPr>
            <w:tcW w:w="940" w:type="dxa"/>
            <w:vAlign w:val="bottom"/>
            <w:gridSpan w:val="4"/>
            <w:vMerge w:val="restart"/>
          </w:tcPr>
          <w:p>
            <w:pPr>
              <w:ind w:left="120"/>
              <w:spacing w:after="0"/>
              <w:rPr>
                <w:sz w:val="20"/>
                <w:szCs w:val="20"/>
                <w:color w:val="auto"/>
              </w:rPr>
            </w:pPr>
            <w:r>
              <w:rPr>
                <w:rFonts w:ascii="Arial" w:cs="Arial" w:eastAsia="Arial" w:hAnsi="Arial"/>
                <w:sz w:val="18"/>
                <w:szCs w:val="18"/>
                <w:color w:val="auto"/>
              </w:rPr>
              <w:t>escription</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Form</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hibit</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Filing</w:t>
            </w:r>
          </w:p>
        </w:tc>
        <w:tc>
          <w:tcPr>
            <w:tcW w:w="0" w:type="dxa"/>
            <w:vAlign w:val="bottom"/>
          </w:tcPr>
          <w:p>
            <w:pPr>
              <w:spacing w:after="0"/>
              <w:rPr>
                <w:sz w:val="1"/>
                <w:szCs w:val="1"/>
                <w:color w:val="auto"/>
              </w:rPr>
            </w:pPr>
          </w:p>
        </w:tc>
      </w:tr>
      <w:tr>
        <w:trPr>
          <w:trHeight w:val="239"/>
        </w:trPr>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w:t>
            </w: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No.</w:t>
            </w:r>
          </w:p>
        </w:tc>
        <w:tc>
          <w:tcPr>
            <w:tcW w:w="4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ate</w:t>
            </w:r>
          </w:p>
        </w:tc>
        <w:tc>
          <w:tcPr>
            <w:tcW w:w="0" w:type="dxa"/>
            <w:vAlign w:val="bottom"/>
          </w:tcPr>
          <w:p>
            <w:pPr>
              <w:spacing w:after="0"/>
              <w:rPr>
                <w:sz w:val="1"/>
                <w:szCs w:val="1"/>
                <w:color w:val="auto"/>
              </w:rPr>
            </w:pPr>
          </w:p>
        </w:tc>
      </w:tr>
      <w:tr>
        <w:trPr>
          <w:trHeight w:val="205"/>
        </w:trPr>
        <w:tc>
          <w:tcPr>
            <w:tcW w:w="760" w:type="dxa"/>
            <w:vAlign w:val="bottom"/>
            <w:tcBorders>
              <w:bottom w:val="single" w:sz="8" w:color="E4E4E4"/>
            </w:tcBorders>
            <w:shd w:val="clear" w:color="auto" w:fill="E4E4E4"/>
          </w:tcPr>
          <w:p>
            <w:pPr>
              <w:ind w:left="160"/>
              <w:spacing w:after="0" w:line="205" w:lineRule="exact"/>
              <w:rPr>
                <w:sz w:val="20"/>
                <w:szCs w:val="20"/>
                <w:color w:val="auto"/>
              </w:rPr>
            </w:pPr>
            <w:r>
              <w:rPr>
                <w:rFonts w:ascii="Arial" w:cs="Arial" w:eastAsia="Arial" w:hAnsi="Arial"/>
                <w:sz w:val="18"/>
                <w:szCs w:val="18"/>
                <w:color w:val="auto"/>
              </w:rPr>
              <w:t>10.21</w:t>
            </w:r>
          </w:p>
        </w:tc>
        <w:tc>
          <w:tcPr>
            <w:tcW w:w="4940" w:type="dxa"/>
            <w:vAlign w:val="bottom"/>
            <w:tcBorders>
              <w:bottom w:val="single" w:sz="8" w:color="303030"/>
            </w:tcBorders>
            <w:gridSpan w:val="28"/>
            <w:shd w:val="clear" w:color="auto" w:fill="E4E4E4"/>
          </w:tcPr>
          <w:p>
            <w:pPr>
              <w:spacing w:after="0" w:line="205" w:lineRule="exact"/>
              <w:rPr>
                <w:sz w:val="20"/>
                <w:szCs w:val="20"/>
                <w:color w:val="auto"/>
              </w:rPr>
            </w:pPr>
            <w:r>
              <w:rPr>
                <w:rFonts w:ascii="Arial" w:cs="Arial" w:eastAsia="Arial" w:hAnsi="Arial"/>
                <w:sz w:val="18"/>
                <w:szCs w:val="18"/>
                <w:color w:val="303030"/>
                <w:w w:val="93"/>
              </w:rPr>
              <w:t>The Amendment to the Employment Agreement between Douglas</w:t>
            </w:r>
          </w:p>
        </w:tc>
        <w:tc>
          <w:tcPr>
            <w:tcW w:w="1880" w:type="dxa"/>
            <w:vAlign w:val="bottom"/>
            <w:tcBorders>
              <w:bottom w:val="single" w:sz="8" w:color="303030"/>
            </w:tcBorders>
            <w:gridSpan w:val="22"/>
            <w:shd w:val="clear" w:color="auto" w:fill="E4E4E4"/>
          </w:tcPr>
          <w:p>
            <w:pPr>
              <w:ind w:left="40"/>
              <w:spacing w:after="0" w:line="205" w:lineRule="exact"/>
              <w:rPr>
                <w:sz w:val="20"/>
                <w:szCs w:val="20"/>
                <w:color w:val="auto"/>
              </w:rPr>
            </w:pPr>
            <w:r>
              <w:rPr>
                <w:rFonts w:ascii="Arial" w:cs="Arial" w:eastAsia="Arial" w:hAnsi="Arial"/>
                <w:sz w:val="18"/>
                <w:szCs w:val="18"/>
                <w:color w:val="303030"/>
                <w:w w:val="97"/>
              </w:rPr>
              <w:t>i  i and TJX effective as</w:t>
            </w:r>
          </w:p>
        </w:tc>
        <w:tc>
          <w:tcPr>
            <w:tcW w:w="780" w:type="dxa"/>
            <w:vAlign w:val="bottom"/>
            <w:tcBorders>
              <w:bottom w:val="single" w:sz="8" w:color="E4E4E4"/>
            </w:tcBorders>
            <w:gridSpan w:val="2"/>
            <w:shd w:val="clear" w:color="auto" w:fill="E4E4E4"/>
          </w:tcPr>
          <w:p>
            <w:pPr>
              <w:jc w:val="center"/>
              <w:ind w:right="10"/>
              <w:spacing w:after="0" w:line="205" w:lineRule="exact"/>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line="205" w:lineRule="exact"/>
              <w:rPr>
                <w:sz w:val="20"/>
                <w:szCs w:val="20"/>
                <w:color w:val="auto"/>
              </w:rPr>
            </w:pPr>
            <w:r>
              <w:rPr>
                <w:rFonts w:ascii="Arial" w:cs="Arial" w:eastAsia="Arial" w:hAnsi="Arial"/>
                <w:sz w:val="18"/>
                <w:szCs w:val="18"/>
                <w:color w:val="auto"/>
                <w:w w:val="88"/>
              </w:rPr>
              <w:t>10.21</w:t>
            </w:r>
          </w:p>
        </w:tc>
        <w:tc>
          <w:tcPr>
            <w:tcW w:w="980" w:type="dxa"/>
            <w:vAlign w:val="bottom"/>
            <w:tcBorders>
              <w:bottom w:val="single" w:sz="8" w:color="E4E4E4"/>
            </w:tcBorders>
            <w:gridSpan w:val="2"/>
            <w:shd w:val="clear" w:color="auto" w:fill="E4E4E4"/>
          </w:tcPr>
          <w:p>
            <w:pPr>
              <w:ind w:left="120"/>
              <w:spacing w:after="0" w:line="205" w:lineRule="exact"/>
              <w:rPr>
                <w:sz w:val="20"/>
                <w:szCs w:val="20"/>
                <w:color w:val="auto"/>
              </w:rPr>
            </w:pPr>
            <w:r>
              <w:rPr>
                <w:rFonts w:ascii="Arial" w:cs="Arial" w:eastAsia="Arial" w:hAnsi="Arial"/>
                <w:sz w:val="18"/>
                <w:szCs w:val="18"/>
                <w:color w:val="auto"/>
              </w:rPr>
              <w:t>3 31 2021</w:t>
            </w:r>
          </w:p>
        </w:tc>
        <w:tc>
          <w:tcPr>
            <w:tcW w:w="0" w:type="dxa"/>
            <w:vAlign w:val="bottom"/>
          </w:tcPr>
          <w:p>
            <w:pPr>
              <w:spacing w:after="0"/>
              <w:rPr>
                <w:sz w:val="1"/>
                <w:szCs w:val="1"/>
                <w:color w:val="auto"/>
              </w:rPr>
            </w:pPr>
          </w:p>
        </w:tc>
      </w:tr>
      <w:tr>
        <w:trPr>
          <w:trHeight w:val="160"/>
        </w:trPr>
        <w:tc>
          <w:tcPr>
            <w:tcW w:w="760" w:type="dxa"/>
            <w:vAlign w:val="bottom"/>
            <w:shd w:val="clear" w:color="auto" w:fill="E4E4E4"/>
          </w:tcPr>
          <w:p>
            <w:pPr>
              <w:spacing w:after="0"/>
              <w:rPr>
                <w:sz w:val="13"/>
                <w:szCs w:val="13"/>
                <w:color w:val="auto"/>
              </w:rPr>
            </w:pPr>
          </w:p>
        </w:tc>
        <w:tc>
          <w:tcPr>
            <w:tcW w:w="960" w:type="dxa"/>
            <w:vAlign w:val="bottom"/>
            <w:gridSpan w:val="5"/>
            <w:shd w:val="clear" w:color="auto" w:fill="E4E4E4"/>
          </w:tcPr>
          <w:p>
            <w:pPr>
              <w:spacing w:after="0" w:line="160" w:lineRule="exact"/>
              <w:rPr>
                <w:sz w:val="20"/>
                <w:szCs w:val="20"/>
                <w:color w:val="auto"/>
              </w:rPr>
            </w:pPr>
            <w:r>
              <w:rPr>
                <w:rFonts w:ascii="Arial" w:cs="Arial" w:eastAsia="Arial" w:hAnsi="Arial"/>
                <w:sz w:val="18"/>
                <w:szCs w:val="18"/>
                <w:color w:val="303030"/>
                <w:w w:val="94"/>
              </w:rPr>
              <w:t>of January 2</w:t>
            </w:r>
          </w:p>
        </w:tc>
        <w:tc>
          <w:tcPr>
            <w:tcW w:w="560" w:type="dxa"/>
            <w:vAlign w:val="bottom"/>
            <w:gridSpan w:val="5"/>
            <w:shd w:val="clear" w:color="auto" w:fill="E4E4E4"/>
          </w:tcPr>
          <w:p>
            <w:pPr>
              <w:ind w:left="20"/>
              <w:spacing w:after="0" w:line="160" w:lineRule="exact"/>
              <w:rPr>
                <w:sz w:val="20"/>
                <w:szCs w:val="20"/>
                <w:color w:val="auto"/>
              </w:rPr>
            </w:pPr>
            <w:r>
              <w:rPr>
                <w:rFonts w:ascii="Arial" w:cs="Arial" w:eastAsia="Arial" w:hAnsi="Arial"/>
                <w:sz w:val="18"/>
                <w:szCs w:val="18"/>
                <w:color w:val="303030"/>
              </w:rPr>
              <w:t>, 2021</w:t>
            </w:r>
          </w:p>
        </w:tc>
        <w:tc>
          <w:tcPr>
            <w:tcW w:w="30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2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72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54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760" w:type="dxa"/>
            <w:vAlign w:val="bottom"/>
            <w:shd w:val="clear" w:color="auto" w:fill="E4E4E4"/>
          </w:tcPr>
          <w:p>
            <w:pPr>
              <w:spacing w:after="0"/>
              <w:rPr>
                <w:sz w:val="13"/>
                <w:szCs w:val="13"/>
                <w:color w:val="auto"/>
              </w:rPr>
            </w:pPr>
          </w:p>
        </w:tc>
        <w:tc>
          <w:tcPr>
            <w:tcW w:w="740" w:type="dxa"/>
            <w:vAlign w:val="bottom"/>
            <w:shd w:val="clear" w:color="auto" w:fill="E4E4E4"/>
          </w:tcPr>
          <w:p>
            <w:pPr>
              <w:spacing w:after="0"/>
              <w:rPr>
                <w:sz w:val="13"/>
                <w:szCs w:val="13"/>
                <w:color w:val="auto"/>
              </w:rPr>
            </w:pPr>
          </w:p>
        </w:tc>
        <w:tc>
          <w:tcPr>
            <w:tcW w:w="420" w:type="dxa"/>
            <w:vAlign w:val="bottom"/>
            <w:shd w:val="clear" w:color="auto" w:fill="E4E4E4"/>
          </w:tcPr>
          <w:p>
            <w:pPr>
              <w:spacing w:after="0"/>
              <w:rPr>
                <w:sz w:val="13"/>
                <w:szCs w:val="13"/>
                <w:color w:val="auto"/>
              </w:rPr>
            </w:pPr>
          </w:p>
        </w:tc>
        <w:tc>
          <w:tcPr>
            <w:tcW w:w="56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780" w:type="dxa"/>
            <w:vAlign w:val="bottom"/>
            <w:tcBorders>
              <w:top w:val="single" w:sz="8" w:color="E4E4E4"/>
            </w:tcBorders>
            <w:gridSpan w:val="2"/>
            <w:shd w:val="clear" w:color="auto" w:fill="E4E4E4"/>
          </w:tcPr>
          <w:p>
            <w:pPr>
              <w:spacing w:after="0"/>
              <w:rPr>
                <w:sz w:val="5"/>
                <w:szCs w:val="5"/>
                <w:color w:val="auto"/>
              </w:rPr>
            </w:pPr>
          </w:p>
        </w:tc>
        <w:tc>
          <w:tcPr>
            <w:tcW w:w="1500" w:type="dxa"/>
            <w:vAlign w:val="bottom"/>
            <w:tcBorders>
              <w:top w:val="single" w:sz="8" w:color="303030"/>
            </w:tcBorders>
            <w:gridSpan w:val="9"/>
            <w:shd w:val="clear" w:color="auto" w:fill="E4E4E4"/>
          </w:tcPr>
          <w:p>
            <w:pPr>
              <w:spacing w:after="0"/>
              <w:rPr>
                <w:sz w:val="5"/>
                <w:szCs w:val="5"/>
                <w:color w:val="auto"/>
              </w:rPr>
            </w:pPr>
          </w:p>
        </w:tc>
        <w:tc>
          <w:tcPr>
            <w:tcW w:w="7800" w:type="dxa"/>
            <w:vAlign w:val="bottom"/>
            <w:tcBorders>
              <w:top w:val="single" w:sz="8" w:color="E4E4E4"/>
            </w:tcBorders>
            <w:gridSpan w:val="45"/>
            <w:shd w:val="clear" w:color="auto" w:fill="E4E4E4"/>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FEFEFE"/>
            </w:tcBorders>
            <w:shd w:val="clear" w:color="auto" w:fill="FEFEFE"/>
          </w:tcPr>
          <w:p>
            <w:pPr>
              <w:ind w:left="160"/>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FEFEFE"/>
            </w:tcBorders>
            <w:shd w:val="clear" w:color="auto" w:fill="FEFEFE"/>
          </w:tcPr>
          <w:p>
            <w:pPr>
              <w:spacing w:after="0"/>
              <w:rPr>
                <w:sz w:val="18"/>
                <w:szCs w:val="18"/>
                <w:color w:val="auto"/>
              </w:rPr>
            </w:pPr>
          </w:p>
        </w:tc>
        <w:tc>
          <w:tcPr>
            <w:tcW w:w="4920" w:type="dxa"/>
            <w:vAlign w:val="bottom"/>
            <w:tcBorders>
              <w:bottom w:val="single" w:sz="8" w:color="303030"/>
            </w:tcBorders>
            <w:gridSpan w:val="27"/>
            <w:shd w:val="clear" w:color="auto" w:fill="FEFEFE"/>
          </w:tcPr>
          <w:p>
            <w:pPr>
              <w:spacing w:after="0"/>
              <w:rPr>
                <w:sz w:val="20"/>
                <w:szCs w:val="20"/>
                <w:color w:val="auto"/>
              </w:rPr>
            </w:pPr>
            <w:r>
              <w:rPr>
                <w:rFonts w:ascii="Arial" w:cs="Arial" w:eastAsia="Arial" w:hAnsi="Arial"/>
                <w:sz w:val="18"/>
                <w:szCs w:val="18"/>
                <w:color w:val="303030"/>
                <w:w w:val="93"/>
              </w:rPr>
              <w:t>The Amendment to the Employment Agreement between Douglas</w:t>
            </w:r>
          </w:p>
        </w:tc>
        <w:tc>
          <w:tcPr>
            <w:tcW w:w="1880" w:type="dxa"/>
            <w:vAlign w:val="bottom"/>
            <w:tcBorders>
              <w:bottom w:val="single" w:sz="8" w:color="303030"/>
            </w:tcBorders>
            <w:gridSpan w:val="22"/>
            <w:shd w:val="clear" w:color="auto" w:fill="FEFEFE"/>
          </w:tcPr>
          <w:p>
            <w:pPr>
              <w:ind w:left="40"/>
              <w:spacing w:after="0"/>
              <w:rPr>
                <w:sz w:val="20"/>
                <w:szCs w:val="20"/>
                <w:color w:val="auto"/>
              </w:rPr>
            </w:pPr>
            <w:r>
              <w:rPr>
                <w:rFonts w:ascii="Arial" w:cs="Arial" w:eastAsia="Arial" w:hAnsi="Arial"/>
                <w:sz w:val="18"/>
                <w:szCs w:val="18"/>
                <w:color w:val="303030"/>
                <w:w w:val="97"/>
              </w:rPr>
              <w:t>i  i and TJX effective as</w:t>
            </w: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88"/>
              </w:rPr>
              <w:t>10.25</w:t>
            </w:r>
          </w:p>
        </w:tc>
        <w:tc>
          <w:tcPr>
            <w:tcW w:w="980" w:type="dxa"/>
            <w:vAlign w:val="bottom"/>
            <w:tcBorders>
              <w:bottom w:val="single" w:sz="8" w:color="FEFEFE"/>
            </w:tcBorders>
            <w:gridSpan w:val="2"/>
            <w:shd w:val="clear" w:color="auto" w:fill="FEFEFE"/>
          </w:tcPr>
          <w:p>
            <w:pPr>
              <w:ind w:left="160"/>
              <w:spacing w:after="0"/>
              <w:rPr>
                <w:sz w:val="20"/>
                <w:szCs w:val="20"/>
                <w:color w:val="auto"/>
              </w:rPr>
            </w:pPr>
            <w:r>
              <w:rPr>
                <w:rFonts w:ascii="Arial" w:cs="Arial" w:eastAsia="Arial" w:hAnsi="Arial"/>
                <w:sz w:val="18"/>
                <w:szCs w:val="18"/>
                <w:color w:val="auto"/>
              </w:rPr>
              <w:t>4 3 2024</w:t>
            </w:r>
          </w:p>
        </w:tc>
        <w:tc>
          <w:tcPr>
            <w:tcW w:w="0" w:type="dxa"/>
            <w:vAlign w:val="bottom"/>
          </w:tcPr>
          <w:p>
            <w:pPr>
              <w:spacing w:after="0"/>
              <w:rPr>
                <w:sz w:val="1"/>
                <w:szCs w:val="1"/>
                <w:color w:val="auto"/>
              </w:rPr>
            </w:pPr>
          </w:p>
        </w:tc>
      </w:tr>
      <w:tr>
        <w:trPr>
          <w:trHeight w:val="185"/>
        </w:trPr>
        <w:tc>
          <w:tcPr>
            <w:tcW w:w="76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1500" w:type="dxa"/>
            <w:vAlign w:val="bottom"/>
            <w:tcBorders>
              <w:bottom w:val="single" w:sz="8" w:color="303030"/>
            </w:tcBorders>
            <w:gridSpan w:val="9"/>
            <w:shd w:val="clear" w:color="auto" w:fill="FEFEFE"/>
          </w:tcPr>
          <w:p>
            <w:pPr>
              <w:spacing w:after="0" w:line="160" w:lineRule="exact"/>
              <w:rPr>
                <w:sz w:val="20"/>
                <w:szCs w:val="20"/>
                <w:color w:val="auto"/>
              </w:rPr>
            </w:pPr>
            <w:r>
              <w:rPr>
                <w:rFonts w:ascii="Arial" w:cs="Arial" w:eastAsia="Arial" w:hAnsi="Arial"/>
                <w:sz w:val="18"/>
                <w:szCs w:val="18"/>
                <w:color w:val="303030"/>
                <w:w w:val="94"/>
              </w:rPr>
              <w:t>of February 2, 2024</w:t>
            </w:r>
          </w:p>
        </w:tc>
        <w:tc>
          <w:tcPr>
            <w:tcW w:w="30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340" w:type="dxa"/>
            <w:vAlign w:val="bottom"/>
            <w:tcBorders>
              <w:bottom w:val="single" w:sz="8" w:color="FEFEFE"/>
            </w:tcBorders>
            <w:shd w:val="clear" w:color="auto" w:fill="FEFEFE"/>
          </w:tcPr>
          <w:p>
            <w:pPr>
              <w:spacing w:after="0"/>
              <w:rPr>
                <w:sz w:val="15"/>
                <w:szCs w:val="15"/>
                <w:color w:val="auto"/>
              </w:rPr>
            </w:pPr>
          </w:p>
        </w:tc>
        <w:tc>
          <w:tcPr>
            <w:tcW w:w="200" w:type="dxa"/>
            <w:vAlign w:val="bottom"/>
            <w:tcBorders>
              <w:bottom w:val="single" w:sz="8" w:color="FEFEFE"/>
            </w:tcBorders>
            <w:shd w:val="clear" w:color="auto" w:fill="FEFEFE"/>
          </w:tcPr>
          <w:p>
            <w:pPr>
              <w:spacing w:after="0"/>
              <w:rPr>
                <w:sz w:val="15"/>
                <w:szCs w:val="15"/>
                <w:color w:val="auto"/>
              </w:rPr>
            </w:pPr>
          </w:p>
        </w:tc>
        <w:tc>
          <w:tcPr>
            <w:tcW w:w="18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180" w:type="dxa"/>
            <w:vAlign w:val="bottom"/>
            <w:tcBorders>
              <w:bottom w:val="single" w:sz="8" w:color="FEFEFE"/>
            </w:tcBorders>
            <w:shd w:val="clear" w:color="auto" w:fill="FEFEFE"/>
          </w:tcPr>
          <w:p>
            <w:pPr>
              <w:spacing w:after="0"/>
              <w:rPr>
                <w:sz w:val="15"/>
                <w:szCs w:val="15"/>
                <w:color w:val="auto"/>
              </w:rPr>
            </w:pPr>
          </w:p>
        </w:tc>
        <w:tc>
          <w:tcPr>
            <w:tcW w:w="20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24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220" w:type="dxa"/>
            <w:vAlign w:val="bottom"/>
            <w:tcBorders>
              <w:bottom w:val="single" w:sz="8" w:color="FEFEFE"/>
            </w:tcBorders>
            <w:shd w:val="clear" w:color="auto" w:fill="FEFEFE"/>
          </w:tcPr>
          <w:p>
            <w:pPr>
              <w:spacing w:after="0"/>
              <w:rPr>
                <w:sz w:val="15"/>
                <w:szCs w:val="15"/>
                <w:color w:val="auto"/>
              </w:rPr>
            </w:pPr>
          </w:p>
        </w:tc>
        <w:tc>
          <w:tcPr>
            <w:tcW w:w="240" w:type="dxa"/>
            <w:vAlign w:val="bottom"/>
            <w:tcBorders>
              <w:bottom w:val="single" w:sz="8" w:color="FEFEFE"/>
            </w:tcBorders>
            <w:shd w:val="clear" w:color="auto" w:fill="FEFEFE"/>
          </w:tcPr>
          <w:p>
            <w:pPr>
              <w:spacing w:after="0"/>
              <w:rPr>
                <w:sz w:val="15"/>
                <w:szCs w:val="15"/>
                <w:color w:val="auto"/>
              </w:rPr>
            </w:pPr>
          </w:p>
        </w:tc>
        <w:tc>
          <w:tcPr>
            <w:tcW w:w="720" w:type="dxa"/>
            <w:vAlign w:val="bottom"/>
            <w:tcBorders>
              <w:bottom w:val="single" w:sz="8" w:color="FEFEFE"/>
            </w:tcBorders>
            <w:shd w:val="clear" w:color="auto" w:fill="FEFEFE"/>
          </w:tcPr>
          <w:p>
            <w:pPr>
              <w:spacing w:after="0"/>
              <w:rPr>
                <w:sz w:val="15"/>
                <w:szCs w:val="15"/>
                <w:color w:val="auto"/>
              </w:rPr>
            </w:pPr>
          </w:p>
        </w:tc>
        <w:tc>
          <w:tcPr>
            <w:tcW w:w="180" w:type="dxa"/>
            <w:vAlign w:val="bottom"/>
            <w:tcBorders>
              <w:bottom w:val="single" w:sz="8" w:color="FEFEFE"/>
            </w:tcBorders>
            <w:shd w:val="clear" w:color="auto" w:fill="FEFEFE"/>
          </w:tcPr>
          <w:p>
            <w:pPr>
              <w:spacing w:after="0"/>
              <w:rPr>
                <w:sz w:val="15"/>
                <w:szCs w:val="15"/>
                <w:color w:val="auto"/>
              </w:rPr>
            </w:pPr>
          </w:p>
        </w:tc>
        <w:tc>
          <w:tcPr>
            <w:tcW w:w="80" w:type="dxa"/>
            <w:vAlign w:val="bottom"/>
            <w:tcBorders>
              <w:bottom w:val="single" w:sz="8" w:color="FEFEFE"/>
            </w:tcBorders>
            <w:shd w:val="clear" w:color="auto" w:fill="FEFEFE"/>
          </w:tcPr>
          <w:p>
            <w:pPr>
              <w:spacing w:after="0"/>
              <w:rPr>
                <w:sz w:val="15"/>
                <w:szCs w:val="15"/>
                <w:color w:val="auto"/>
              </w:rPr>
            </w:pPr>
          </w:p>
        </w:tc>
        <w:tc>
          <w:tcPr>
            <w:tcW w:w="6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54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240" w:type="dxa"/>
            <w:vAlign w:val="bottom"/>
            <w:tcBorders>
              <w:bottom w:val="single" w:sz="8" w:color="FEFEFE"/>
            </w:tcBorders>
            <w:shd w:val="clear" w:color="auto" w:fill="FEFEFE"/>
          </w:tcPr>
          <w:p>
            <w:pPr>
              <w:spacing w:after="0"/>
              <w:rPr>
                <w:sz w:val="15"/>
                <w:szCs w:val="15"/>
                <w:color w:val="auto"/>
              </w:rPr>
            </w:pPr>
          </w:p>
        </w:tc>
        <w:tc>
          <w:tcPr>
            <w:tcW w:w="60" w:type="dxa"/>
            <w:vAlign w:val="bottom"/>
            <w:tcBorders>
              <w:bottom w:val="single" w:sz="8" w:color="FEFEFE"/>
            </w:tcBorders>
            <w:shd w:val="clear" w:color="auto" w:fill="FEFEFE"/>
          </w:tcPr>
          <w:p>
            <w:pPr>
              <w:spacing w:after="0"/>
              <w:rPr>
                <w:sz w:val="15"/>
                <w:szCs w:val="15"/>
                <w:color w:val="auto"/>
              </w:rPr>
            </w:pPr>
          </w:p>
        </w:tc>
        <w:tc>
          <w:tcPr>
            <w:tcW w:w="8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60" w:type="dxa"/>
            <w:vAlign w:val="bottom"/>
            <w:tcBorders>
              <w:bottom w:val="single" w:sz="8" w:color="FEFEFE"/>
            </w:tcBorders>
            <w:shd w:val="clear" w:color="auto" w:fill="FEFEFE"/>
          </w:tcPr>
          <w:p>
            <w:pPr>
              <w:spacing w:after="0"/>
              <w:rPr>
                <w:sz w:val="15"/>
                <w:szCs w:val="15"/>
                <w:color w:val="auto"/>
              </w:rPr>
            </w:pPr>
          </w:p>
        </w:tc>
        <w:tc>
          <w:tcPr>
            <w:tcW w:w="80" w:type="dxa"/>
            <w:vAlign w:val="bottom"/>
            <w:tcBorders>
              <w:bottom w:val="single" w:sz="8" w:color="FEFEFE"/>
            </w:tcBorders>
            <w:shd w:val="clear" w:color="auto" w:fill="FEFEFE"/>
          </w:tcPr>
          <w:p>
            <w:pPr>
              <w:spacing w:after="0"/>
              <w:rPr>
                <w:sz w:val="15"/>
                <w:szCs w:val="15"/>
                <w:color w:val="auto"/>
              </w:rPr>
            </w:pPr>
          </w:p>
        </w:tc>
        <w:tc>
          <w:tcPr>
            <w:tcW w:w="14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40" w:type="dxa"/>
            <w:vAlign w:val="bottom"/>
            <w:tcBorders>
              <w:bottom w:val="single" w:sz="8" w:color="FEFEFE"/>
            </w:tcBorders>
            <w:shd w:val="clear" w:color="auto" w:fill="FEFEFE"/>
          </w:tcPr>
          <w:p>
            <w:pPr>
              <w:spacing w:after="0"/>
              <w:rPr>
                <w:sz w:val="15"/>
                <w:szCs w:val="15"/>
                <w:color w:val="auto"/>
              </w:rPr>
            </w:pPr>
          </w:p>
        </w:tc>
        <w:tc>
          <w:tcPr>
            <w:tcW w:w="6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760" w:type="dxa"/>
            <w:vAlign w:val="bottom"/>
            <w:tcBorders>
              <w:bottom w:val="single" w:sz="8" w:color="FEFEFE"/>
            </w:tcBorders>
            <w:shd w:val="clear" w:color="auto" w:fill="FEFEFE"/>
          </w:tcPr>
          <w:p>
            <w:pPr>
              <w:spacing w:after="0"/>
              <w:rPr>
                <w:sz w:val="15"/>
                <w:szCs w:val="15"/>
                <w:color w:val="auto"/>
              </w:rPr>
            </w:pPr>
          </w:p>
        </w:tc>
        <w:tc>
          <w:tcPr>
            <w:tcW w:w="740" w:type="dxa"/>
            <w:vAlign w:val="bottom"/>
            <w:tcBorders>
              <w:bottom w:val="single" w:sz="8" w:color="FEFEFE"/>
            </w:tcBorders>
            <w:shd w:val="clear" w:color="auto" w:fill="FEFEFE"/>
          </w:tcPr>
          <w:p>
            <w:pPr>
              <w:spacing w:after="0"/>
              <w:rPr>
                <w:sz w:val="15"/>
                <w:szCs w:val="15"/>
                <w:color w:val="auto"/>
              </w:rPr>
            </w:pPr>
          </w:p>
        </w:tc>
        <w:tc>
          <w:tcPr>
            <w:tcW w:w="420" w:type="dxa"/>
            <w:vAlign w:val="bottom"/>
            <w:tcBorders>
              <w:bottom w:val="single" w:sz="8" w:color="FEFEFE"/>
            </w:tcBorders>
            <w:shd w:val="clear" w:color="auto" w:fill="FEFEFE"/>
          </w:tcPr>
          <w:p>
            <w:pPr>
              <w:spacing w:after="0"/>
              <w:rPr>
                <w:sz w:val="15"/>
                <w:szCs w:val="15"/>
                <w:color w:val="auto"/>
              </w:rPr>
            </w:pPr>
          </w:p>
        </w:tc>
        <w:tc>
          <w:tcPr>
            <w:tcW w:w="560" w:type="dxa"/>
            <w:vAlign w:val="bottom"/>
            <w:tcBorders>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FEFEFE"/>
            </w:tcBorders>
            <w:shd w:val="clear" w:color="auto" w:fill="E4E4E4"/>
          </w:tcPr>
          <w:p>
            <w:pPr>
              <w:ind w:left="160"/>
              <w:spacing w:after="0"/>
              <w:rPr>
                <w:sz w:val="20"/>
                <w:szCs w:val="20"/>
                <w:color w:val="auto"/>
              </w:rPr>
            </w:pPr>
            <w:r>
              <w:rPr>
                <w:rFonts w:ascii="Arial" w:cs="Arial" w:eastAsia="Arial" w:hAnsi="Arial"/>
                <w:sz w:val="18"/>
                <w:szCs w:val="18"/>
                <w:color w:val="auto"/>
              </w:rPr>
              <w:t>10.23</w:t>
            </w:r>
          </w:p>
        </w:tc>
        <w:tc>
          <w:tcPr>
            <w:tcW w:w="2400" w:type="dxa"/>
            <w:vAlign w:val="bottom"/>
            <w:tcBorders>
              <w:top w:val="single" w:sz="8" w:color="FEFEFE"/>
            </w:tcBorders>
            <w:gridSpan w:val="14"/>
            <w:shd w:val="clear" w:color="auto" w:fill="E4E4E4"/>
          </w:tcPr>
          <w:p>
            <w:pPr>
              <w:spacing w:after="0"/>
              <w:rPr>
                <w:sz w:val="20"/>
                <w:szCs w:val="20"/>
                <w:color w:val="auto"/>
              </w:rPr>
            </w:pPr>
            <w:r>
              <w:rPr>
                <w:rFonts w:ascii="Arial" w:cs="Arial" w:eastAsia="Arial" w:hAnsi="Arial"/>
                <w:sz w:val="18"/>
                <w:szCs w:val="18"/>
                <w:color w:val="303030"/>
                <w:w w:val="95"/>
              </w:rPr>
              <w:t>The Stock Incentive Plan (2022</w:t>
            </w:r>
          </w:p>
        </w:tc>
        <w:tc>
          <w:tcPr>
            <w:tcW w:w="1000" w:type="dxa"/>
            <w:vAlign w:val="bottom"/>
            <w:tcBorders>
              <w:top w:val="single" w:sz="8" w:color="FEFEFE"/>
            </w:tcBorders>
            <w:gridSpan w:val="7"/>
            <w:shd w:val="clear" w:color="auto" w:fill="E4E4E4"/>
          </w:tcPr>
          <w:p>
            <w:pPr>
              <w:ind w:left="40"/>
              <w:spacing w:after="0"/>
              <w:rPr>
                <w:sz w:val="20"/>
                <w:szCs w:val="20"/>
                <w:color w:val="auto"/>
              </w:rPr>
            </w:pPr>
            <w:r>
              <w:rPr>
                <w:rFonts w:ascii="Arial" w:cs="Arial" w:eastAsia="Arial" w:hAnsi="Arial"/>
                <w:sz w:val="18"/>
                <w:szCs w:val="18"/>
                <w:color w:val="303030"/>
                <w:w w:val="98"/>
              </w:rPr>
              <w:t>estatement)</w:t>
            </w:r>
          </w:p>
        </w:tc>
        <w:tc>
          <w:tcPr>
            <w:tcW w:w="220" w:type="dxa"/>
            <w:vAlign w:val="bottom"/>
            <w:tcBorders>
              <w:top w:val="single" w:sz="8" w:color="FEFEFE"/>
            </w:tcBorders>
            <w:shd w:val="clear" w:color="auto" w:fill="E4E4E4"/>
          </w:tcPr>
          <w:p>
            <w:pPr>
              <w:spacing w:after="0"/>
              <w:rPr>
                <w:sz w:val="18"/>
                <w:szCs w:val="18"/>
                <w:color w:val="auto"/>
              </w:rPr>
            </w:pPr>
          </w:p>
        </w:tc>
        <w:tc>
          <w:tcPr>
            <w:tcW w:w="240" w:type="dxa"/>
            <w:vAlign w:val="bottom"/>
            <w:tcBorders>
              <w:top w:val="single" w:sz="8" w:color="FEFEFE"/>
            </w:tcBorders>
            <w:shd w:val="clear" w:color="auto" w:fill="E4E4E4"/>
          </w:tcPr>
          <w:p>
            <w:pPr>
              <w:spacing w:after="0"/>
              <w:rPr>
                <w:sz w:val="18"/>
                <w:szCs w:val="18"/>
                <w:color w:val="auto"/>
              </w:rPr>
            </w:pPr>
          </w:p>
        </w:tc>
        <w:tc>
          <w:tcPr>
            <w:tcW w:w="720" w:type="dxa"/>
            <w:vAlign w:val="bottom"/>
            <w:tcBorders>
              <w:top w:val="single" w:sz="8" w:color="FEFEFE"/>
            </w:tcBorders>
            <w:shd w:val="clear" w:color="auto" w:fill="E4E4E4"/>
          </w:tcPr>
          <w:p>
            <w:pPr>
              <w:spacing w:after="0"/>
              <w:rPr>
                <w:sz w:val="18"/>
                <w:szCs w:val="18"/>
                <w:color w:val="auto"/>
              </w:rPr>
            </w:pPr>
          </w:p>
        </w:tc>
        <w:tc>
          <w:tcPr>
            <w:tcW w:w="180" w:type="dxa"/>
            <w:vAlign w:val="bottom"/>
            <w:tcBorders>
              <w:top w:val="single" w:sz="8" w:color="FEFEFE"/>
            </w:tcBorders>
            <w:shd w:val="clear" w:color="auto" w:fill="E4E4E4"/>
          </w:tcPr>
          <w:p>
            <w:pPr>
              <w:spacing w:after="0"/>
              <w:rPr>
                <w:sz w:val="18"/>
                <w:szCs w:val="18"/>
                <w:color w:val="auto"/>
              </w:rPr>
            </w:pPr>
          </w:p>
        </w:tc>
        <w:tc>
          <w:tcPr>
            <w:tcW w:w="80" w:type="dxa"/>
            <w:vAlign w:val="bottom"/>
            <w:tcBorders>
              <w:top w:val="single" w:sz="8" w:color="FEFEFE"/>
            </w:tcBorders>
            <w:shd w:val="clear" w:color="auto" w:fill="E4E4E4"/>
          </w:tcPr>
          <w:p>
            <w:pPr>
              <w:spacing w:after="0"/>
              <w:rPr>
                <w:sz w:val="18"/>
                <w:szCs w:val="18"/>
                <w:color w:val="auto"/>
              </w:rPr>
            </w:pPr>
          </w:p>
        </w:tc>
        <w:tc>
          <w:tcPr>
            <w:tcW w:w="60" w:type="dxa"/>
            <w:vAlign w:val="bottom"/>
            <w:tcBorders>
              <w:top w:val="single" w:sz="8" w:color="FEFEFE"/>
            </w:tcBorders>
            <w:shd w:val="clear" w:color="auto" w:fill="E4E4E4"/>
          </w:tcPr>
          <w:p>
            <w:pPr>
              <w:spacing w:after="0"/>
              <w:rPr>
                <w:sz w:val="18"/>
                <w:szCs w:val="18"/>
                <w:color w:val="auto"/>
              </w:rPr>
            </w:pPr>
          </w:p>
        </w:tc>
        <w:tc>
          <w:tcPr>
            <w:tcW w:w="40" w:type="dxa"/>
            <w:vAlign w:val="bottom"/>
            <w:tcBorders>
              <w:top w:val="single" w:sz="8" w:color="FEFEFE"/>
            </w:tcBorders>
            <w:shd w:val="clear" w:color="auto" w:fill="E4E4E4"/>
          </w:tcPr>
          <w:p>
            <w:pPr>
              <w:spacing w:after="0"/>
              <w:rPr>
                <w:sz w:val="18"/>
                <w:szCs w:val="18"/>
                <w:color w:val="auto"/>
              </w:rPr>
            </w:pPr>
          </w:p>
        </w:tc>
        <w:tc>
          <w:tcPr>
            <w:tcW w:w="540" w:type="dxa"/>
            <w:vAlign w:val="bottom"/>
            <w:tcBorders>
              <w:top w:val="single" w:sz="8" w:color="FEFEFE"/>
            </w:tcBorders>
            <w:shd w:val="clear" w:color="auto" w:fill="E4E4E4"/>
          </w:tcPr>
          <w:p>
            <w:pPr>
              <w:spacing w:after="0"/>
              <w:rPr>
                <w:sz w:val="18"/>
                <w:szCs w:val="18"/>
                <w:color w:val="auto"/>
              </w:rPr>
            </w:pPr>
          </w:p>
        </w:tc>
        <w:tc>
          <w:tcPr>
            <w:tcW w:w="120" w:type="dxa"/>
            <w:vAlign w:val="bottom"/>
            <w:tcBorders>
              <w:top w:val="single" w:sz="8" w:color="FEFEFE"/>
            </w:tcBorders>
            <w:shd w:val="clear" w:color="auto" w:fill="E4E4E4"/>
          </w:tcPr>
          <w:p>
            <w:pPr>
              <w:spacing w:after="0"/>
              <w:rPr>
                <w:sz w:val="18"/>
                <w:szCs w:val="18"/>
                <w:color w:val="auto"/>
              </w:rPr>
            </w:pPr>
          </w:p>
        </w:tc>
        <w:tc>
          <w:tcPr>
            <w:tcW w:w="240" w:type="dxa"/>
            <w:vAlign w:val="bottom"/>
            <w:tcBorders>
              <w:top w:val="single" w:sz="8" w:color="FEFEFE"/>
            </w:tcBorders>
            <w:shd w:val="clear" w:color="auto" w:fill="E4E4E4"/>
          </w:tcPr>
          <w:p>
            <w:pPr>
              <w:spacing w:after="0"/>
              <w:rPr>
                <w:sz w:val="18"/>
                <w:szCs w:val="18"/>
                <w:color w:val="auto"/>
              </w:rPr>
            </w:pPr>
          </w:p>
        </w:tc>
        <w:tc>
          <w:tcPr>
            <w:tcW w:w="60" w:type="dxa"/>
            <w:vAlign w:val="bottom"/>
            <w:tcBorders>
              <w:top w:val="single" w:sz="8" w:color="FEFEFE"/>
            </w:tcBorders>
            <w:shd w:val="clear" w:color="auto" w:fill="E4E4E4"/>
          </w:tcPr>
          <w:p>
            <w:pPr>
              <w:spacing w:after="0"/>
              <w:rPr>
                <w:sz w:val="18"/>
                <w:szCs w:val="18"/>
                <w:color w:val="auto"/>
              </w:rPr>
            </w:pPr>
          </w:p>
        </w:tc>
        <w:tc>
          <w:tcPr>
            <w:tcW w:w="80" w:type="dxa"/>
            <w:vAlign w:val="bottom"/>
            <w:tcBorders>
              <w:top w:val="single" w:sz="8" w:color="FEFEFE"/>
            </w:tcBorders>
            <w:shd w:val="clear" w:color="auto" w:fill="E4E4E4"/>
          </w:tcPr>
          <w:p>
            <w:pPr>
              <w:spacing w:after="0"/>
              <w:rPr>
                <w:sz w:val="18"/>
                <w:szCs w:val="18"/>
                <w:color w:val="auto"/>
              </w:rPr>
            </w:pPr>
          </w:p>
        </w:tc>
        <w:tc>
          <w:tcPr>
            <w:tcW w:w="1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60" w:type="dxa"/>
            <w:vAlign w:val="bottom"/>
            <w:tcBorders>
              <w:top w:val="single" w:sz="8" w:color="FEFEFE"/>
            </w:tcBorders>
            <w:shd w:val="clear" w:color="auto" w:fill="E4E4E4"/>
          </w:tcPr>
          <w:p>
            <w:pPr>
              <w:spacing w:after="0"/>
              <w:rPr>
                <w:sz w:val="18"/>
                <w:szCs w:val="18"/>
                <w:color w:val="auto"/>
              </w:rPr>
            </w:pPr>
          </w:p>
        </w:tc>
        <w:tc>
          <w:tcPr>
            <w:tcW w:w="80" w:type="dxa"/>
            <w:vAlign w:val="bottom"/>
            <w:tcBorders>
              <w:top w:val="single" w:sz="8" w:color="FEFEFE"/>
            </w:tcBorders>
            <w:shd w:val="clear" w:color="auto" w:fill="E4E4E4"/>
          </w:tcPr>
          <w:p>
            <w:pPr>
              <w:spacing w:after="0"/>
              <w:rPr>
                <w:sz w:val="18"/>
                <w:szCs w:val="18"/>
                <w:color w:val="auto"/>
              </w:rPr>
            </w:pPr>
          </w:p>
        </w:tc>
        <w:tc>
          <w:tcPr>
            <w:tcW w:w="14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1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40" w:type="dxa"/>
            <w:vAlign w:val="bottom"/>
            <w:tcBorders>
              <w:top w:val="single" w:sz="8" w:color="FEFEFE"/>
            </w:tcBorders>
            <w:shd w:val="clear" w:color="auto" w:fill="E4E4E4"/>
          </w:tcPr>
          <w:p>
            <w:pPr>
              <w:spacing w:after="0"/>
              <w:rPr>
                <w:sz w:val="18"/>
                <w:szCs w:val="18"/>
                <w:color w:val="auto"/>
              </w:rPr>
            </w:pPr>
          </w:p>
        </w:tc>
        <w:tc>
          <w:tcPr>
            <w:tcW w:w="40" w:type="dxa"/>
            <w:vAlign w:val="bottom"/>
            <w:tcBorders>
              <w:top w:val="single" w:sz="8" w:color="FEFEFE"/>
            </w:tcBorders>
            <w:shd w:val="clear" w:color="auto" w:fill="E4E4E4"/>
          </w:tcPr>
          <w:p>
            <w:pPr>
              <w:spacing w:after="0"/>
              <w:rPr>
                <w:sz w:val="18"/>
                <w:szCs w:val="18"/>
                <w:color w:val="auto"/>
              </w:rPr>
            </w:pPr>
          </w:p>
        </w:tc>
        <w:tc>
          <w:tcPr>
            <w:tcW w:w="6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780" w:type="dxa"/>
            <w:vAlign w:val="bottom"/>
            <w:tcBorders>
              <w:top w:val="single" w:sz="8" w:color="FEFEFE"/>
            </w:tcBorders>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FEFEFE"/>
            </w:tcBorders>
            <w:shd w:val="clear" w:color="auto" w:fill="E4E4E4"/>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Borders>
              <w:top w:val="single" w:sz="8" w:color="FEFEFE"/>
            </w:tcBorders>
            <w:gridSpan w:val="2"/>
            <w:shd w:val="clear" w:color="auto" w:fill="E4E4E4"/>
          </w:tcPr>
          <w:p>
            <w:pPr>
              <w:ind w:left="120"/>
              <w:spacing w:after="0"/>
              <w:rPr>
                <w:sz w:val="20"/>
                <w:szCs w:val="20"/>
                <w:color w:val="auto"/>
              </w:rPr>
            </w:pPr>
            <w:r>
              <w:rPr>
                <w:rFonts w:ascii="Arial" w:cs="Arial" w:eastAsia="Arial" w:hAnsi="Arial"/>
                <w:sz w:val="18"/>
                <w:szCs w:val="18"/>
                <w:color w:val="auto"/>
              </w:rPr>
              <w:t>8 26 2022</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3340" w:type="dxa"/>
            <w:vAlign w:val="bottom"/>
            <w:tcBorders>
              <w:top w:val="single" w:sz="8" w:color="303030"/>
            </w:tcBorders>
            <w:gridSpan w:val="19"/>
            <w:shd w:val="clear" w:color="auto" w:fill="E4E4E4"/>
          </w:tcPr>
          <w:p>
            <w:pPr>
              <w:spacing w:after="0"/>
              <w:rPr>
                <w:sz w:val="4"/>
                <w:szCs w:val="4"/>
                <w:color w:val="auto"/>
              </w:rPr>
            </w:pPr>
          </w:p>
        </w:tc>
        <w:tc>
          <w:tcPr>
            <w:tcW w:w="5960" w:type="dxa"/>
            <w:vAlign w:val="bottom"/>
            <w:tcBorders>
              <w:top w:val="single" w:sz="8" w:color="E4E4E4"/>
            </w:tcBorders>
            <w:gridSpan w:val="35"/>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10.24</w:t>
            </w:r>
          </w:p>
        </w:tc>
        <w:tc>
          <w:tcPr>
            <w:tcW w:w="6820" w:type="dxa"/>
            <w:vAlign w:val="bottom"/>
            <w:gridSpan w:val="50"/>
            <w:shd w:val="clear" w:color="auto" w:fill="FEFEFE"/>
          </w:tcPr>
          <w:p>
            <w:pPr>
              <w:spacing w:after="0"/>
              <w:rPr>
                <w:sz w:val="20"/>
                <w:szCs w:val="20"/>
                <w:color w:val="auto"/>
              </w:rPr>
            </w:pPr>
            <w:r>
              <w:rPr>
                <w:rFonts w:ascii="Arial" w:cs="Arial" w:eastAsia="Arial" w:hAnsi="Arial"/>
                <w:sz w:val="18"/>
                <w:szCs w:val="18"/>
                <w:color w:val="303030"/>
                <w:w w:val="92"/>
              </w:rPr>
              <w:t>The First Amendment to the Stock Incentive Plan (2022  estatement) effective as of January</w:t>
            </w:r>
          </w:p>
        </w:tc>
        <w:tc>
          <w:tcPr>
            <w:tcW w:w="20" w:type="dxa"/>
            <w:vAlign w:val="bottom"/>
            <w:shd w:val="clear" w:color="auto" w:fill="FEFEFE"/>
          </w:tcPr>
          <w:p>
            <w:pPr>
              <w:spacing w:after="0"/>
              <w:rPr>
                <w:sz w:val="18"/>
                <w:szCs w:val="18"/>
                <w:color w:val="auto"/>
              </w:rPr>
            </w:pPr>
          </w:p>
        </w:tc>
        <w:tc>
          <w:tcPr>
            <w:tcW w:w="760" w:type="dxa"/>
            <w:vAlign w:val="bottom"/>
            <w:shd w:val="clear" w:color="auto" w:fill="FEFEFE"/>
          </w:tcPr>
          <w:p>
            <w:pPr>
              <w:spacing w:after="0"/>
              <w:rPr>
                <w:sz w:val="18"/>
                <w:szCs w:val="18"/>
                <w:color w:val="auto"/>
              </w:rPr>
            </w:pPr>
          </w:p>
        </w:tc>
        <w:tc>
          <w:tcPr>
            <w:tcW w:w="740" w:type="dxa"/>
            <w:vAlign w:val="bottom"/>
            <w:shd w:val="clear" w:color="auto" w:fill="FEFEFE"/>
          </w:tcPr>
          <w:p>
            <w:pPr>
              <w:spacing w:after="0"/>
              <w:rPr>
                <w:sz w:val="18"/>
                <w:szCs w:val="18"/>
                <w:color w:val="auto"/>
              </w:rPr>
            </w:pPr>
          </w:p>
        </w:tc>
        <w:tc>
          <w:tcPr>
            <w:tcW w:w="420" w:type="dxa"/>
            <w:vAlign w:val="bottom"/>
            <w:shd w:val="clear" w:color="auto" w:fill="FEFEFE"/>
          </w:tcPr>
          <w:p>
            <w:pPr>
              <w:spacing w:after="0"/>
              <w:rPr>
                <w:sz w:val="18"/>
                <w:szCs w:val="18"/>
                <w:color w:val="auto"/>
              </w:rPr>
            </w:pPr>
          </w:p>
        </w:tc>
        <w:tc>
          <w:tcPr>
            <w:tcW w:w="56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1860" w:type="dxa"/>
            <w:vAlign w:val="bottom"/>
            <w:tcBorders>
              <w:top w:val="single" w:sz="8" w:color="303030"/>
            </w:tcBorders>
            <w:gridSpan w:val="12"/>
            <w:shd w:val="clear" w:color="auto" w:fill="FEFEFE"/>
          </w:tcPr>
          <w:p>
            <w:pPr>
              <w:spacing w:after="0" w:line="160" w:lineRule="exact"/>
              <w:rPr>
                <w:sz w:val="20"/>
                <w:szCs w:val="20"/>
                <w:color w:val="auto"/>
              </w:rPr>
            </w:pPr>
            <w:r>
              <w:rPr>
                <w:rFonts w:ascii="Arial" w:cs="Arial" w:eastAsia="Arial" w:hAnsi="Arial"/>
                <w:sz w:val="18"/>
                <w:szCs w:val="18"/>
                <w:color w:val="303030"/>
                <w:w w:val="98"/>
              </w:rPr>
              <w:t>30, 2026, filed herewith</w:t>
            </w:r>
          </w:p>
        </w:tc>
        <w:tc>
          <w:tcPr>
            <w:tcW w:w="34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20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2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72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5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4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420" w:type="dxa"/>
            <w:vAlign w:val="bottom"/>
            <w:tcBorders>
              <w:top w:val="single" w:sz="8" w:color="FEFEFE"/>
            </w:tcBorders>
            <w:shd w:val="clear" w:color="auto" w:fill="FEFEFE"/>
          </w:tcPr>
          <w:p>
            <w:pPr>
              <w:spacing w:after="0"/>
              <w:rPr>
                <w:sz w:val="13"/>
                <w:szCs w:val="13"/>
                <w:color w:val="auto"/>
              </w:rPr>
            </w:pPr>
          </w:p>
        </w:tc>
        <w:tc>
          <w:tcPr>
            <w:tcW w:w="5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1800" w:type="dxa"/>
            <w:vAlign w:val="bottom"/>
            <w:tcBorders>
              <w:top w:val="single" w:sz="8" w:color="303030"/>
            </w:tcBorders>
            <w:gridSpan w:val="10"/>
            <w:shd w:val="clear" w:color="auto" w:fill="FEFEFE"/>
          </w:tcPr>
          <w:p>
            <w:pPr>
              <w:spacing w:after="0"/>
              <w:rPr>
                <w:sz w:val="4"/>
                <w:szCs w:val="4"/>
                <w:color w:val="auto"/>
              </w:rPr>
            </w:pPr>
          </w:p>
        </w:tc>
        <w:tc>
          <w:tcPr>
            <w:tcW w:w="7500" w:type="dxa"/>
            <w:vAlign w:val="bottom"/>
            <w:tcBorders>
              <w:top w:val="single" w:sz="8" w:color="FEFEFE"/>
            </w:tcBorders>
            <w:gridSpan w:val="44"/>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10.25</w:t>
            </w:r>
          </w:p>
        </w:tc>
        <w:tc>
          <w:tcPr>
            <w:tcW w:w="1860" w:type="dxa"/>
            <w:vAlign w:val="bottom"/>
            <w:gridSpan w:val="12"/>
            <w:shd w:val="clear" w:color="auto" w:fill="E4E4E4"/>
          </w:tcPr>
          <w:p>
            <w:pPr>
              <w:spacing w:after="0"/>
              <w:rPr>
                <w:sz w:val="20"/>
                <w:szCs w:val="20"/>
                <w:color w:val="auto"/>
              </w:rPr>
            </w:pPr>
            <w:r>
              <w:rPr>
                <w:rFonts w:ascii="Arial" w:cs="Arial" w:eastAsia="Arial" w:hAnsi="Arial"/>
                <w:sz w:val="18"/>
                <w:szCs w:val="18"/>
                <w:color w:val="303030"/>
                <w:w w:val="92"/>
              </w:rPr>
              <w:t>The Stock Incentive Plan</w:t>
            </w:r>
          </w:p>
        </w:tc>
        <w:tc>
          <w:tcPr>
            <w:tcW w:w="720" w:type="dxa"/>
            <w:vAlign w:val="bottom"/>
            <w:gridSpan w:val="3"/>
            <w:shd w:val="clear" w:color="auto" w:fill="E4E4E4"/>
          </w:tcPr>
          <w:p>
            <w:pPr>
              <w:ind w:left="120"/>
              <w:spacing w:after="0"/>
              <w:rPr>
                <w:sz w:val="20"/>
                <w:szCs w:val="20"/>
                <w:color w:val="auto"/>
              </w:rPr>
            </w:pPr>
            <w:r>
              <w:rPr>
                <w:rFonts w:ascii="Arial" w:cs="Arial" w:eastAsia="Arial" w:hAnsi="Arial"/>
                <w:sz w:val="18"/>
                <w:szCs w:val="18"/>
                <w:color w:val="303030"/>
                <w:w w:val="98"/>
              </w:rPr>
              <w:t>ules for</w:t>
            </w:r>
          </w:p>
        </w:tc>
        <w:tc>
          <w:tcPr>
            <w:tcW w:w="40" w:type="dxa"/>
            <w:vAlign w:val="bottom"/>
            <w:shd w:val="clear" w:color="auto" w:fill="E4E4E4"/>
          </w:tcPr>
          <w:p>
            <w:pPr>
              <w:spacing w:after="0"/>
              <w:rPr>
                <w:sz w:val="18"/>
                <w:szCs w:val="18"/>
                <w:color w:val="auto"/>
              </w:rPr>
            </w:pPr>
          </w:p>
        </w:tc>
        <w:tc>
          <w:tcPr>
            <w:tcW w:w="3220" w:type="dxa"/>
            <w:vAlign w:val="bottom"/>
            <w:gridSpan w:val="15"/>
            <w:shd w:val="clear" w:color="auto" w:fill="E4E4E4"/>
          </w:tcPr>
          <w:p>
            <w:pPr>
              <w:ind w:left="80"/>
              <w:spacing w:after="0"/>
              <w:rPr>
                <w:sz w:val="20"/>
                <w:szCs w:val="20"/>
                <w:color w:val="auto"/>
              </w:rPr>
            </w:pPr>
            <w:r>
              <w:rPr>
                <w:rFonts w:ascii="Arial" w:cs="Arial" w:eastAsia="Arial" w:hAnsi="Arial"/>
                <w:sz w:val="18"/>
                <w:szCs w:val="18"/>
                <w:color w:val="303030"/>
                <w:w w:val="90"/>
              </w:rPr>
              <w:t>.  . Employees, effective as of September 1</w:t>
            </w:r>
          </w:p>
        </w:tc>
        <w:tc>
          <w:tcPr>
            <w:tcW w:w="580" w:type="dxa"/>
            <w:vAlign w:val="bottom"/>
            <w:gridSpan w:val="8"/>
            <w:shd w:val="clear" w:color="auto" w:fill="E4E4E4"/>
          </w:tcPr>
          <w:p>
            <w:pPr>
              <w:jc w:val="right"/>
              <w:spacing w:after="0"/>
              <w:rPr>
                <w:sz w:val="20"/>
                <w:szCs w:val="20"/>
                <w:color w:val="auto"/>
              </w:rPr>
            </w:pPr>
            <w:r>
              <w:rPr>
                <w:rFonts w:ascii="Arial" w:cs="Arial" w:eastAsia="Arial" w:hAnsi="Arial"/>
                <w:sz w:val="18"/>
                <w:szCs w:val="18"/>
                <w:color w:val="303030"/>
                <w:w w:val="99"/>
              </w:rPr>
              <w:t>, 2022</w:t>
            </w: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10.3</w:t>
            </w:r>
          </w:p>
        </w:tc>
        <w:tc>
          <w:tcPr>
            <w:tcW w:w="420" w:type="dxa"/>
            <w:vAlign w:val="bottom"/>
            <w:shd w:val="clear" w:color="auto" w:fill="E4E4E4"/>
          </w:tcPr>
          <w:p>
            <w:pPr>
              <w:ind w:left="80"/>
              <w:spacing w:after="0"/>
              <w:rPr>
                <w:sz w:val="20"/>
                <w:szCs w:val="20"/>
                <w:color w:val="auto"/>
              </w:rPr>
            </w:pPr>
            <w:r>
              <w:rPr>
                <w:rFonts w:ascii="Arial" w:cs="Arial" w:eastAsia="Arial" w:hAnsi="Arial"/>
                <w:sz w:val="18"/>
                <w:szCs w:val="18"/>
                <w:color w:val="auto"/>
                <w:w w:val="91"/>
              </w:rPr>
              <w:t>11 2</w:t>
            </w:r>
          </w:p>
        </w:tc>
        <w:tc>
          <w:tcPr>
            <w:tcW w:w="560" w:type="dxa"/>
            <w:vAlign w:val="bottom"/>
            <w:shd w:val="clear" w:color="auto" w:fill="E4E4E4"/>
          </w:tcPr>
          <w:p>
            <w:pPr>
              <w:ind w:left="1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6440" w:type="dxa"/>
            <w:vAlign w:val="bottom"/>
            <w:tcBorders>
              <w:top w:val="single" w:sz="8" w:color="303030"/>
            </w:tcBorders>
            <w:gridSpan w:val="40"/>
            <w:shd w:val="clear" w:color="auto" w:fill="E4E4E4"/>
          </w:tcPr>
          <w:p>
            <w:pPr>
              <w:spacing w:after="0"/>
              <w:rPr>
                <w:sz w:val="4"/>
                <w:szCs w:val="4"/>
                <w:color w:val="auto"/>
              </w:rPr>
            </w:pPr>
          </w:p>
        </w:tc>
        <w:tc>
          <w:tcPr>
            <w:tcW w:w="2860" w:type="dxa"/>
            <w:vAlign w:val="bottom"/>
            <w:tcBorders>
              <w:top w:val="single" w:sz="8" w:color="E4E4E4"/>
            </w:tcBorders>
            <w:gridSpan w:val="14"/>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10.26</w:t>
            </w:r>
          </w:p>
        </w:tc>
        <w:tc>
          <w:tcPr>
            <w:tcW w:w="2580" w:type="dxa"/>
            <w:vAlign w:val="bottom"/>
            <w:gridSpan w:val="15"/>
            <w:shd w:val="clear" w:color="auto" w:fill="FEFEFE"/>
          </w:tcPr>
          <w:p>
            <w:pPr>
              <w:spacing w:after="0"/>
              <w:rPr>
                <w:sz w:val="20"/>
                <w:szCs w:val="20"/>
                <w:color w:val="auto"/>
              </w:rPr>
            </w:pPr>
            <w:r>
              <w:rPr>
                <w:rFonts w:ascii="Arial" w:cs="Arial" w:eastAsia="Arial" w:hAnsi="Arial"/>
                <w:sz w:val="18"/>
                <w:szCs w:val="18"/>
                <w:color w:val="303030"/>
                <w:w w:val="98"/>
              </w:rPr>
              <w:t>The Form of Non-  ualified Stock</w:t>
            </w:r>
          </w:p>
        </w:tc>
        <w:tc>
          <w:tcPr>
            <w:tcW w:w="40" w:type="dxa"/>
            <w:vAlign w:val="bottom"/>
            <w:shd w:val="clear" w:color="auto" w:fill="FEFEFE"/>
          </w:tcPr>
          <w:p>
            <w:pPr>
              <w:spacing w:after="0"/>
              <w:rPr>
                <w:sz w:val="18"/>
                <w:szCs w:val="18"/>
                <w:color w:val="auto"/>
              </w:rPr>
            </w:pPr>
          </w:p>
        </w:tc>
        <w:tc>
          <w:tcPr>
            <w:tcW w:w="4200" w:type="dxa"/>
            <w:vAlign w:val="bottom"/>
            <w:gridSpan w:val="34"/>
            <w:shd w:val="clear" w:color="auto" w:fill="FEFEFE"/>
          </w:tcPr>
          <w:p>
            <w:pPr>
              <w:ind w:left="20"/>
              <w:spacing w:after="0"/>
              <w:rPr>
                <w:sz w:val="20"/>
                <w:szCs w:val="20"/>
                <w:color w:val="auto"/>
              </w:rPr>
            </w:pPr>
            <w:r>
              <w:rPr>
                <w:rFonts w:ascii="Arial" w:cs="Arial" w:eastAsia="Arial" w:hAnsi="Arial"/>
                <w:sz w:val="18"/>
                <w:szCs w:val="18"/>
                <w:color w:val="303030"/>
                <w:w w:val="99"/>
              </w:rPr>
              <w:t>ption Terms and Conditions granted under the Stock</w:t>
            </w:r>
          </w:p>
        </w:tc>
        <w:tc>
          <w:tcPr>
            <w:tcW w:w="780" w:type="dxa"/>
            <w:vAlign w:val="bottom"/>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10.2</w:t>
            </w:r>
          </w:p>
        </w:tc>
        <w:tc>
          <w:tcPr>
            <w:tcW w:w="980" w:type="dxa"/>
            <w:vAlign w:val="bottom"/>
            <w:gridSpan w:val="2"/>
            <w:shd w:val="clear" w:color="auto" w:fill="FEFEFE"/>
          </w:tcPr>
          <w:p>
            <w:pPr>
              <w:ind w:left="120"/>
              <w:spacing w:after="0"/>
              <w:rPr>
                <w:sz w:val="20"/>
                <w:szCs w:val="20"/>
                <w:color w:val="auto"/>
              </w:rPr>
            </w:pPr>
            <w:r>
              <w:rPr>
                <w:rFonts w:ascii="Arial" w:cs="Arial" w:eastAsia="Arial" w:hAnsi="Arial"/>
                <w:sz w:val="18"/>
                <w:szCs w:val="18"/>
                <w:color w:val="auto"/>
              </w:rPr>
              <w:t>12 1 2015</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3120" w:type="dxa"/>
            <w:vAlign w:val="bottom"/>
            <w:tcBorders>
              <w:top w:val="single" w:sz="8" w:color="303030"/>
            </w:tcBorders>
            <w:gridSpan w:val="19"/>
            <w:shd w:val="clear" w:color="auto" w:fill="FEFEFE"/>
          </w:tcPr>
          <w:p>
            <w:pPr>
              <w:spacing w:after="0" w:line="160" w:lineRule="exact"/>
              <w:rPr>
                <w:sz w:val="20"/>
                <w:szCs w:val="20"/>
                <w:color w:val="auto"/>
              </w:rPr>
            </w:pPr>
            <w:r>
              <w:rPr>
                <w:rFonts w:ascii="Arial" w:cs="Arial" w:eastAsia="Arial" w:hAnsi="Arial"/>
                <w:sz w:val="18"/>
                <w:szCs w:val="18"/>
                <w:color w:val="303030"/>
                <w:w w:val="95"/>
              </w:rPr>
              <w:t>Incentive Plan as of September 17, 2015</w:t>
            </w:r>
          </w:p>
        </w:tc>
        <w:tc>
          <w:tcPr>
            <w:tcW w:w="24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2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72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5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4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1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420" w:type="dxa"/>
            <w:vAlign w:val="bottom"/>
            <w:tcBorders>
              <w:top w:val="single" w:sz="8" w:color="FEFEFE"/>
            </w:tcBorders>
            <w:shd w:val="clear" w:color="auto" w:fill="FEFEFE"/>
          </w:tcPr>
          <w:p>
            <w:pPr>
              <w:spacing w:after="0"/>
              <w:rPr>
                <w:sz w:val="13"/>
                <w:szCs w:val="13"/>
                <w:color w:val="auto"/>
              </w:rPr>
            </w:pPr>
          </w:p>
        </w:tc>
        <w:tc>
          <w:tcPr>
            <w:tcW w:w="5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2980" w:type="dxa"/>
            <w:vAlign w:val="bottom"/>
            <w:tcBorders>
              <w:top w:val="single" w:sz="8" w:color="303030"/>
            </w:tcBorders>
            <w:gridSpan w:val="17"/>
            <w:shd w:val="clear" w:color="auto" w:fill="FEFEFE"/>
          </w:tcPr>
          <w:p>
            <w:pPr>
              <w:spacing w:after="0"/>
              <w:rPr>
                <w:sz w:val="4"/>
                <w:szCs w:val="4"/>
                <w:color w:val="auto"/>
              </w:rPr>
            </w:pPr>
          </w:p>
        </w:tc>
        <w:tc>
          <w:tcPr>
            <w:tcW w:w="6320" w:type="dxa"/>
            <w:vAlign w:val="bottom"/>
            <w:tcBorders>
              <w:top w:val="single" w:sz="8" w:color="FEFEFE"/>
            </w:tcBorders>
            <w:gridSpan w:val="37"/>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10.27</w:t>
            </w:r>
          </w:p>
        </w:tc>
        <w:tc>
          <w:tcPr>
            <w:tcW w:w="2580" w:type="dxa"/>
            <w:vAlign w:val="bottom"/>
            <w:gridSpan w:val="15"/>
            <w:shd w:val="clear" w:color="auto" w:fill="E4E4E4"/>
          </w:tcPr>
          <w:p>
            <w:pPr>
              <w:spacing w:after="0"/>
              <w:rPr>
                <w:sz w:val="20"/>
                <w:szCs w:val="20"/>
                <w:color w:val="auto"/>
              </w:rPr>
            </w:pPr>
            <w:r>
              <w:rPr>
                <w:rFonts w:ascii="Arial" w:cs="Arial" w:eastAsia="Arial" w:hAnsi="Arial"/>
                <w:sz w:val="18"/>
                <w:szCs w:val="18"/>
                <w:color w:val="303030"/>
                <w:w w:val="98"/>
              </w:rPr>
              <w:t>The Form of Non-  ualified Stock</w:t>
            </w:r>
          </w:p>
        </w:tc>
        <w:tc>
          <w:tcPr>
            <w:tcW w:w="40" w:type="dxa"/>
            <w:vAlign w:val="bottom"/>
            <w:shd w:val="clear" w:color="auto" w:fill="E4E4E4"/>
          </w:tcPr>
          <w:p>
            <w:pPr>
              <w:spacing w:after="0"/>
              <w:rPr>
                <w:sz w:val="18"/>
                <w:szCs w:val="18"/>
                <w:color w:val="auto"/>
              </w:rPr>
            </w:pPr>
          </w:p>
        </w:tc>
        <w:tc>
          <w:tcPr>
            <w:tcW w:w="4200" w:type="dxa"/>
            <w:vAlign w:val="bottom"/>
            <w:gridSpan w:val="34"/>
            <w:shd w:val="clear" w:color="auto" w:fill="E4E4E4"/>
          </w:tcPr>
          <w:p>
            <w:pPr>
              <w:ind w:left="20"/>
              <w:spacing w:after="0"/>
              <w:rPr>
                <w:sz w:val="20"/>
                <w:szCs w:val="20"/>
                <w:color w:val="auto"/>
              </w:rPr>
            </w:pPr>
            <w:r>
              <w:rPr>
                <w:rFonts w:ascii="Arial" w:cs="Arial" w:eastAsia="Arial" w:hAnsi="Arial"/>
                <w:sz w:val="18"/>
                <w:szCs w:val="18"/>
                <w:color w:val="303030"/>
                <w:w w:val="99"/>
              </w:rPr>
              <w:t>ption Terms and Conditions granted under the Stock</w:t>
            </w: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10.2</w:t>
            </w:r>
          </w:p>
        </w:tc>
        <w:tc>
          <w:tcPr>
            <w:tcW w:w="420" w:type="dxa"/>
            <w:vAlign w:val="bottom"/>
            <w:shd w:val="clear" w:color="auto" w:fill="E4E4E4"/>
          </w:tcPr>
          <w:p>
            <w:pPr>
              <w:ind w:left="80"/>
              <w:spacing w:after="0"/>
              <w:rPr>
                <w:sz w:val="20"/>
                <w:szCs w:val="20"/>
                <w:color w:val="auto"/>
              </w:rPr>
            </w:pPr>
            <w:r>
              <w:rPr>
                <w:rFonts w:ascii="Arial" w:cs="Arial" w:eastAsia="Arial" w:hAnsi="Arial"/>
                <w:sz w:val="18"/>
                <w:szCs w:val="18"/>
                <w:color w:val="auto"/>
                <w:w w:val="91"/>
              </w:rPr>
              <w:t>11 2</w:t>
            </w:r>
          </w:p>
        </w:tc>
        <w:tc>
          <w:tcPr>
            <w:tcW w:w="560" w:type="dxa"/>
            <w:vAlign w:val="bottom"/>
            <w:shd w:val="clear" w:color="auto" w:fill="E4E4E4"/>
          </w:tcPr>
          <w:p>
            <w:pPr>
              <w:ind w:left="1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2400" w:type="dxa"/>
            <w:vAlign w:val="bottom"/>
            <w:tcBorders>
              <w:top w:val="single" w:sz="8" w:color="303030"/>
            </w:tcBorders>
            <w:gridSpan w:val="14"/>
            <w:shd w:val="clear" w:color="auto" w:fill="E4E4E4"/>
          </w:tcPr>
          <w:p>
            <w:pPr>
              <w:spacing w:after="0" w:line="160" w:lineRule="exact"/>
              <w:rPr>
                <w:sz w:val="20"/>
                <w:szCs w:val="20"/>
                <w:color w:val="auto"/>
              </w:rPr>
            </w:pPr>
            <w:r>
              <w:rPr>
                <w:rFonts w:ascii="Arial" w:cs="Arial" w:eastAsia="Arial" w:hAnsi="Arial"/>
                <w:sz w:val="18"/>
                <w:szCs w:val="18"/>
                <w:color w:val="303030"/>
                <w:w w:val="89"/>
              </w:rPr>
              <w:t>Incentive Plan as of September 1</w:t>
            </w:r>
          </w:p>
        </w:tc>
        <w:tc>
          <w:tcPr>
            <w:tcW w:w="600" w:type="dxa"/>
            <w:vAlign w:val="bottom"/>
            <w:tcBorders>
              <w:top w:val="single" w:sz="8" w:color="303030"/>
            </w:tcBorders>
            <w:gridSpan w:val="4"/>
            <w:shd w:val="clear" w:color="auto" w:fill="E4E4E4"/>
          </w:tcPr>
          <w:p>
            <w:pPr>
              <w:ind w:left="60"/>
              <w:spacing w:after="0" w:line="160" w:lineRule="exact"/>
              <w:rPr>
                <w:sz w:val="20"/>
                <w:szCs w:val="20"/>
                <w:color w:val="auto"/>
              </w:rPr>
            </w:pPr>
            <w:r>
              <w:rPr>
                <w:rFonts w:ascii="Arial" w:cs="Arial" w:eastAsia="Arial" w:hAnsi="Arial"/>
                <w:sz w:val="18"/>
                <w:szCs w:val="18"/>
                <w:color w:val="303030"/>
              </w:rPr>
              <w:t>, 2022</w:t>
            </w:r>
          </w:p>
        </w:tc>
        <w:tc>
          <w:tcPr>
            <w:tcW w:w="1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2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7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5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4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1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420" w:type="dxa"/>
            <w:vAlign w:val="bottom"/>
            <w:tcBorders>
              <w:top w:val="single" w:sz="8" w:color="E4E4E4"/>
            </w:tcBorders>
            <w:shd w:val="clear" w:color="auto" w:fill="E4E4E4"/>
          </w:tcPr>
          <w:p>
            <w:pPr>
              <w:spacing w:after="0"/>
              <w:rPr>
                <w:sz w:val="13"/>
                <w:szCs w:val="13"/>
                <w:color w:val="auto"/>
              </w:rPr>
            </w:pPr>
          </w:p>
        </w:tc>
        <w:tc>
          <w:tcPr>
            <w:tcW w:w="56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2980" w:type="dxa"/>
            <w:vAlign w:val="bottom"/>
            <w:tcBorders>
              <w:top w:val="single" w:sz="8" w:color="303030"/>
            </w:tcBorders>
            <w:gridSpan w:val="17"/>
            <w:shd w:val="clear" w:color="auto" w:fill="E4E4E4"/>
          </w:tcPr>
          <w:p>
            <w:pPr>
              <w:spacing w:after="0"/>
              <w:rPr>
                <w:sz w:val="4"/>
                <w:szCs w:val="4"/>
                <w:color w:val="auto"/>
              </w:rPr>
            </w:pPr>
          </w:p>
        </w:tc>
        <w:tc>
          <w:tcPr>
            <w:tcW w:w="6320" w:type="dxa"/>
            <w:vAlign w:val="bottom"/>
            <w:tcBorders>
              <w:top w:val="single" w:sz="8" w:color="E4E4E4"/>
            </w:tcBorders>
            <w:gridSpan w:val="37"/>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FEFEFE"/>
            </w:tcBorders>
            <w:shd w:val="clear" w:color="auto" w:fill="FEFEFE"/>
          </w:tcPr>
          <w:p>
            <w:pPr>
              <w:ind w:left="160"/>
              <w:spacing w:after="0"/>
              <w:rPr>
                <w:sz w:val="20"/>
                <w:szCs w:val="20"/>
                <w:color w:val="auto"/>
              </w:rPr>
            </w:pPr>
            <w:r>
              <w:rPr>
                <w:rFonts w:ascii="Arial" w:cs="Arial" w:eastAsia="Arial" w:hAnsi="Arial"/>
                <w:sz w:val="18"/>
                <w:szCs w:val="18"/>
                <w:color w:val="auto"/>
              </w:rPr>
              <w:t>10.28</w:t>
            </w:r>
          </w:p>
        </w:tc>
        <w:tc>
          <w:tcPr>
            <w:tcW w:w="400" w:type="dxa"/>
            <w:vAlign w:val="bottom"/>
            <w:tcBorders>
              <w:bottom w:val="single" w:sz="8" w:color="303030"/>
            </w:tcBorders>
            <w:gridSpan w:val="2"/>
            <w:shd w:val="clear" w:color="auto" w:fill="FEFEFE"/>
          </w:tcPr>
          <w:p>
            <w:pPr>
              <w:spacing w:after="0"/>
              <w:rPr>
                <w:sz w:val="20"/>
                <w:szCs w:val="20"/>
                <w:color w:val="auto"/>
              </w:rPr>
            </w:pPr>
            <w:r>
              <w:rPr>
                <w:rFonts w:ascii="Arial" w:cs="Arial" w:eastAsia="Arial" w:hAnsi="Arial"/>
                <w:sz w:val="18"/>
                <w:szCs w:val="18"/>
                <w:color w:val="303030"/>
              </w:rPr>
              <w:t>The</w:t>
            </w:r>
          </w:p>
        </w:tc>
        <w:tc>
          <w:tcPr>
            <w:tcW w:w="1120" w:type="dxa"/>
            <w:vAlign w:val="bottom"/>
            <w:tcBorders>
              <w:bottom w:val="single" w:sz="8" w:color="303030"/>
            </w:tcBorders>
            <w:gridSpan w:val="8"/>
            <w:shd w:val="clear" w:color="auto" w:fill="FEFEFE"/>
          </w:tcPr>
          <w:p>
            <w:pPr>
              <w:ind w:left="40"/>
              <w:spacing w:after="0"/>
              <w:rPr>
                <w:sz w:val="20"/>
                <w:szCs w:val="20"/>
                <w:color w:val="auto"/>
              </w:rPr>
            </w:pPr>
            <w:r>
              <w:rPr>
                <w:rFonts w:ascii="Arial" w:cs="Arial" w:eastAsia="Arial" w:hAnsi="Arial"/>
                <w:sz w:val="18"/>
                <w:szCs w:val="18"/>
                <w:color w:val="303030"/>
                <w:w w:val="89"/>
              </w:rPr>
              <w:t>estricted Stock</w:t>
            </w:r>
          </w:p>
        </w:tc>
        <w:tc>
          <w:tcPr>
            <w:tcW w:w="4760" w:type="dxa"/>
            <w:vAlign w:val="bottom"/>
            <w:tcBorders>
              <w:bottom w:val="single" w:sz="8" w:color="303030"/>
            </w:tcBorders>
            <w:gridSpan w:val="28"/>
            <w:shd w:val="clear" w:color="auto" w:fill="FEFEFE"/>
          </w:tcPr>
          <w:p>
            <w:pPr>
              <w:ind w:left="160"/>
              <w:spacing w:after="0"/>
              <w:rPr>
                <w:sz w:val="20"/>
                <w:szCs w:val="20"/>
                <w:color w:val="auto"/>
              </w:rPr>
            </w:pPr>
            <w:r>
              <w:rPr>
                <w:rFonts w:ascii="Arial" w:cs="Arial" w:eastAsia="Arial" w:hAnsi="Arial"/>
                <w:sz w:val="18"/>
                <w:szCs w:val="18"/>
                <w:color w:val="303030"/>
                <w:w w:val="91"/>
              </w:rPr>
              <w:t>nit Award granted under the Stock Incentive Plan on January 2</w:t>
            </w:r>
          </w:p>
        </w:tc>
        <w:tc>
          <w:tcPr>
            <w:tcW w:w="520" w:type="dxa"/>
            <w:vAlign w:val="bottom"/>
            <w:tcBorders>
              <w:bottom w:val="single" w:sz="8" w:color="303030"/>
            </w:tcBorders>
            <w:gridSpan w:val="11"/>
            <w:shd w:val="clear" w:color="auto" w:fill="FEFEFE"/>
          </w:tcPr>
          <w:p>
            <w:pPr>
              <w:jc w:val="right"/>
              <w:ind w:right="40"/>
              <w:spacing w:after="0"/>
              <w:rPr>
                <w:sz w:val="20"/>
                <w:szCs w:val="20"/>
                <w:color w:val="auto"/>
              </w:rPr>
            </w:pPr>
            <w:r>
              <w:rPr>
                <w:rFonts w:ascii="Arial" w:cs="Arial" w:eastAsia="Arial" w:hAnsi="Arial"/>
                <w:sz w:val="18"/>
                <w:szCs w:val="18"/>
                <w:color w:val="303030"/>
                <w:w w:val="91"/>
              </w:rPr>
              <w:t>, 2016</w:t>
            </w:r>
          </w:p>
        </w:tc>
        <w:tc>
          <w:tcPr>
            <w:tcW w:w="20" w:type="dxa"/>
            <w:vAlign w:val="bottom"/>
            <w:tcBorders>
              <w:bottom w:val="single" w:sz="8" w:color="FEFEFE"/>
            </w:tcBorders>
            <w:shd w:val="clear" w:color="auto" w:fill="FEFEFE"/>
          </w:tcPr>
          <w:p>
            <w:pPr>
              <w:spacing w:after="0"/>
              <w:rPr>
                <w:sz w:val="18"/>
                <w:szCs w:val="18"/>
                <w:color w:val="auto"/>
              </w:rPr>
            </w:pP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Borders>
              <w:bottom w:val="single" w:sz="8" w:color="FEFEFE"/>
            </w:tcBorders>
            <w:shd w:val="clear" w:color="auto" w:fill="FEFEFE"/>
          </w:tcPr>
          <w:p>
            <w:pPr>
              <w:ind w:left="120"/>
              <w:spacing w:after="0"/>
              <w:rPr>
                <w:sz w:val="20"/>
                <w:szCs w:val="20"/>
                <w:color w:val="auto"/>
              </w:rPr>
            </w:pPr>
            <w:r>
              <w:rPr>
                <w:rFonts w:ascii="Arial" w:cs="Arial" w:eastAsia="Arial" w:hAnsi="Arial"/>
                <w:sz w:val="18"/>
                <w:szCs w:val="18"/>
                <w:color w:val="auto"/>
              </w:rPr>
              <w:t>3 2</w:t>
            </w:r>
          </w:p>
        </w:tc>
        <w:tc>
          <w:tcPr>
            <w:tcW w:w="56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60"/>
        </w:trPr>
        <w:tc>
          <w:tcPr>
            <w:tcW w:w="760" w:type="dxa"/>
            <w:vAlign w:val="bottom"/>
            <w:shd w:val="clear" w:color="auto" w:fill="FEFEFE"/>
          </w:tcPr>
          <w:p>
            <w:pPr>
              <w:spacing w:after="0"/>
              <w:rPr>
                <w:sz w:val="13"/>
                <w:szCs w:val="13"/>
                <w:color w:val="auto"/>
              </w:rPr>
            </w:pPr>
          </w:p>
        </w:tc>
        <w:tc>
          <w:tcPr>
            <w:tcW w:w="680" w:type="dxa"/>
            <w:vAlign w:val="bottom"/>
            <w:gridSpan w:val="3"/>
            <w:shd w:val="clear" w:color="auto" w:fill="FEFEFE"/>
          </w:tcPr>
          <w:p>
            <w:pPr>
              <w:spacing w:after="0" w:line="160" w:lineRule="exact"/>
              <w:rPr>
                <w:sz w:val="20"/>
                <w:szCs w:val="20"/>
                <w:color w:val="auto"/>
              </w:rPr>
            </w:pPr>
            <w:r>
              <w:rPr>
                <w:rFonts w:ascii="Arial" w:cs="Arial" w:eastAsia="Arial" w:hAnsi="Arial"/>
                <w:sz w:val="18"/>
                <w:szCs w:val="18"/>
                <w:color w:val="303030"/>
              </w:rPr>
              <w:t>to Ernie</w:t>
            </w:r>
          </w:p>
        </w:tc>
        <w:tc>
          <w:tcPr>
            <w:tcW w:w="40" w:type="dxa"/>
            <w:vAlign w:val="bottom"/>
            <w:shd w:val="clear" w:color="auto" w:fill="FEFEFE"/>
          </w:tcPr>
          <w:p>
            <w:pPr>
              <w:spacing w:after="0"/>
              <w:rPr>
                <w:sz w:val="13"/>
                <w:szCs w:val="13"/>
                <w:color w:val="auto"/>
              </w:rPr>
            </w:pPr>
          </w:p>
        </w:tc>
        <w:tc>
          <w:tcPr>
            <w:tcW w:w="800" w:type="dxa"/>
            <w:vAlign w:val="bottom"/>
            <w:gridSpan w:val="6"/>
            <w:shd w:val="clear" w:color="auto" w:fill="FEFEFE"/>
          </w:tcPr>
          <w:p>
            <w:pPr>
              <w:ind w:left="40"/>
              <w:spacing w:after="0" w:line="160" w:lineRule="exact"/>
              <w:rPr>
                <w:sz w:val="20"/>
                <w:szCs w:val="20"/>
                <w:color w:val="auto"/>
              </w:rPr>
            </w:pPr>
            <w:r>
              <w:rPr>
                <w:rFonts w:ascii="Arial" w:cs="Arial" w:eastAsia="Arial" w:hAnsi="Arial"/>
                <w:sz w:val="18"/>
                <w:szCs w:val="18"/>
                <w:color w:val="303030"/>
              </w:rPr>
              <w:t>errman</w:t>
            </w:r>
          </w:p>
        </w:tc>
        <w:tc>
          <w:tcPr>
            <w:tcW w:w="30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34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1340" w:type="dxa"/>
            <w:vAlign w:val="bottom"/>
            <w:tcBorders>
              <w:top w:val="single" w:sz="8" w:color="303030"/>
            </w:tcBorders>
            <w:gridSpan w:val="8"/>
            <w:shd w:val="clear" w:color="auto" w:fill="FEFEFE"/>
          </w:tcPr>
          <w:p>
            <w:pPr>
              <w:spacing w:after="0"/>
              <w:rPr>
                <w:sz w:val="4"/>
                <w:szCs w:val="4"/>
                <w:color w:val="auto"/>
              </w:rPr>
            </w:pPr>
          </w:p>
        </w:tc>
        <w:tc>
          <w:tcPr>
            <w:tcW w:w="7960" w:type="dxa"/>
            <w:vAlign w:val="bottom"/>
            <w:tcBorders>
              <w:top w:val="single" w:sz="8" w:color="FEFEFE"/>
            </w:tcBorders>
            <w:gridSpan w:val="46"/>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10.2</w:t>
            </w:r>
          </w:p>
        </w:tc>
        <w:tc>
          <w:tcPr>
            <w:tcW w:w="2400" w:type="dxa"/>
            <w:vAlign w:val="bottom"/>
            <w:gridSpan w:val="14"/>
            <w:shd w:val="clear" w:color="auto" w:fill="E4E4E4"/>
          </w:tcPr>
          <w:p>
            <w:pPr>
              <w:spacing w:after="0"/>
              <w:rPr>
                <w:sz w:val="20"/>
                <w:szCs w:val="20"/>
                <w:color w:val="auto"/>
              </w:rPr>
            </w:pPr>
            <w:r>
              <w:rPr>
                <w:rFonts w:ascii="Arial" w:cs="Arial" w:eastAsia="Arial" w:hAnsi="Arial"/>
                <w:sz w:val="18"/>
                <w:szCs w:val="18"/>
                <w:color w:val="303030"/>
                <w:w w:val="91"/>
              </w:rPr>
              <w:t>The Form of Performance Share</w:t>
            </w:r>
          </w:p>
        </w:tc>
        <w:tc>
          <w:tcPr>
            <w:tcW w:w="4420" w:type="dxa"/>
            <w:vAlign w:val="bottom"/>
            <w:gridSpan w:val="36"/>
            <w:shd w:val="clear" w:color="auto" w:fill="E4E4E4"/>
          </w:tcPr>
          <w:p>
            <w:pPr>
              <w:ind w:left="100"/>
              <w:spacing w:after="0"/>
              <w:rPr>
                <w:sz w:val="20"/>
                <w:szCs w:val="20"/>
                <w:color w:val="auto"/>
              </w:rPr>
            </w:pPr>
            <w:r>
              <w:rPr>
                <w:rFonts w:ascii="Arial" w:cs="Arial" w:eastAsia="Arial" w:hAnsi="Arial"/>
                <w:sz w:val="18"/>
                <w:szCs w:val="18"/>
                <w:color w:val="303030"/>
                <w:w w:val="99"/>
              </w:rPr>
              <w:t>nit Award granted under the Stock Incentive Plan as of</w:t>
            </w: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10.2</w:t>
            </w:r>
          </w:p>
        </w:tc>
        <w:tc>
          <w:tcPr>
            <w:tcW w:w="980" w:type="dxa"/>
            <w:vAlign w:val="bottom"/>
            <w:gridSpan w:val="2"/>
            <w:shd w:val="clear" w:color="auto" w:fill="E4E4E4"/>
          </w:tcPr>
          <w:p>
            <w:pPr>
              <w:ind w:left="120"/>
              <w:spacing w:after="0"/>
              <w:rPr>
                <w:sz w:val="20"/>
                <w:szCs w:val="20"/>
                <w:color w:val="auto"/>
              </w:rPr>
            </w:pPr>
            <w:r>
              <w:rPr>
                <w:rFonts w:ascii="Arial" w:cs="Arial" w:eastAsia="Arial" w:hAnsi="Arial"/>
                <w:sz w:val="18"/>
                <w:szCs w:val="18"/>
                <w:color w:val="auto"/>
              </w:rPr>
              <w:t>5 27 2022</w:t>
            </w:r>
          </w:p>
        </w:tc>
        <w:tc>
          <w:tcPr>
            <w:tcW w:w="0" w:type="dxa"/>
            <w:vAlign w:val="bottom"/>
          </w:tcPr>
          <w:p>
            <w:pPr>
              <w:spacing w:after="0"/>
              <w:rPr>
                <w:sz w:val="1"/>
                <w:szCs w:val="1"/>
                <w:color w:val="auto"/>
              </w:rPr>
            </w:pPr>
          </w:p>
        </w:tc>
      </w:tr>
      <w:tr>
        <w:trPr>
          <w:trHeight w:val="210"/>
        </w:trPr>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1220" w:type="dxa"/>
            <w:vAlign w:val="bottom"/>
            <w:tcBorders>
              <w:top w:val="single" w:sz="8" w:color="303030"/>
              <w:bottom w:val="single" w:sz="8" w:color="303030"/>
            </w:tcBorders>
            <w:gridSpan w:val="7"/>
            <w:shd w:val="clear" w:color="auto" w:fill="E4E4E4"/>
          </w:tcPr>
          <w:p>
            <w:pPr>
              <w:ind w:left="140"/>
              <w:spacing w:after="0" w:line="160" w:lineRule="exact"/>
              <w:rPr>
                <w:sz w:val="20"/>
                <w:szCs w:val="20"/>
                <w:color w:val="auto"/>
              </w:rPr>
            </w:pPr>
            <w:r>
              <w:rPr>
                <w:rFonts w:ascii="Arial" w:cs="Arial" w:eastAsia="Arial" w:hAnsi="Arial"/>
                <w:sz w:val="18"/>
                <w:szCs w:val="18"/>
                <w:color w:val="303030"/>
                <w:w w:val="96"/>
              </w:rPr>
              <w:t>arch 28, 2022</w:t>
            </w:r>
          </w:p>
        </w:tc>
        <w:tc>
          <w:tcPr>
            <w:tcW w:w="280" w:type="dxa"/>
            <w:vAlign w:val="bottom"/>
            <w:tcBorders>
              <w:top w:val="single" w:sz="8" w:color="303030"/>
              <w:bottom w:val="single" w:sz="8" w:color="E4E4E4"/>
            </w:tcBorders>
            <w:gridSpan w:val="2"/>
            <w:shd w:val="clear" w:color="auto" w:fill="E4E4E4"/>
          </w:tcPr>
          <w:p>
            <w:pPr>
              <w:spacing w:after="0"/>
              <w:rPr>
                <w:sz w:val="18"/>
                <w:szCs w:val="18"/>
                <w:color w:val="auto"/>
              </w:rPr>
            </w:pPr>
          </w:p>
        </w:tc>
        <w:tc>
          <w:tcPr>
            <w:tcW w:w="30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34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18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180" w:type="dxa"/>
            <w:vAlign w:val="bottom"/>
            <w:tcBorders>
              <w:top w:val="single" w:sz="8" w:color="303030"/>
              <w:bottom w:val="single" w:sz="8" w:color="E4E4E4"/>
            </w:tcBorders>
            <w:shd w:val="clear" w:color="auto" w:fill="E4E4E4"/>
          </w:tcPr>
          <w:p>
            <w:pPr>
              <w:spacing w:after="0"/>
              <w:rPr>
                <w:sz w:val="18"/>
                <w:szCs w:val="18"/>
                <w:color w:val="auto"/>
              </w:rPr>
            </w:pPr>
          </w:p>
        </w:tc>
        <w:tc>
          <w:tcPr>
            <w:tcW w:w="20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24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220" w:type="dxa"/>
            <w:vAlign w:val="bottom"/>
            <w:tcBorders>
              <w:top w:val="single" w:sz="8" w:color="303030"/>
              <w:bottom w:val="single" w:sz="8" w:color="E4E4E4"/>
            </w:tcBorders>
            <w:shd w:val="clear" w:color="auto" w:fill="E4E4E4"/>
          </w:tcPr>
          <w:p>
            <w:pPr>
              <w:spacing w:after="0"/>
              <w:rPr>
                <w:sz w:val="18"/>
                <w:szCs w:val="18"/>
                <w:color w:val="auto"/>
              </w:rPr>
            </w:pPr>
          </w:p>
        </w:tc>
        <w:tc>
          <w:tcPr>
            <w:tcW w:w="240" w:type="dxa"/>
            <w:vAlign w:val="bottom"/>
            <w:tcBorders>
              <w:top w:val="single" w:sz="8" w:color="303030"/>
              <w:bottom w:val="single" w:sz="8" w:color="E4E4E4"/>
            </w:tcBorders>
            <w:shd w:val="clear" w:color="auto" w:fill="E4E4E4"/>
          </w:tcPr>
          <w:p>
            <w:pPr>
              <w:spacing w:after="0"/>
              <w:rPr>
                <w:sz w:val="18"/>
                <w:szCs w:val="18"/>
                <w:color w:val="auto"/>
              </w:rPr>
            </w:pPr>
          </w:p>
        </w:tc>
        <w:tc>
          <w:tcPr>
            <w:tcW w:w="720" w:type="dxa"/>
            <w:vAlign w:val="bottom"/>
            <w:tcBorders>
              <w:top w:val="single" w:sz="8" w:color="303030"/>
              <w:bottom w:val="single" w:sz="8" w:color="E4E4E4"/>
            </w:tcBorders>
            <w:shd w:val="clear" w:color="auto" w:fill="E4E4E4"/>
          </w:tcPr>
          <w:p>
            <w:pPr>
              <w:spacing w:after="0"/>
              <w:rPr>
                <w:sz w:val="18"/>
                <w:szCs w:val="18"/>
                <w:color w:val="auto"/>
              </w:rPr>
            </w:pPr>
          </w:p>
        </w:tc>
        <w:tc>
          <w:tcPr>
            <w:tcW w:w="18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40" w:type="dxa"/>
            <w:vAlign w:val="bottom"/>
            <w:tcBorders>
              <w:top w:val="single" w:sz="8" w:color="303030"/>
              <w:bottom w:val="single" w:sz="8" w:color="E4E4E4"/>
            </w:tcBorders>
            <w:shd w:val="clear" w:color="auto" w:fill="E4E4E4"/>
          </w:tcPr>
          <w:p>
            <w:pPr>
              <w:spacing w:after="0"/>
              <w:rPr>
                <w:sz w:val="18"/>
                <w:szCs w:val="18"/>
                <w:color w:val="auto"/>
              </w:rPr>
            </w:pPr>
          </w:p>
        </w:tc>
        <w:tc>
          <w:tcPr>
            <w:tcW w:w="54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24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60" w:type="dxa"/>
            <w:vAlign w:val="bottom"/>
            <w:tcBorders>
              <w:top w:val="single" w:sz="8" w:color="303030"/>
              <w:bottom w:val="single" w:sz="8" w:color="E4E4E4"/>
            </w:tcBorders>
            <w:shd w:val="clear" w:color="auto" w:fill="E4E4E4"/>
          </w:tcPr>
          <w:p>
            <w:pPr>
              <w:spacing w:after="0"/>
              <w:rPr>
                <w:sz w:val="18"/>
                <w:szCs w:val="18"/>
                <w:color w:val="auto"/>
              </w:rPr>
            </w:pPr>
          </w:p>
        </w:tc>
        <w:tc>
          <w:tcPr>
            <w:tcW w:w="80" w:type="dxa"/>
            <w:vAlign w:val="bottom"/>
            <w:tcBorders>
              <w:top w:val="single" w:sz="8" w:color="303030"/>
              <w:bottom w:val="single" w:sz="8" w:color="E4E4E4"/>
            </w:tcBorders>
            <w:shd w:val="clear" w:color="auto" w:fill="E4E4E4"/>
          </w:tcPr>
          <w:p>
            <w:pPr>
              <w:spacing w:after="0"/>
              <w:rPr>
                <w:sz w:val="18"/>
                <w:szCs w:val="18"/>
                <w:color w:val="auto"/>
              </w:rPr>
            </w:pPr>
          </w:p>
        </w:tc>
        <w:tc>
          <w:tcPr>
            <w:tcW w:w="14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20" w:type="dxa"/>
            <w:vAlign w:val="bottom"/>
            <w:tcBorders>
              <w:top w:val="single" w:sz="8" w:color="303030"/>
              <w:bottom w:val="single" w:sz="8" w:color="E4E4E4"/>
            </w:tcBorders>
            <w:shd w:val="clear" w:color="auto" w:fill="E4E4E4"/>
          </w:tcPr>
          <w:p>
            <w:pPr>
              <w:spacing w:after="0"/>
              <w:rPr>
                <w:sz w:val="18"/>
                <w:szCs w:val="18"/>
                <w:color w:val="auto"/>
              </w:rPr>
            </w:pPr>
          </w:p>
        </w:tc>
        <w:tc>
          <w:tcPr>
            <w:tcW w:w="1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40" w:type="dxa"/>
            <w:vAlign w:val="bottom"/>
            <w:tcBorders>
              <w:top w:val="single" w:sz="8" w:color="E4E4E4"/>
              <w:bottom w:val="single" w:sz="8" w:color="E4E4E4"/>
            </w:tcBorders>
            <w:shd w:val="clear" w:color="auto" w:fill="E4E4E4"/>
          </w:tcPr>
          <w:p>
            <w:pPr>
              <w:spacing w:after="0"/>
              <w:rPr>
                <w:sz w:val="18"/>
                <w:szCs w:val="18"/>
                <w:color w:val="auto"/>
              </w:rPr>
            </w:pPr>
          </w:p>
        </w:tc>
        <w:tc>
          <w:tcPr>
            <w:tcW w:w="40" w:type="dxa"/>
            <w:vAlign w:val="bottom"/>
            <w:tcBorders>
              <w:top w:val="single" w:sz="8" w:color="E4E4E4"/>
              <w:bottom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E4E4E4"/>
            </w:tcBorders>
            <w:shd w:val="clear" w:color="auto" w:fill="E4E4E4"/>
          </w:tcPr>
          <w:p>
            <w:pPr>
              <w:spacing w:after="0"/>
              <w:rPr>
                <w:sz w:val="18"/>
                <w:szCs w:val="18"/>
                <w:color w:val="auto"/>
              </w:rPr>
            </w:pPr>
          </w:p>
        </w:tc>
        <w:tc>
          <w:tcPr>
            <w:tcW w:w="760" w:type="dxa"/>
            <w:vAlign w:val="bottom"/>
            <w:tcBorders>
              <w:top w:val="single" w:sz="8" w:color="E4E4E4"/>
              <w:bottom w:val="single" w:sz="8" w:color="E4E4E4"/>
            </w:tcBorders>
            <w:shd w:val="clear" w:color="auto" w:fill="E4E4E4"/>
          </w:tcPr>
          <w:p>
            <w:pPr>
              <w:spacing w:after="0"/>
              <w:rPr>
                <w:sz w:val="18"/>
                <w:szCs w:val="18"/>
                <w:color w:val="auto"/>
              </w:rPr>
            </w:pPr>
          </w:p>
        </w:tc>
        <w:tc>
          <w:tcPr>
            <w:tcW w:w="740" w:type="dxa"/>
            <w:vAlign w:val="bottom"/>
            <w:tcBorders>
              <w:top w:val="single" w:sz="8" w:color="E4E4E4"/>
              <w:bottom w:val="single" w:sz="8" w:color="E4E4E4"/>
            </w:tcBorders>
            <w:shd w:val="clear" w:color="auto" w:fill="E4E4E4"/>
          </w:tcPr>
          <w:p>
            <w:pPr>
              <w:spacing w:after="0"/>
              <w:rPr>
                <w:sz w:val="18"/>
                <w:szCs w:val="18"/>
                <w:color w:val="auto"/>
              </w:rPr>
            </w:pPr>
          </w:p>
        </w:tc>
        <w:tc>
          <w:tcPr>
            <w:tcW w:w="420" w:type="dxa"/>
            <w:vAlign w:val="bottom"/>
            <w:tcBorders>
              <w:top w:val="single" w:sz="8" w:color="E4E4E4"/>
              <w:bottom w:val="single" w:sz="8" w:color="E4E4E4"/>
            </w:tcBorders>
            <w:shd w:val="clear" w:color="auto" w:fill="E4E4E4"/>
          </w:tcPr>
          <w:p>
            <w:pPr>
              <w:spacing w:after="0"/>
              <w:rPr>
                <w:sz w:val="18"/>
                <w:szCs w:val="18"/>
                <w:color w:val="auto"/>
              </w:rPr>
            </w:pPr>
          </w:p>
        </w:tc>
        <w:tc>
          <w:tcPr>
            <w:tcW w:w="560" w:type="dxa"/>
            <w:vAlign w:val="bottom"/>
            <w:tcBorders>
              <w:top w:val="single" w:sz="8" w:color="E4E4E4"/>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FEFEFE"/>
            </w:tcBorders>
            <w:shd w:val="clear" w:color="auto" w:fill="FEFEFE"/>
          </w:tcPr>
          <w:p>
            <w:pPr>
              <w:ind w:left="160"/>
              <w:spacing w:after="0"/>
              <w:rPr>
                <w:sz w:val="20"/>
                <w:szCs w:val="20"/>
                <w:color w:val="auto"/>
              </w:rPr>
            </w:pPr>
            <w:r>
              <w:rPr>
                <w:rFonts w:ascii="Arial" w:cs="Arial" w:eastAsia="Arial" w:hAnsi="Arial"/>
                <w:sz w:val="18"/>
                <w:szCs w:val="18"/>
                <w:color w:val="auto"/>
              </w:rPr>
              <w:t>10.30</w:t>
            </w:r>
          </w:p>
        </w:tc>
        <w:tc>
          <w:tcPr>
            <w:tcW w:w="960" w:type="dxa"/>
            <w:vAlign w:val="bottom"/>
            <w:tcBorders>
              <w:bottom w:val="single" w:sz="8" w:color="303030"/>
            </w:tcBorders>
            <w:gridSpan w:val="5"/>
            <w:shd w:val="clear" w:color="auto" w:fill="FEFEFE"/>
          </w:tcPr>
          <w:p>
            <w:pPr>
              <w:spacing w:after="0"/>
              <w:rPr>
                <w:sz w:val="20"/>
                <w:szCs w:val="20"/>
                <w:color w:val="auto"/>
              </w:rPr>
            </w:pPr>
            <w:r>
              <w:rPr>
                <w:rFonts w:ascii="Arial" w:cs="Arial" w:eastAsia="Arial" w:hAnsi="Arial"/>
                <w:sz w:val="18"/>
                <w:szCs w:val="18"/>
                <w:color w:val="303030"/>
                <w:w w:val="95"/>
              </w:rPr>
              <w:t>The Form of</w:t>
            </w:r>
          </w:p>
        </w:tc>
        <w:tc>
          <w:tcPr>
            <w:tcW w:w="40" w:type="dxa"/>
            <w:vAlign w:val="bottom"/>
            <w:tcBorders>
              <w:bottom w:val="single" w:sz="8" w:color="303030"/>
            </w:tcBorders>
            <w:shd w:val="clear" w:color="auto" w:fill="FEFEFE"/>
          </w:tcPr>
          <w:p>
            <w:pPr>
              <w:spacing w:after="0"/>
              <w:rPr>
                <w:sz w:val="18"/>
                <w:szCs w:val="18"/>
                <w:color w:val="auto"/>
              </w:rPr>
            </w:pPr>
          </w:p>
        </w:tc>
        <w:tc>
          <w:tcPr>
            <w:tcW w:w="40" w:type="dxa"/>
            <w:vAlign w:val="bottom"/>
            <w:tcBorders>
              <w:bottom w:val="single" w:sz="8" w:color="303030"/>
            </w:tcBorders>
            <w:shd w:val="clear" w:color="auto" w:fill="FEFEFE"/>
          </w:tcPr>
          <w:p>
            <w:pPr>
              <w:spacing w:after="0"/>
              <w:rPr>
                <w:sz w:val="18"/>
                <w:szCs w:val="18"/>
                <w:color w:val="auto"/>
              </w:rPr>
            </w:pPr>
          </w:p>
        </w:tc>
        <w:tc>
          <w:tcPr>
            <w:tcW w:w="1160" w:type="dxa"/>
            <w:vAlign w:val="bottom"/>
            <w:tcBorders>
              <w:bottom w:val="single" w:sz="8" w:color="303030"/>
            </w:tcBorders>
            <w:gridSpan w:val="6"/>
            <w:shd w:val="clear" w:color="auto" w:fill="FEFEFE"/>
          </w:tcPr>
          <w:p>
            <w:pPr>
              <w:ind w:left="40"/>
              <w:spacing w:after="0"/>
              <w:rPr>
                <w:sz w:val="20"/>
                <w:szCs w:val="20"/>
                <w:color w:val="auto"/>
              </w:rPr>
            </w:pPr>
            <w:r>
              <w:rPr>
                <w:rFonts w:ascii="Arial" w:cs="Arial" w:eastAsia="Arial" w:hAnsi="Arial"/>
                <w:sz w:val="18"/>
                <w:szCs w:val="18"/>
                <w:color w:val="303030"/>
                <w:w w:val="93"/>
              </w:rPr>
              <w:t>estricted Stock</w:t>
            </w:r>
          </w:p>
        </w:tc>
        <w:tc>
          <w:tcPr>
            <w:tcW w:w="4080" w:type="dxa"/>
            <w:vAlign w:val="bottom"/>
            <w:tcBorders>
              <w:bottom w:val="single" w:sz="8" w:color="303030"/>
            </w:tcBorders>
            <w:gridSpan w:val="25"/>
            <w:shd w:val="clear" w:color="auto" w:fill="FEFEFE"/>
          </w:tcPr>
          <w:p>
            <w:pPr>
              <w:ind w:left="120"/>
              <w:spacing w:after="0"/>
              <w:rPr>
                <w:sz w:val="20"/>
                <w:szCs w:val="20"/>
                <w:color w:val="auto"/>
              </w:rPr>
            </w:pPr>
            <w:r>
              <w:rPr>
                <w:rFonts w:ascii="Arial" w:cs="Arial" w:eastAsia="Arial" w:hAnsi="Arial"/>
                <w:sz w:val="18"/>
                <w:szCs w:val="18"/>
                <w:color w:val="303030"/>
                <w:w w:val="90"/>
              </w:rPr>
              <w:t>nit Award granted under the Stock Incentive Plan as of</w:t>
            </w:r>
          </w:p>
        </w:tc>
        <w:tc>
          <w:tcPr>
            <w:tcW w:w="140" w:type="dxa"/>
            <w:vAlign w:val="bottom"/>
            <w:tcBorders>
              <w:bottom w:val="single" w:sz="8" w:color="303030"/>
            </w:tcBorders>
            <w:shd w:val="clear" w:color="auto" w:fill="FEFEFE"/>
          </w:tcPr>
          <w:p>
            <w:pPr>
              <w:spacing w:after="0"/>
              <w:rPr>
                <w:sz w:val="18"/>
                <w:szCs w:val="18"/>
                <w:color w:val="auto"/>
              </w:rPr>
            </w:pPr>
          </w:p>
        </w:tc>
        <w:tc>
          <w:tcPr>
            <w:tcW w:w="20" w:type="dxa"/>
            <w:vAlign w:val="bottom"/>
            <w:tcBorders>
              <w:bottom w:val="single" w:sz="8" w:color="303030"/>
            </w:tcBorders>
            <w:shd w:val="clear" w:color="auto" w:fill="FEFEFE"/>
          </w:tcPr>
          <w:p>
            <w:pPr>
              <w:spacing w:after="0"/>
              <w:rPr>
                <w:sz w:val="18"/>
                <w:szCs w:val="18"/>
                <w:color w:val="auto"/>
              </w:rPr>
            </w:pPr>
          </w:p>
        </w:tc>
        <w:tc>
          <w:tcPr>
            <w:tcW w:w="20" w:type="dxa"/>
            <w:vAlign w:val="bottom"/>
            <w:tcBorders>
              <w:bottom w:val="single" w:sz="8" w:color="303030"/>
            </w:tcBorders>
            <w:shd w:val="clear" w:color="auto" w:fill="FEFEFE"/>
          </w:tcPr>
          <w:p>
            <w:pPr>
              <w:spacing w:after="0"/>
              <w:rPr>
                <w:sz w:val="18"/>
                <w:szCs w:val="18"/>
                <w:color w:val="auto"/>
              </w:rPr>
            </w:pPr>
          </w:p>
        </w:tc>
        <w:tc>
          <w:tcPr>
            <w:tcW w:w="360" w:type="dxa"/>
            <w:vAlign w:val="bottom"/>
            <w:tcBorders>
              <w:bottom w:val="single" w:sz="8" w:color="303030"/>
            </w:tcBorders>
            <w:gridSpan w:val="9"/>
            <w:shd w:val="clear" w:color="auto" w:fill="FEFEFE"/>
          </w:tcPr>
          <w:p>
            <w:pPr>
              <w:ind w:left="20"/>
              <w:spacing w:after="0"/>
              <w:rPr>
                <w:sz w:val="20"/>
                <w:szCs w:val="20"/>
                <w:color w:val="auto"/>
              </w:rPr>
            </w:pPr>
            <w:r>
              <w:rPr>
                <w:rFonts w:ascii="Arial" w:cs="Arial" w:eastAsia="Arial" w:hAnsi="Arial"/>
                <w:sz w:val="18"/>
                <w:szCs w:val="18"/>
                <w:color w:val="303030"/>
                <w:w w:val="91"/>
              </w:rPr>
              <w:t>arch</w:t>
            </w: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10.3</w:t>
            </w:r>
          </w:p>
        </w:tc>
        <w:tc>
          <w:tcPr>
            <w:tcW w:w="980" w:type="dxa"/>
            <w:vAlign w:val="bottom"/>
            <w:tcBorders>
              <w:bottom w:val="single" w:sz="8" w:color="FEFEFE"/>
            </w:tcBorders>
            <w:gridSpan w:val="2"/>
            <w:shd w:val="clear" w:color="auto" w:fill="FEFEFE"/>
          </w:tcPr>
          <w:p>
            <w:pPr>
              <w:ind w:left="120"/>
              <w:spacing w:after="0"/>
              <w:rPr>
                <w:sz w:val="20"/>
                <w:szCs w:val="20"/>
                <w:color w:val="auto"/>
              </w:rPr>
            </w:pPr>
            <w:r>
              <w:rPr>
                <w:rFonts w:ascii="Arial" w:cs="Arial" w:eastAsia="Arial" w:hAnsi="Arial"/>
                <w:sz w:val="18"/>
                <w:szCs w:val="18"/>
                <w:color w:val="auto"/>
              </w:rPr>
              <w:t>5 27 2022</w:t>
            </w:r>
          </w:p>
        </w:tc>
        <w:tc>
          <w:tcPr>
            <w:tcW w:w="0" w:type="dxa"/>
            <w:vAlign w:val="bottom"/>
          </w:tcPr>
          <w:p>
            <w:pPr>
              <w:spacing w:after="0"/>
              <w:rPr>
                <w:sz w:val="1"/>
                <w:szCs w:val="1"/>
                <w:color w:val="auto"/>
              </w:rPr>
            </w:pPr>
          </w:p>
        </w:tc>
      </w:tr>
      <w:tr>
        <w:trPr>
          <w:trHeight w:val="160"/>
        </w:trPr>
        <w:tc>
          <w:tcPr>
            <w:tcW w:w="760" w:type="dxa"/>
            <w:vAlign w:val="bottom"/>
            <w:shd w:val="clear" w:color="auto" w:fill="FEFEFE"/>
          </w:tcPr>
          <w:p>
            <w:pPr>
              <w:spacing w:after="0"/>
              <w:rPr>
                <w:sz w:val="13"/>
                <w:szCs w:val="13"/>
                <w:color w:val="auto"/>
              </w:rPr>
            </w:pPr>
          </w:p>
        </w:tc>
        <w:tc>
          <w:tcPr>
            <w:tcW w:w="680" w:type="dxa"/>
            <w:vAlign w:val="bottom"/>
            <w:gridSpan w:val="3"/>
            <w:shd w:val="clear" w:color="auto" w:fill="FEFEFE"/>
          </w:tcPr>
          <w:p>
            <w:pPr>
              <w:spacing w:after="0" w:line="160" w:lineRule="exact"/>
              <w:rPr>
                <w:sz w:val="20"/>
                <w:szCs w:val="20"/>
                <w:color w:val="auto"/>
              </w:rPr>
            </w:pPr>
            <w:r>
              <w:rPr>
                <w:rFonts w:ascii="Arial" w:cs="Arial" w:eastAsia="Arial" w:hAnsi="Arial"/>
                <w:sz w:val="18"/>
                <w:szCs w:val="18"/>
                <w:color w:val="303030"/>
                <w:w w:val="94"/>
              </w:rPr>
              <w:t>28, 2022</w:t>
            </w:r>
          </w:p>
        </w:tc>
        <w:tc>
          <w:tcPr>
            <w:tcW w:w="4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30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34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700" w:type="dxa"/>
            <w:vAlign w:val="bottom"/>
            <w:tcBorders>
              <w:top w:val="single" w:sz="8" w:color="303030"/>
            </w:tcBorders>
            <w:gridSpan w:val="3"/>
            <w:shd w:val="clear" w:color="auto" w:fill="FEFEFE"/>
          </w:tcPr>
          <w:p>
            <w:pPr>
              <w:spacing w:after="0"/>
              <w:rPr>
                <w:sz w:val="4"/>
                <w:szCs w:val="4"/>
                <w:color w:val="auto"/>
              </w:rPr>
            </w:pPr>
          </w:p>
        </w:tc>
        <w:tc>
          <w:tcPr>
            <w:tcW w:w="8600" w:type="dxa"/>
            <w:vAlign w:val="bottom"/>
            <w:tcBorders>
              <w:top w:val="single" w:sz="8" w:color="FEFEFE"/>
            </w:tcBorders>
            <w:gridSpan w:val="51"/>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10.31</w:t>
            </w:r>
          </w:p>
        </w:tc>
        <w:tc>
          <w:tcPr>
            <w:tcW w:w="6820" w:type="dxa"/>
            <w:vAlign w:val="bottom"/>
            <w:gridSpan w:val="50"/>
            <w:shd w:val="clear" w:color="auto" w:fill="E4E4E4"/>
          </w:tcPr>
          <w:p>
            <w:pPr>
              <w:spacing w:after="0"/>
              <w:rPr>
                <w:sz w:val="20"/>
                <w:szCs w:val="20"/>
                <w:color w:val="auto"/>
              </w:rPr>
            </w:pPr>
            <w:r>
              <w:rPr>
                <w:rFonts w:ascii="Arial" w:cs="Arial" w:eastAsia="Arial" w:hAnsi="Arial"/>
                <w:sz w:val="18"/>
                <w:szCs w:val="18"/>
                <w:color w:val="303030"/>
                <w:w w:val="97"/>
              </w:rPr>
              <w:t>The Form of Deferred Stock Award for Directors granted under the Stock Incentive Plan</w:t>
            </w: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8"/>
              </w:rPr>
              <w:t>10.20</w:t>
            </w:r>
          </w:p>
        </w:tc>
        <w:tc>
          <w:tcPr>
            <w:tcW w:w="980" w:type="dxa"/>
            <w:vAlign w:val="bottom"/>
            <w:gridSpan w:val="2"/>
            <w:shd w:val="clear" w:color="auto" w:fill="E4E4E4"/>
          </w:tcPr>
          <w:p>
            <w:pPr>
              <w:ind w:left="120"/>
              <w:spacing w:after="0"/>
              <w:rPr>
                <w:sz w:val="20"/>
                <w:szCs w:val="20"/>
                <w:color w:val="auto"/>
              </w:rPr>
            </w:pPr>
            <w:r>
              <w:rPr>
                <w:rFonts w:ascii="Arial" w:cs="Arial" w:eastAsia="Arial" w:hAnsi="Arial"/>
                <w:sz w:val="18"/>
                <w:szCs w:val="18"/>
                <w:color w:val="auto"/>
              </w:rPr>
              <w:t>3 31 2015</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6460" w:type="dxa"/>
            <w:vAlign w:val="bottom"/>
            <w:tcBorders>
              <w:top w:val="single" w:sz="8" w:color="303030"/>
            </w:tcBorders>
            <w:gridSpan w:val="41"/>
            <w:shd w:val="clear" w:color="auto" w:fill="E4E4E4"/>
          </w:tcPr>
          <w:p>
            <w:pPr>
              <w:spacing w:after="0"/>
              <w:rPr>
                <w:sz w:val="4"/>
                <w:szCs w:val="4"/>
                <w:color w:val="auto"/>
              </w:rPr>
            </w:pPr>
          </w:p>
        </w:tc>
        <w:tc>
          <w:tcPr>
            <w:tcW w:w="2840" w:type="dxa"/>
            <w:vAlign w:val="bottom"/>
            <w:tcBorders>
              <w:top w:val="single" w:sz="8" w:color="E4E4E4"/>
            </w:tcBorders>
            <w:gridSpan w:val="13"/>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FEFEFE"/>
            </w:tcBorders>
            <w:shd w:val="clear" w:color="auto" w:fill="FEFEFE"/>
          </w:tcPr>
          <w:p>
            <w:pPr>
              <w:ind w:left="160"/>
              <w:spacing w:after="0"/>
              <w:rPr>
                <w:sz w:val="20"/>
                <w:szCs w:val="20"/>
                <w:color w:val="auto"/>
              </w:rPr>
            </w:pPr>
            <w:r>
              <w:rPr>
                <w:rFonts w:ascii="Arial" w:cs="Arial" w:eastAsia="Arial" w:hAnsi="Arial"/>
                <w:sz w:val="18"/>
                <w:szCs w:val="18"/>
                <w:color w:val="auto"/>
              </w:rPr>
              <w:t>10.32</w:t>
            </w:r>
          </w:p>
        </w:tc>
        <w:tc>
          <w:tcPr>
            <w:tcW w:w="6820" w:type="dxa"/>
            <w:vAlign w:val="bottom"/>
            <w:tcBorders>
              <w:bottom w:val="single" w:sz="8" w:color="303030"/>
            </w:tcBorders>
            <w:gridSpan w:val="50"/>
            <w:shd w:val="clear" w:color="auto" w:fill="FEFEFE"/>
          </w:tcPr>
          <w:p>
            <w:pPr>
              <w:spacing w:after="0"/>
              <w:rPr>
                <w:sz w:val="20"/>
                <w:szCs w:val="20"/>
                <w:color w:val="auto"/>
              </w:rPr>
            </w:pPr>
            <w:r>
              <w:rPr>
                <w:rFonts w:ascii="Arial" w:cs="Arial" w:eastAsia="Arial" w:hAnsi="Arial"/>
                <w:sz w:val="18"/>
                <w:szCs w:val="18"/>
                <w:color w:val="303030"/>
                <w:w w:val="91"/>
              </w:rPr>
              <w:t>The Form of Deferred Stock Award for Directors granted under the Stock Incentive Plan as of</w:t>
            </w: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10.2</w:t>
            </w:r>
          </w:p>
        </w:tc>
        <w:tc>
          <w:tcPr>
            <w:tcW w:w="980" w:type="dxa"/>
            <w:vAlign w:val="bottom"/>
            <w:tcBorders>
              <w:bottom w:val="single" w:sz="8" w:color="FEFEFE"/>
            </w:tcBorders>
            <w:gridSpan w:val="2"/>
            <w:shd w:val="clear" w:color="auto" w:fill="FEFEFE"/>
          </w:tcPr>
          <w:p>
            <w:pPr>
              <w:ind w:left="120"/>
              <w:spacing w:after="0"/>
              <w:rPr>
                <w:sz w:val="20"/>
                <w:szCs w:val="20"/>
                <w:color w:val="auto"/>
              </w:rPr>
            </w:pPr>
            <w:r>
              <w:rPr>
                <w:rFonts w:ascii="Arial" w:cs="Arial" w:eastAsia="Arial" w:hAnsi="Arial"/>
                <w:sz w:val="18"/>
                <w:szCs w:val="18"/>
                <w:color w:val="auto"/>
              </w:rPr>
              <w:t>8 26 2016</w:t>
            </w:r>
          </w:p>
        </w:tc>
        <w:tc>
          <w:tcPr>
            <w:tcW w:w="0" w:type="dxa"/>
            <w:vAlign w:val="bottom"/>
          </w:tcPr>
          <w:p>
            <w:pPr>
              <w:spacing w:after="0"/>
              <w:rPr>
                <w:sz w:val="1"/>
                <w:szCs w:val="1"/>
                <w:color w:val="auto"/>
              </w:rPr>
            </w:pPr>
          </w:p>
        </w:tc>
      </w:tr>
      <w:tr>
        <w:trPr>
          <w:trHeight w:val="160"/>
        </w:trPr>
        <w:tc>
          <w:tcPr>
            <w:tcW w:w="760" w:type="dxa"/>
            <w:vAlign w:val="bottom"/>
            <w:shd w:val="clear" w:color="auto" w:fill="FEFEFE"/>
          </w:tcPr>
          <w:p>
            <w:pPr>
              <w:spacing w:after="0"/>
              <w:rPr>
                <w:sz w:val="13"/>
                <w:szCs w:val="13"/>
                <w:color w:val="auto"/>
              </w:rPr>
            </w:pPr>
          </w:p>
        </w:tc>
        <w:tc>
          <w:tcPr>
            <w:tcW w:w="960" w:type="dxa"/>
            <w:vAlign w:val="bottom"/>
            <w:gridSpan w:val="5"/>
            <w:shd w:val="clear" w:color="auto" w:fill="FEFEFE"/>
          </w:tcPr>
          <w:p>
            <w:pPr>
              <w:spacing w:after="0" w:line="160" w:lineRule="exact"/>
              <w:rPr>
                <w:sz w:val="20"/>
                <w:szCs w:val="20"/>
                <w:color w:val="auto"/>
              </w:rPr>
            </w:pPr>
            <w:r>
              <w:rPr>
                <w:rFonts w:ascii="Arial" w:cs="Arial" w:eastAsia="Arial" w:hAnsi="Arial"/>
                <w:sz w:val="18"/>
                <w:szCs w:val="18"/>
                <w:color w:val="303030"/>
                <w:w w:val="90"/>
              </w:rPr>
              <w:t>June 7, 2016</w:t>
            </w:r>
          </w:p>
        </w:tc>
        <w:tc>
          <w:tcPr>
            <w:tcW w:w="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30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34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72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980" w:type="dxa"/>
            <w:vAlign w:val="bottom"/>
            <w:tcBorders>
              <w:top w:val="single" w:sz="8" w:color="303030"/>
            </w:tcBorders>
            <w:gridSpan w:val="5"/>
            <w:shd w:val="clear" w:color="auto" w:fill="FEFEFE"/>
          </w:tcPr>
          <w:p>
            <w:pPr>
              <w:spacing w:after="0"/>
              <w:rPr>
                <w:sz w:val="4"/>
                <w:szCs w:val="4"/>
                <w:color w:val="auto"/>
              </w:rPr>
            </w:pPr>
          </w:p>
        </w:tc>
        <w:tc>
          <w:tcPr>
            <w:tcW w:w="8320" w:type="dxa"/>
            <w:vAlign w:val="bottom"/>
            <w:tcBorders>
              <w:top w:val="single" w:sz="8" w:color="FEFEFE"/>
            </w:tcBorders>
            <w:gridSpan w:val="49"/>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E4E4E4"/>
            </w:tcBorders>
            <w:shd w:val="clear" w:color="auto" w:fill="E4E4E4"/>
          </w:tcPr>
          <w:p>
            <w:pPr>
              <w:ind w:left="160"/>
              <w:spacing w:after="0"/>
              <w:rPr>
                <w:sz w:val="20"/>
                <w:szCs w:val="20"/>
                <w:color w:val="auto"/>
              </w:rPr>
            </w:pPr>
            <w:r>
              <w:rPr>
                <w:rFonts w:ascii="Arial" w:cs="Arial" w:eastAsia="Arial" w:hAnsi="Arial"/>
                <w:sz w:val="18"/>
                <w:szCs w:val="18"/>
                <w:color w:val="auto"/>
              </w:rPr>
              <w:t>10.33</w:t>
            </w:r>
          </w:p>
        </w:tc>
        <w:tc>
          <w:tcPr>
            <w:tcW w:w="6820" w:type="dxa"/>
            <w:vAlign w:val="bottom"/>
            <w:tcBorders>
              <w:bottom w:val="single" w:sz="8" w:color="303030"/>
            </w:tcBorders>
            <w:gridSpan w:val="50"/>
            <w:shd w:val="clear" w:color="auto" w:fill="E4E4E4"/>
          </w:tcPr>
          <w:p>
            <w:pPr>
              <w:spacing w:after="0"/>
              <w:rPr>
                <w:sz w:val="20"/>
                <w:szCs w:val="20"/>
                <w:color w:val="auto"/>
              </w:rPr>
            </w:pPr>
            <w:r>
              <w:rPr>
                <w:rFonts w:ascii="Arial" w:cs="Arial" w:eastAsia="Arial" w:hAnsi="Arial"/>
                <w:sz w:val="18"/>
                <w:szCs w:val="18"/>
                <w:color w:val="303030"/>
                <w:w w:val="91"/>
              </w:rPr>
              <w:t>The Form of Deferred Stock Award for Directors granted under the Stock Incentive Plan as of</w:t>
            </w:r>
          </w:p>
        </w:tc>
        <w:tc>
          <w:tcPr>
            <w:tcW w:w="780" w:type="dxa"/>
            <w:vAlign w:val="bottom"/>
            <w:tcBorders>
              <w:bottom w:val="single" w:sz="8" w:color="E4E4E4"/>
            </w:tcBorders>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8"/>
                <w:szCs w:val="18"/>
                <w:color w:val="auto"/>
                <w:w w:val="91"/>
              </w:rPr>
              <w:t>11 2</w:t>
            </w:r>
          </w:p>
        </w:tc>
        <w:tc>
          <w:tcPr>
            <w:tcW w:w="5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60"/>
        </w:trPr>
        <w:tc>
          <w:tcPr>
            <w:tcW w:w="760" w:type="dxa"/>
            <w:vAlign w:val="bottom"/>
            <w:shd w:val="clear" w:color="auto" w:fill="E4E4E4"/>
          </w:tcPr>
          <w:p>
            <w:pPr>
              <w:spacing w:after="0"/>
              <w:rPr>
                <w:sz w:val="13"/>
                <w:szCs w:val="13"/>
                <w:color w:val="auto"/>
              </w:rPr>
            </w:pPr>
          </w:p>
        </w:tc>
        <w:tc>
          <w:tcPr>
            <w:tcW w:w="1520" w:type="dxa"/>
            <w:vAlign w:val="bottom"/>
            <w:gridSpan w:val="10"/>
            <w:shd w:val="clear" w:color="auto" w:fill="E4E4E4"/>
          </w:tcPr>
          <w:p>
            <w:pPr>
              <w:spacing w:after="0" w:line="160" w:lineRule="exact"/>
              <w:rPr>
                <w:sz w:val="20"/>
                <w:szCs w:val="20"/>
                <w:color w:val="auto"/>
              </w:rPr>
            </w:pPr>
            <w:r>
              <w:rPr>
                <w:rFonts w:ascii="Arial" w:cs="Arial" w:eastAsia="Arial" w:hAnsi="Arial"/>
                <w:sz w:val="18"/>
                <w:szCs w:val="18"/>
                <w:color w:val="303030"/>
              </w:rPr>
              <w:t>January 1, 2024</w:t>
            </w:r>
          </w:p>
        </w:tc>
        <w:tc>
          <w:tcPr>
            <w:tcW w:w="30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2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72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54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760" w:type="dxa"/>
            <w:vAlign w:val="bottom"/>
            <w:shd w:val="clear" w:color="auto" w:fill="E4E4E4"/>
          </w:tcPr>
          <w:p>
            <w:pPr>
              <w:spacing w:after="0"/>
              <w:rPr>
                <w:sz w:val="13"/>
                <w:szCs w:val="13"/>
                <w:color w:val="auto"/>
              </w:rPr>
            </w:pPr>
          </w:p>
        </w:tc>
        <w:tc>
          <w:tcPr>
            <w:tcW w:w="740" w:type="dxa"/>
            <w:vAlign w:val="bottom"/>
            <w:shd w:val="clear" w:color="auto" w:fill="E4E4E4"/>
          </w:tcPr>
          <w:p>
            <w:pPr>
              <w:spacing w:after="0"/>
              <w:rPr>
                <w:sz w:val="13"/>
                <w:szCs w:val="13"/>
                <w:color w:val="auto"/>
              </w:rPr>
            </w:pPr>
          </w:p>
        </w:tc>
        <w:tc>
          <w:tcPr>
            <w:tcW w:w="420" w:type="dxa"/>
            <w:vAlign w:val="bottom"/>
            <w:shd w:val="clear" w:color="auto" w:fill="E4E4E4"/>
          </w:tcPr>
          <w:p>
            <w:pPr>
              <w:spacing w:after="0"/>
              <w:rPr>
                <w:sz w:val="13"/>
                <w:szCs w:val="13"/>
                <w:color w:val="auto"/>
              </w:rPr>
            </w:pPr>
          </w:p>
        </w:tc>
        <w:tc>
          <w:tcPr>
            <w:tcW w:w="56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1220" w:type="dxa"/>
            <w:vAlign w:val="bottom"/>
            <w:tcBorders>
              <w:top w:val="single" w:sz="8" w:color="303030"/>
            </w:tcBorders>
            <w:gridSpan w:val="7"/>
            <w:shd w:val="clear" w:color="auto" w:fill="E4E4E4"/>
          </w:tcPr>
          <w:p>
            <w:pPr>
              <w:spacing w:after="0"/>
              <w:rPr>
                <w:sz w:val="4"/>
                <w:szCs w:val="4"/>
                <w:color w:val="auto"/>
              </w:rPr>
            </w:pPr>
          </w:p>
        </w:tc>
        <w:tc>
          <w:tcPr>
            <w:tcW w:w="8080" w:type="dxa"/>
            <w:vAlign w:val="bottom"/>
            <w:tcBorders>
              <w:top w:val="single" w:sz="8" w:color="E4E4E4"/>
            </w:tcBorders>
            <w:gridSpan w:val="47"/>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10.34</w:t>
            </w:r>
          </w:p>
        </w:tc>
        <w:tc>
          <w:tcPr>
            <w:tcW w:w="400" w:type="dxa"/>
            <w:vAlign w:val="bottom"/>
            <w:gridSpan w:val="2"/>
            <w:shd w:val="clear" w:color="auto" w:fill="FEFEFE"/>
          </w:tcPr>
          <w:p>
            <w:pPr>
              <w:spacing w:after="0"/>
              <w:rPr>
                <w:sz w:val="20"/>
                <w:szCs w:val="20"/>
                <w:color w:val="auto"/>
              </w:rPr>
            </w:pPr>
            <w:r>
              <w:rPr>
                <w:rFonts w:ascii="Arial" w:cs="Arial" w:eastAsia="Arial" w:hAnsi="Arial"/>
                <w:sz w:val="18"/>
                <w:szCs w:val="18"/>
                <w:color w:val="303030"/>
              </w:rPr>
              <w:t>The</w:t>
            </w:r>
          </w:p>
        </w:tc>
        <w:tc>
          <w:tcPr>
            <w:tcW w:w="2720" w:type="dxa"/>
            <w:vAlign w:val="bottom"/>
            <w:gridSpan w:val="17"/>
            <w:shd w:val="clear" w:color="auto" w:fill="FEFEFE"/>
          </w:tcPr>
          <w:p>
            <w:pPr>
              <w:ind w:left="80"/>
              <w:spacing w:after="0"/>
              <w:rPr>
                <w:sz w:val="20"/>
                <w:szCs w:val="20"/>
                <w:color w:val="auto"/>
              </w:rPr>
            </w:pPr>
            <w:r>
              <w:rPr>
                <w:rFonts w:ascii="Arial" w:cs="Arial" w:eastAsia="Arial" w:hAnsi="Arial"/>
                <w:sz w:val="18"/>
                <w:szCs w:val="18"/>
                <w:color w:val="303030"/>
                <w:w w:val="90"/>
              </w:rPr>
              <w:t>anagement Incentive Plan and Long</w:t>
            </w:r>
          </w:p>
        </w:tc>
        <w:tc>
          <w:tcPr>
            <w:tcW w:w="3160" w:type="dxa"/>
            <w:vAlign w:val="bottom"/>
            <w:gridSpan w:val="19"/>
            <w:shd w:val="clear" w:color="auto" w:fill="FEFEFE"/>
          </w:tcPr>
          <w:p>
            <w:pPr>
              <w:ind w:left="120"/>
              <w:spacing w:after="0"/>
              <w:rPr>
                <w:sz w:val="20"/>
                <w:szCs w:val="20"/>
                <w:color w:val="auto"/>
              </w:rPr>
            </w:pPr>
            <w:r>
              <w:rPr>
                <w:rFonts w:ascii="Arial" w:cs="Arial" w:eastAsia="Arial" w:hAnsi="Arial"/>
                <w:sz w:val="18"/>
                <w:szCs w:val="18"/>
                <w:color w:val="303030"/>
                <w:w w:val="95"/>
              </w:rPr>
              <w:t>ange Performance Incentive Plan (2013</w:t>
            </w: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780" w:type="dxa"/>
            <w:vAlign w:val="bottom"/>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10.22</w:t>
            </w:r>
          </w:p>
        </w:tc>
        <w:tc>
          <w:tcPr>
            <w:tcW w:w="980" w:type="dxa"/>
            <w:vAlign w:val="bottom"/>
            <w:gridSpan w:val="2"/>
            <w:shd w:val="clear" w:color="auto" w:fill="FEFEFE"/>
          </w:tcPr>
          <w:p>
            <w:pPr>
              <w:ind w:left="160"/>
              <w:spacing w:after="0"/>
              <w:rPr>
                <w:sz w:val="20"/>
                <w:szCs w:val="20"/>
                <w:color w:val="auto"/>
              </w:rPr>
            </w:pPr>
            <w:r>
              <w:rPr>
                <w:rFonts w:ascii="Arial" w:cs="Arial" w:eastAsia="Arial" w:hAnsi="Arial"/>
                <w:sz w:val="18"/>
                <w:szCs w:val="18"/>
                <w:color w:val="auto"/>
              </w:rPr>
              <w:t>4 2 2013</w:t>
            </w:r>
          </w:p>
        </w:tc>
        <w:tc>
          <w:tcPr>
            <w:tcW w:w="0" w:type="dxa"/>
            <w:vAlign w:val="bottom"/>
          </w:tcPr>
          <w:p>
            <w:pPr>
              <w:spacing w:after="0"/>
              <w:rPr>
                <w:sz w:val="1"/>
                <w:szCs w:val="1"/>
                <w:color w:val="auto"/>
              </w:rPr>
            </w:pPr>
          </w:p>
        </w:tc>
      </w:tr>
      <w:tr>
        <w:trPr>
          <w:trHeight w:val="215"/>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940" w:type="dxa"/>
            <w:vAlign w:val="bottom"/>
            <w:tcBorders>
              <w:top w:val="single" w:sz="8" w:color="303030"/>
              <w:bottom w:val="single" w:sz="8" w:color="303030"/>
            </w:tcBorders>
            <w:gridSpan w:val="4"/>
            <w:shd w:val="clear" w:color="auto" w:fill="FEFEFE"/>
          </w:tcPr>
          <w:p>
            <w:pPr>
              <w:ind w:left="100"/>
              <w:spacing w:after="0" w:line="160" w:lineRule="exact"/>
              <w:rPr>
                <w:sz w:val="20"/>
                <w:szCs w:val="20"/>
                <w:color w:val="auto"/>
              </w:rPr>
            </w:pPr>
            <w:r>
              <w:rPr>
                <w:rFonts w:ascii="Arial" w:cs="Arial" w:eastAsia="Arial" w:hAnsi="Arial"/>
                <w:sz w:val="18"/>
                <w:szCs w:val="18"/>
                <w:color w:val="303030"/>
                <w:w w:val="86"/>
              </w:rPr>
              <w:t>estatement)</w:t>
            </w:r>
          </w:p>
        </w:tc>
        <w:tc>
          <w:tcPr>
            <w:tcW w:w="40" w:type="dxa"/>
            <w:vAlign w:val="bottom"/>
            <w:tcBorders>
              <w:top w:val="single" w:sz="8" w:color="303030"/>
              <w:bottom w:val="single" w:sz="8" w:color="303030"/>
            </w:tcBorders>
            <w:shd w:val="clear" w:color="auto" w:fill="FEFEFE"/>
          </w:tcPr>
          <w:p>
            <w:pPr>
              <w:spacing w:after="0"/>
              <w:rPr>
                <w:sz w:val="18"/>
                <w:szCs w:val="18"/>
                <w:color w:val="auto"/>
              </w:rPr>
            </w:pPr>
          </w:p>
        </w:tc>
        <w:tc>
          <w:tcPr>
            <w:tcW w:w="40" w:type="dxa"/>
            <w:vAlign w:val="bottom"/>
            <w:tcBorders>
              <w:top w:val="single" w:sz="8" w:color="303030"/>
              <w:bottom w:val="single" w:sz="8" w:color="303030"/>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160" w:type="dxa"/>
            <w:vAlign w:val="bottom"/>
            <w:tcBorders>
              <w:top w:val="single" w:sz="8" w:color="303030"/>
              <w:bottom w:val="single" w:sz="8" w:color="FEFEFE"/>
            </w:tcBorders>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18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18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24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220" w:type="dxa"/>
            <w:vAlign w:val="bottom"/>
            <w:tcBorders>
              <w:top w:val="single" w:sz="8" w:color="303030"/>
              <w:bottom w:val="single" w:sz="8" w:color="FEFEFE"/>
            </w:tcBorders>
            <w:shd w:val="clear" w:color="auto" w:fill="FEFEFE"/>
          </w:tcPr>
          <w:p>
            <w:pPr>
              <w:spacing w:after="0"/>
              <w:rPr>
                <w:sz w:val="18"/>
                <w:szCs w:val="18"/>
                <w:color w:val="auto"/>
              </w:rPr>
            </w:pPr>
          </w:p>
        </w:tc>
        <w:tc>
          <w:tcPr>
            <w:tcW w:w="240" w:type="dxa"/>
            <w:vAlign w:val="bottom"/>
            <w:tcBorders>
              <w:top w:val="single" w:sz="8" w:color="303030"/>
              <w:bottom w:val="single" w:sz="8" w:color="FEFEFE"/>
            </w:tcBorders>
            <w:shd w:val="clear" w:color="auto" w:fill="FEFEFE"/>
          </w:tcPr>
          <w:p>
            <w:pPr>
              <w:spacing w:after="0"/>
              <w:rPr>
                <w:sz w:val="18"/>
                <w:szCs w:val="18"/>
                <w:color w:val="auto"/>
              </w:rPr>
            </w:pPr>
          </w:p>
        </w:tc>
        <w:tc>
          <w:tcPr>
            <w:tcW w:w="720" w:type="dxa"/>
            <w:vAlign w:val="bottom"/>
            <w:tcBorders>
              <w:top w:val="single" w:sz="8" w:color="303030"/>
              <w:bottom w:val="single" w:sz="8" w:color="FEFEFE"/>
            </w:tcBorders>
            <w:shd w:val="clear" w:color="auto" w:fill="FEFEFE"/>
          </w:tcPr>
          <w:p>
            <w:pPr>
              <w:spacing w:after="0"/>
              <w:rPr>
                <w:sz w:val="18"/>
                <w:szCs w:val="18"/>
                <w:color w:val="auto"/>
              </w:rPr>
            </w:pPr>
          </w:p>
        </w:tc>
        <w:tc>
          <w:tcPr>
            <w:tcW w:w="18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40" w:type="dxa"/>
            <w:vAlign w:val="bottom"/>
            <w:tcBorders>
              <w:top w:val="single" w:sz="8" w:color="303030"/>
              <w:bottom w:val="single" w:sz="8" w:color="FEFEFE"/>
            </w:tcBorders>
            <w:shd w:val="clear" w:color="auto" w:fill="FEFEFE"/>
          </w:tcPr>
          <w:p>
            <w:pPr>
              <w:spacing w:after="0"/>
              <w:rPr>
                <w:sz w:val="18"/>
                <w:szCs w:val="18"/>
                <w:color w:val="auto"/>
              </w:rPr>
            </w:pPr>
          </w:p>
        </w:tc>
        <w:tc>
          <w:tcPr>
            <w:tcW w:w="54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24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8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80" w:type="dxa"/>
            <w:vAlign w:val="bottom"/>
            <w:tcBorders>
              <w:top w:val="single" w:sz="8" w:color="FEFEFE"/>
              <w:bottom w:val="single" w:sz="8" w:color="FEFEFE"/>
            </w:tcBorders>
            <w:shd w:val="clear" w:color="auto" w:fill="FEFEFE"/>
          </w:tcPr>
          <w:p>
            <w:pPr>
              <w:spacing w:after="0"/>
              <w:rPr>
                <w:sz w:val="18"/>
                <w:szCs w:val="18"/>
                <w:color w:val="auto"/>
              </w:rPr>
            </w:pPr>
          </w:p>
        </w:tc>
        <w:tc>
          <w:tcPr>
            <w:tcW w:w="14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1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740" w:type="dxa"/>
            <w:vAlign w:val="bottom"/>
            <w:tcBorders>
              <w:top w:val="single" w:sz="8" w:color="FEFEFE"/>
              <w:bottom w:val="single" w:sz="8" w:color="FEFEFE"/>
            </w:tcBorders>
            <w:shd w:val="clear" w:color="auto" w:fill="FEFEFE"/>
          </w:tcPr>
          <w:p>
            <w:pPr>
              <w:spacing w:after="0"/>
              <w:rPr>
                <w:sz w:val="18"/>
                <w:szCs w:val="18"/>
                <w:color w:val="auto"/>
              </w:rPr>
            </w:pPr>
          </w:p>
        </w:tc>
        <w:tc>
          <w:tcPr>
            <w:tcW w:w="420" w:type="dxa"/>
            <w:vAlign w:val="bottom"/>
            <w:tcBorders>
              <w:top w:val="single" w:sz="8" w:color="FEFEFE"/>
              <w:bottom w:val="single" w:sz="8" w:color="FEFEFE"/>
            </w:tcBorders>
            <w:shd w:val="clear" w:color="auto" w:fill="FEFEFE"/>
          </w:tcPr>
          <w:p>
            <w:pPr>
              <w:spacing w:after="0"/>
              <w:rPr>
                <w:sz w:val="18"/>
                <w:szCs w:val="18"/>
                <w:color w:val="auto"/>
              </w:rPr>
            </w:pPr>
          </w:p>
        </w:tc>
        <w:tc>
          <w:tcPr>
            <w:tcW w:w="56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FEFEFE"/>
            </w:tcBorders>
            <w:shd w:val="clear" w:color="auto" w:fill="E4E4E4"/>
          </w:tcPr>
          <w:p>
            <w:pPr>
              <w:ind w:left="160"/>
              <w:spacing w:after="0"/>
              <w:rPr>
                <w:sz w:val="20"/>
                <w:szCs w:val="20"/>
                <w:color w:val="auto"/>
              </w:rPr>
            </w:pPr>
            <w:r>
              <w:rPr>
                <w:rFonts w:ascii="Arial" w:cs="Arial" w:eastAsia="Arial" w:hAnsi="Arial"/>
                <w:sz w:val="18"/>
                <w:szCs w:val="18"/>
                <w:color w:val="auto"/>
              </w:rPr>
              <w:t>10.35</w:t>
            </w:r>
          </w:p>
        </w:tc>
        <w:tc>
          <w:tcPr>
            <w:tcW w:w="400" w:type="dxa"/>
            <w:vAlign w:val="bottom"/>
            <w:tcBorders>
              <w:top w:val="single" w:sz="8" w:color="FEFEFE"/>
            </w:tcBorders>
            <w:gridSpan w:val="2"/>
            <w:shd w:val="clear" w:color="auto" w:fill="E4E4E4"/>
          </w:tcPr>
          <w:p>
            <w:pPr>
              <w:spacing w:after="0"/>
              <w:rPr>
                <w:sz w:val="20"/>
                <w:szCs w:val="20"/>
                <w:color w:val="auto"/>
              </w:rPr>
            </w:pPr>
            <w:r>
              <w:rPr>
                <w:rFonts w:ascii="Arial" w:cs="Arial" w:eastAsia="Arial" w:hAnsi="Arial"/>
                <w:sz w:val="18"/>
                <w:szCs w:val="18"/>
                <w:color w:val="303030"/>
              </w:rPr>
              <w:t>The</w:t>
            </w:r>
          </w:p>
        </w:tc>
        <w:tc>
          <w:tcPr>
            <w:tcW w:w="3000" w:type="dxa"/>
            <w:vAlign w:val="bottom"/>
            <w:tcBorders>
              <w:top w:val="single" w:sz="8" w:color="FEFEFE"/>
            </w:tcBorders>
            <w:gridSpan w:val="19"/>
            <w:shd w:val="clear" w:color="auto" w:fill="E4E4E4"/>
          </w:tcPr>
          <w:p>
            <w:pPr>
              <w:ind w:left="60"/>
              <w:spacing w:after="0"/>
              <w:rPr>
                <w:sz w:val="20"/>
                <w:szCs w:val="20"/>
                <w:color w:val="auto"/>
              </w:rPr>
            </w:pPr>
            <w:r>
              <w:rPr>
                <w:rFonts w:ascii="Arial" w:cs="Arial" w:eastAsia="Arial" w:hAnsi="Arial"/>
                <w:sz w:val="18"/>
                <w:szCs w:val="18"/>
                <w:color w:val="303030"/>
                <w:w w:val="94"/>
              </w:rPr>
              <w:t>eneral Deferred Compensation Plan (1</w:t>
            </w:r>
          </w:p>
        </w:tc>
        <w:tc>
          <w:tcPr>
            <w:tcW w:w="220" w:type="dxa"/>
            <w:vAlign w:val="bottom"/>
            <w:tcBorders>
              <w:top w:val="single" w:sz="8" w:color="FEFEFE"/>
            </w:tcBorders>
            <w:shd w:val="clear" w:color="auto" w:fill="E4E4E4"/>
          </w:tcPr>
          <w:p>
            <w:pPr>
              <w:jc w:val="right"/>
              <w:ind w:right="30"/>
              <w:spacing w:after="0"/>
              <w:rPr>
                <w:sz w:val="20"/>
                <w:szCs w:val="20"/>
                <w:color w:val="auto"/>
              </w:rPr>
            </w:pPr>
            <w:r>
              <w:rPr>
                <w:rFonts w:ascii="Arial" w:cs="Arial" w:eastAsia="Arial" w:hAnsi="Arial"/>
                <w:sz w:val="18"/>
                <w:szCs w:val="18"/>
                <w:color w:val="303030"/>
                <w:w w:val="79"/>
              </w:rPr>
              <w:t>8</w:t>
            </w:r>
          </w:p>
        </w:tc>
        <w:tc>
          <w:tcPr>
            <w:tcW w:w="1320" w:type="dxa"/>
            <w:vAlign w:val="bottom"/>
            <w:tcBorders>
              <w:top w:val="single" w:sz="8" w:color="FEFEFE"/>
            </w:tcBorders>
            <w:gridSpan w:val="6"/>
            <w:shd w:val="clear" w:color="auto" w:fill="E4E4E4"/>
          </w:tcPr>
          <w:p>
            <w:pPr>
              <w:ind w:left="40"/>
              <w:spacing w:after="0"/>
              <w:rPr>
                <w:sz w:val="20"/>
                <w:szCs w:val="20"/>
                <w:color w:val="auto"/>
              </w:rPr>
            </w:pPr>
            <w:r>
              <w:rPr>
                <w:rFonts w:ascii="Arial" w:cs="Arial" w:eastAsia="Arial" w:hAnsi="Arial"/>
                <w:sz w:val="18"/>
                <w:szCs w:val="18"/>
                <w:color w:val="303030"/>
                <w:w w:val="96"/>
              </w:rPr>
              <w:t>estatement) (the</w:t>
            </w:r>
          </w:p>
        </w:tc>
        <w:tc>
          <w:tcPr>
            <w:tcW w:w="1340" w:type="dxa"/>
            <w:vAlign w:val="bottom"/>
            <w:tcBorders>
              <w:top w:val="single" w:sz="8" w:color="FEFEFE"/>
            </w:tcBorders>
            <w:gridSpan w:val="10"/>
            <w:shd w:val="clear" w:color="auto" w:fill="E4E4E4"/>
          </w:tcPr>
          <w:p>
            <w:pPr>
              <w:ind w:left="60"/>
              <w:spacing w:after="0"/>
              <w:rPr>
                <w:sz w:val="20"/>
                <w:szCs w:val="20"/>
                <w:color w:val="auto"/>
              </w:rPr>
            </w:pPr>
            <w:r>
              <w:rPr>
                <w:rFonts w:ascii="Arial" w:cs="Arial" w:eastAsia="Arial" w:hAnsi="Arial"/>
                <w:sz w:val="18"/>
                <w:szCs w:val="18"/>
                <w:color w:val="303030"/>
              </w:rPr>
              <w:t>DCP) and First</w:t>
            </w:r>
          </w:p>
        </w:tc>
        <w:tc>
          <w:tcPr>
            <w:tcW w:w="14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1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40" w:type="dxa"/>
            <w:vAlign w:val="bottom"/>
            <w:tcBorders>
              <w:top w:val="single" w:sz="8" w:color="FEFEFE"/>
            </w:tcBorders>
            <w:shd w:val="clear" w:color="auto" w:fill="E4E4E4"/>
          </w:tcPr>
          <w:p>
            <w:pPr>
              <w:spacing w:after="0"/>
              <w:rPr>
                <w:sz w:val="18"/>
                <w:szCs w:val="18"/>
                <w:color w:val="auto"/>
              </w:rPr>
            </w:pPr>
          </w:p>
        </w:tc>
        <w:tc>
          <w:tcPr>
            <w:tcW w:w="40" w:type="dxa"/>
            <w:vAlign w:val="bottom"/>
            <w:tcBorders>
              <w:top w:val="single" w:sz="8" w:color="FEFEFE"/>
            </w:tcBorders>
            <w:shd w:val="clear" w:color="auto" w:fill="E4E4E4"/>
          </w:tcPr>
          <w:p>
            <w:pPr>
              <w:spacing w:after="0"/>
              <w:rPr>
                <w:sz w:val="18"/>
                <w:szCs w:val="18"/>
                <w:color w:val="auto"/>
              </w:rPr>
            </w:pPr>
          </w:p>
        </w:tc>
        <w:tc>
          <w:tcPr>
            <w:tcW w:w="60" w:type="dxa"/>
            <w:vAlign w:val="bottom"/>
            <w:tcBorders>
              <w:top w:val="single" w:sz="8" w:color="FEFEFE"/>
            </w:tcBorders>
            <w:shd w:val="clear" w:color="auto" w:fill="E4E4E4"/>
          </w:tcPr>
          <w:p>
            <w:pPr>
              <w:spacing w:after="0"/>
              <w:rPr>
                <w:sz w:val="18"/>
                <w:szCs w:val="18"/>
                <w:color w:val="auto"/>
              </w:rPr>
            </w:pPr>
          </w:p>
        </w:tc>
        <w:tc>
          <w:tcPr>
            <w:tcW w:w="20" w:type="dxa"/>
            <w:vAlign w:val="bottom"/>
            <w:tcBorders>
              <w:top w:val="single" w:sz="8" w:color="FEFEFE"/>
            </w:tcBorders>
            <w:shd w:val="clear" w:color="auto" w:fill="E4E4E4"/>
          </w:tcPr>
          <w:p>
            <w:pPr>
              <w:spacing w:after="0"/>
              <w:rPr>
                <w:sz w:val="18"/>
                <w:szCs w:val="18"/>
                <w:color w:val="auto"/>
              </w:rPr>
            </w:pPr>
          </w:p>
        </w:tc>
        <w:tc>
          <w:tcPr>
            <w:tcW w:w="780" w:type="dxa"/>
            <w:vAlign w:val="bottom"/>
            <w:tcBorders>
              <w:top w:val="single" w:sz="8" w:color="FEFEFE"/>
            </w:tcBorders>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top w:val="single" w:sz="8" w:color="FEFEFE"/>
            </w:tcBorders>
            <w:shd w:val="clear" w:color="auto" w:fill="E4E4E4"/>
          </w:tcPr>
          <w:p>
            <w:pPr>
              <w:jc w:val="center"/>
              <w:spacing w:after="0"/>
              <w:rPr>
                <w:sz w:val="20"/>
                <w:szCs w:val="20"/>
                <w:color w:val="auto"/>
              </w:rPr>
            </w:pPr>
            <w:r>
              <w:rPr>
                <w:rFonts w:ascii="Arial" w:cs="Arial" w:eastAsia="Arial" w:hAnsi="Arial"/>
                <w:sz w:val="18"/>
                <w:szCs w:val="18"/>
                <w:color w:val="auto"/>
                <w:w w:val="87"/>
              </w:rPr>
              <w:t>10.</w:t>
            </w:r>
          </w:p>
        </w:tc>
        <w:tc>
          <w:tcPr>
            <w:tcW w:w="420" w:type="dxa"/>
            <w:vAlign w:val="bottom"/>
            <w:tcBorders>
              <w:top w:val="single" w:sz="8" w:color="FEFEFE"/>
            </w:tcBorders>
            <w:shd w:val="clear" w:color="auto" w:fill="E4E4E4"/>
          </w:tcPr>
          <w:p>
            <w:pPr>
              <w:ind w:left="120"/>
              <w:spacing w:after="0"/>
              <w:rPr>
                <w:sz w:val="20"/>
                <w:szCs w:val="20"/>
                <w:color w:val="auto"/>
              </w:rPr>
            </w:pPr>
            <w:r>
              <w:rPr>
                <w:rFonts w:ascii="Arial" w:cs="Arial" w:eastAsia="Arial" w:hAnsi="Arial"/>
                <w:sz w:val="18"/>
                <w:szCs w:val="18"/>
                <w:color w:val="auto"/>
              </w:rPr>
              <w:t>4 2</w:t>
            </w:r>
          </w:p>
        </w:tc>
        <w:tc>
          <w:tcPr>
            <w:tcW w:w="560" w:type="dxa"/>
            <w:vAlign w:val="bottom"/>
            <w:tcBorders>
              <w:top w:val="single" w:sz="8" w:color="FEFEFE"/>
            </w:tcBorders>
            <w:shd w:val="clear" w:color="auto" w:fill="E4E4E4"/>
          </w:tcPr>
          <w:p>
            <w:pPr>
              <w:ind w:lef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1520" w:type="dxa"/>
            <w:vAlign w:val="bottom"/>
            <w:tcBorders>
              <w:top w:val="single" w:sz="8" w:color="303030"/>
            </w:tcBorders>
            <w:gridSpan w:val="10"/>
            <w:shd w:val="clear" w:color="auto" w:fill="E4E4E4"/>
          </w:tcPr>
          <w:p>
            <w:pPr>
              <w:spacing w:after="0" w:line="160" w:lineRule="exact"/>
              <w:rPr>
                <w:sz w:val="20"/>
                <w:szCs w:val="20"/>
                <w:color w:val="auto"/>
              </w:rPr>
            </w:pPr>
            <w:r>
              <w:rPr>
                <w:rFonts w:ascii="Arial" w:cs="Arial" w:eastAsia="Arial" w:hAnsi="Arial"/>
                <w:sz w:val="18"/>
                <w:szCs w:val="18"/>
                <w:color w:val="303030"/>
              </w:rPr>
              <w:t>Amendment to the</w:t>
            </w:r>
          </w:p>
        </w:tc>
        <w:tc>
          <w:tcPr>
            <w:tcW w:w="2100" w:type="dxa"/>
            <w:vAlign w:val="bottom"/>
            <w:tcBorders>
              <w:top w:val="single" w:sz="8" w:color="303030"/>
            </w:tcBorders>
            <w:gridSpan w:val="12"/>
            <w:shd w:val="clear" w:color="auto" w:fill="E4E4E4"/>
          </w:tcPr>
          <w:p>
            <w:pPr>
              <w:spacing w:after="0" w:line="160" w:lineRule="exact"/>
              <w:rPr>
                <w:sz w:val="20"/>
                <w:szCs w:val="20"/>
                <w:color w:val="auto"/>
              </w:rPr>
            </w:pPr>
            <w:r>
              <w:rPr>
                <w:rFonts w:ascii="Arial" w:cs="Arial" w:eastAsia="Arial" w:hAnsi="Arial"/>
                <w:sz w:val="18"/>
                <w:szCs w:val="18"/>
                <w:color w:val="303030"/>
                <w:w w:val="94"/>
              </w:rPr>
              <w:t>DCP, effective January 1, 1</w:t>
            </w:r>
          </w:p>
        </w:tc>
        <w:tc>
          <w:tcPr>
            <w:tcW w:w="240" w:type="dxa"/>
            <w:vAlign w:val="bottom"/>
            <w:tcBorders>
              <w:top w:val="single" w:sz="8" w:color="303030"/>
            </w:tcBorders>
            <w:shd w:val="clear" w:color="auto" w:fill="E4E4E4"/>
          </w:tcPr>
          <w:p>
            <w:pPr>
              <w:spacing w:after="0"/>
              <w:rPr>
                <w:sz w:val="13"/>
                <w:szCs w:val="13"/>
                <w:color w:val="auto"/>
              </w:rPr>
            </w:pPr>
          </w:p>
        </w:tc>
        <w:tc>
          <w:tcPr>
            <w:tcW w:w="7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5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80" w:type="dxa"/>
            <w:vAlign w:val="bottom"/>
            <w:tcBorders>
              <w:top w:val="single" w:sz="8" w:color="E4E4E4"/>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1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420" w:type="dxa"/>
            <w:vAlign w:val="bottom"/>
            <w:tcBorders>
              <w:top w:val="single" w:sz="8" w:color="E4E4E4"/>
            </w:tcBorders>
            <w:shd w:val="clear" w:color="auto" w:fill="E4E4E4"/>
          </w:tcPr>
          <w:p>
            <w:pPr>
              <w:spacing w:after="0"/>
              <w:rPr>
                <w:sz w:val="13"/>
                <w:szCs w:val="13"/>
                <w:color w:val="auto"/>
              </w:rPr>
            </w:pPr>
          </w:p>
        </w:tc>
        <w:tc>
          <w:tcPr>
            <w:tcW w:w="56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3840" w:type="dxa"/>
            <w:vAlign w:val="bottom"/>
            <w:tcBorders>
              <w:top w:val="single" w:sz="8" w:color="303030"/>
            </w:tcBorders>
            <w:gridSpan w:val="22"/>
            <w:shd w:val="clear" w:color="auto" w:fill="E4E4E4"/>
          </w:tcPr>
          <w:p>
            <w:pPr>
              <w:spacing w:after="0"/>
              <w:rPr>
                <w:sz w:val="4"/>
                <w:szCs w:val="4"/>
                <w:color w:val="auto"/>
              </w:rPr>
            </w:pPr>
          </w:p>
        </w:tc>
        <w:tc>
          <w:tcPr>
            <w:tcW w:w="5460" w:type="dxa"/>
            <w:vAlign w:val="bottom"/>
            <w:tcBorders>
              <w:top w:val="single" w:sz="8" w:color="E4E4E4"/>
            </w:tcBorders>
            <w:gridSpan w:val="32"/>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10.36</w:t>
            </w:r>
          </w:p>
        </w:tc>
        <w:tc>
          <w:tcPr>
            <w:tcW w:w="2400" w:type="dxa"/>
            <w:vAlign w:val="bottom"/>
            <w:gridSpan w:val="14"/>
            <w:shd w:val="clear" w:color="auto" w:fill="FEFEFE"/>
          </w:tcPr>
          <w:p>
            <w:pPr>
              <w:spacing w:after="0"/>
              <w:rPr>
                <w:sz w:val="20"/>
                <w:szCs w:val="20"/>
                <w:color w:val="auto"/>
              </w:rPr>
            </w:pPr>
            <w:r>
              <w:rPr>
                <w:rFonts w:ascii="Arial" w:cs="Arial" w:eastAsia="Arial" w:hAnsi="Arial"/>
                <w:sz w:val="18"/>
                <w:szCs w:val="18"/>
                <w:color w:val="303030"/>
                <w:w w:val="95"/>
              </w:rPr>
              <w:t>The Second Amendment to the</w:t>
            </w:r>
          </w:p>
        </w:tc>
        <w:tc>
          <w:tcPr>
            <w:tcW w:w="2540" w:type="dxa"/>
            <w:vAlign w:val="bottom"/>
            <w:gridSpan w:val="14"/>
            <w:shd w:val="clear" w:color="auto" w:fill="FEFEFE"/>
          </w:tcPr>
          <w:p>
            <w:pPr>
              <w:ind w:left="20"/>
              <w:spacing w:after="0"/>
              <w:rPr>
                <w:sz w:val="20"/>
                <w:szCs w:val="20"/>
                <w:color w:val="auto"/>
              </w:rPr>
            </w:pPr>
            <w:r>
              <w:rPr>
                <w:rFonts w:ascii="Arial" w:cs="Arial" w:eastAsia="Arial" w:hAnsi="Arial"/>
                <w:sz w:val="18"/>
                <w:szCs w:val="18"/>
                <w:color w:val="303030"/>
              </w:rPr>
              <w:t>DCP, effective January 1, 2000</w:t>
            </w:r>
          </w:p>
        </w:tc>
        <w:tc>
          <w:tcPr>
            <w:tcW w:w="54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780" w:type="dxa"/>
            <w:vAlign w:val="bottom"/>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10.10</w:t>
            </w:r>
          </w:p>
        </w:tc>
        <w:tc>
          <w:tcPr>
            <w:tcW w:w="980" w:type="dxa"/>
            <w:vAlign w:val="bottom"/>
            <w:gridSpan w:val="2"/>
            <w:shd w:val="clear" w:color="auto" w:fill="FEFEFE"/>
          </w:tcPr>
          <w:p>
            <w:pPr>
              <w:ind w:left="120"/>
              <w:spacing w:after="0"/>
              <w:rPr>
                <w:sz w:val="20"/>
                <w:szCs w:val="20"/>
                <w:color w:val="auto"/>
              </w:rPr>
            </w:pPr>
            <w:r>
              <w:rPr>
                <w:rFonts w:ascii="Arial" w:cs="Arial" w:eastAsia="Arial" w:hAnsi="Arial"/>
                <w:sz w:val="18"/>
                <w:szCs w:val="18"/>
                <w:color w:val="auto"/>
              </w:rPr>
              <w:t>4 28 2000</w:t>
            </w: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4740" w:type="dxa"/>
            <w:vAlign w:val="bottom"/>
            <w:tcBorders>
              <w:top w:val="single" w:sz="8" w:color="303030"/>
            </w:tcBorders>
            <w:gridSpan w:val="24"/>
            <w:shd w:val="clear" w:color="auto" w:fill="FEFEFE"/>
          </w:tcPr>
          <w:p>
            <w:pPr>
              <w:spacing w:after="0"/>
              <w:rPr>
                <w:sz w:val="4"/>
                <w:szCs w:val="4"/>
                <w:color w:val="auto"/>
              </w:rPr>
            </w:pPr>
          </w:p>
        </w:tc>
        <w:tc>
          <w:tcPr>
            <w:tcW w:w="4560" w:type="dxa"/>
            <w:vAlign w:val="bottom"/>
            <w:tcBorders>
              <w:top w:val="single" w:sz="8" w:color="FEFEFE"/>
            </w:tcBorders>
            <w:gridSpan w:val="30"/>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10.37</w:t>
            </w:r>
          </w:p>
        </w:tc>
        <w:tc>
          <w:tcPr>
            <w:tcW w:w="3120" w:type="dxa"/>
            <w:vAlign w:val="bottom"/>
            <w:gridSpan w:val="19"/>
            <w:shd w:val="clear" w:color="auto" w:fill="E4E4E4"/>
          </w:tcPr>
          <w:p>
            <w:pPr>
              <w:spacing w:after="0"/>
              <w:rPr>
                <w:sz w:val="20"/>
                <w:szCs w:val="20"/>
                <w:color w:val="auto"/>
              </w:rPr>
            </w:pPr>
            <w:r>
              <w:rPr>
                <w:rFonts w:ascii="Arial" w:cs="Arial" w:eastAsia="Arial" w:hAnsi="Arial"/>
                <w:sz w:val="18"/>
                <w:szCs w:val="18"/>
                <w:color w:val="303030"/>
                <w:w w:val="93"/>
              </w:rPr>
              <w:t>The Third and Fourth Amendments to the</w:t>
            </w:r>
          </w:p>
        </w:tc>
        <w:tc>
          <w:tcPr>
            <w:tcW w:w="500" w:type="dxa"/>
            <w:vAlign w:val="bottom"/>
            <w:gridSpan w:val="3"/>
            <w:shd w:val="clear" w:color="auto" w:fill="E4E4E4"/>
          </w:tcPr>
          <w:p>
            <w:pPr>
              <w:jc w:val="right"/>
              <w:spacing w:after="0"/>
              <w:rPr>
                <w:sz w:val="20"/>
                <w:szCs w:val="20"/>
                <w:color w:val="auto"/>
              </w:rPr>
            </w:pPr>
            <w:r>
              <w:rPr>
                <w:rFonts w:ascii="Arial" w:cs="Arial" w:eastAsia="Arial" w:hAnsi="Arial"/>
                <w:sz w:val="18"/>
                <w:szCs w:val="18"/>
                <w:color w:val="303030"/>
              </w:rPr>
              <w:t>DCP</w:t>
            </w:r>
          </w:p>
        </w:tc>
        <w:tc>
          <w:tcPr>
            <w:tcW w:w="24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8"/>
              </w:rPr>
              <w:t>10.17</w:t>
            </w:r>
          </w:p>
        </w:tc>
        <w:tc>
          <w:tcPr>
            <w:tcW w:w="420" w:type="dxa"/>
            <w:vAlign w:val="bottom"/>
            <w:shd w:val="clear" w:color="auto" w:fill="E4E4E4"/>
          </w:tcPr>
          <w:p>
            <w:pPr>
              <w:ind w:left="120"/>
              <w:spacing w:after="0"/>
              <w:rPr>
                <w:sz w:val="20"/>
                <w:szCs w:val="20"/>
                <w:color w:val="auto"/>
              </w:rPr>
            </w:pPr>
            <w:r>
              <w:rPr>
                <w:rFonts w:ascii="Arial" w:cs="Arial" w:eastAsia="Arial" w:hAnsi="Arial"/>
                <w:sz w:val="18"/>
                <w:szCs w:val="18"/>
                <w:color w:val="auto"/>
              </w:rPr>
              <w:t>3 2</w:t>
            </w:r>
          </w:p>
        </w:tc>
        <w:tc>
          <w:tcPr>
            <w:tcW w:w="560" w:type="dxa"/>
            <w:vAlign w:val="bottom"/>
            <w:shd w:val="clear" w:color="auto" w:fill="E4E4E4"/>
          </w:tcPr>
          <w:p>
            <w:pPr>
              <w:ind w:lef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3600" w:type="dxa"/>
            <w:vAlign w:val="bottom"/>
            <w:tcBorders>
              <w:top w:val="single" w:sz="8" w:color="303030"/>
            </w:tcBorders>
            <w:gridSpan w:val="21"/>
            <w:shd w:val="clear" w:color="auto" w:fill="E4E4E4"/>
          </w:tcPr>
          <w:p>
            <w:pPr>
              <w:spacing w:after="0"/>
              <w:rPr>
                <w:sz w:val="4"/>
                <w:szCs w:val="4"/>
                <w:color w:val="auto"/>
              </w:rPr>
            </w:pPr>
          </w:p>
        </w:tc>
        <w:tc>
          <w:tcPr>
            <w:tcW w:w="5700" w:type="dxa"/>
            <w:vAlign w:val="bottom"/>
            <w:tcBorders>
              <w:top w:val="single" w:sz="8" w:color="E4E4E4"/>
            </w:tcBorders>
            <w:gridSpan w:val="33"/>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10.38</w:t>
            </w:r>
          </w:p>
        </w:tc>
        <w:tc>
          <w:tcPr>
            <w:tcW w:w="2200" w:type="dxa"/>
            <w:vAlign w:val="bottom"/>
            <w:gridSpan w:val="13"/>
            <w:shd w:val="clear" w:color="auto" w:fill="FEFEFE"/>
          </w:tcPr>
          <w:p>
            <w:pPr>
              <w:spacing w:after="0"/>
              <w:rPr>
                <w:sz w:val="20"/>
                <w:szCs w:val="20"/>
                <w:color w:val="auto"/>
              </w:rPr>
            </w:pPr>
            <w:r>
              <w:rPr>
                <w:rFonts w:ascii="Arial" w:cs="Arial" w:eastAsia="Arial" w:hAnsi="Arial"/>
                <w:sz w:val="18"/>
                <w:szCs w:val="18"/>
                <w:color w:val="303030"/>
                <w:w w:val="97"/>
              </w:rPr>
              <w:t>The Fifth Amendment to the</w:t>
            </w:r>
          </w:p>
        </w:tc>
        <w:tc>
          <w:tcPr>
            <w:tcW w:w="2740" w:type="dxa"/>
            <w:vAlign w:val="bottom"/>
            <w:gridSpan w:val="15"/>
            <w:shd w:val="clear" w:color="auto" w:fill="FEFEFE"/>
          </w:tcPr>
          <w:p>
            <w:pPr>
              <w:ind w:left="40"/>
              <w:spacing w:after="0"/>
              <w:rPr>
                <w:sz w:val="20"/>
                <w:szCs w:val="20"/>
                <w:color w:val="auto"/>
              </w:rPr>
            </w:pPr>
            <w:r>
              <w:rPr>
                <w:rFonts w:ascii="Arial" w:cs="Arial" w:eastAsia="Arial" w:hAnsi="Arial"/>
                <w:sz w:val="18"/>
                <w:szCs w:val="18"/>
                <w:color w:val="303030"/>
              </w:rPr>
              <w:t>DCP, effective January 1, 2008</w:t>
            </w:r>
          </w:p>
        </w:tc>
        <w:tc>
          <w:tcPr>
            <w:tcW w:w="54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780" w:type="dxa"/>
            <w:vAlign w:val="bottom"/>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10.17</w:t>
            </w:r>
          </w:p>
        </w:tc>
        <w:tc>
          <w:tcPr>
            <w:tcW w:w="980" w:type="dxa"/>
            <w:vAlign w:val="bottom"/>
            <w:gridSpan w:val="2"/>
            <w:shd w:val="clear" w:color="auto" w:fill="FEFEFE"/>
          </w:tcPr>
          <w:p>
            <w:pPr>
              <w:ind w:left="120"/>
              <w:spacing w:after="0"/>
              <w:rPr>
                <w:sz w:val="20"/>
                <w:szCs w:val="20"/>
                <w:color w:val="auto"/>
              </w:rPr>
            </w:pPr>
            <w:r>
              <w:rPr>
                <w:rFonts w:ascii="Arial" w:cs="Arial" w:eastAsia="Arial" w:hAnsi="Arial"/>
                <w:sz w:val="18"/>
                <w:szCs w:val="18"/>
                <w:color w:val="auto"/>
              </w:rPr>
              <w:t>3 31 200</w:t>
            </w: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4560" w:type="dxa"/>
            <w:vAlign w:val="bottom"/>
            <w:tcBorders>
              <w:top w:val="single" w:sz="8" w:color="303030"/>
            </w:tcBorders>
            <w:gridSpan w:val="23"/>
            <w:shd w:val="clear" w:color="auto" w:fill="FEFEFE"/>
          </w:tcPr>
          <w:p>
            <w:pPr>
              <w:spacing w:after="0"/>
              <w:rPr>
                <w:sz w:val="4"/>
                <w:szCs w:val="4"/>
                <w:color w:val="auto"/>
              </w:rPr>
            </w:pPr>
          </w:p>
        </w:tc>
        <w:tc>
          <w:tcPr>
            <w:tcW w:w="4740" w:type="dxa"/>
            <w:vAlign w:val="bottom"/>
            <w:tcBorders>
              <w:top w:val="single" w:sz="8" w:color="FEFEFE"/>
            </w:tcBorders>
            <w:gridSpan w:val="31"/>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10.3</w:t>
            </w:r>
          </w:p>
        </w:tc>
        <w:tc>
          <w:tcPr>
            <w:tcW w:w="2200" w:type="dxa"/>
            <w:vAlign w:val="bottom"/>
            <w:gridSpan w:val="13"/>
            <w:shd w:val="clear" w:color="auto" w:fill="E4E4E4"/>
          </w:tcPr>
          <w:p>
            <w:pPr>
              <w:spacing w:after="0"/>
              <w:rPr>
                <w:sz w:val="20"/>
                <w:szCs w:val="20"/>
                <w:color w:val="auto"/>
              </w:rPr>
            </w:pPr>
            <w:r>
              <w:rPr>
                <w:rFonts w:ascii="Arial" w:cs="Arial" w:eastAsia="Arial" w:hAnsi="Arial"/>
                <w:sz w:val="18"/>
                <w:szCs w:val="18"/>
                <w:color w:val="303030"/>
                <w:w w:val="95"/>
              </w:rPr>
              <w:t>The Supplemental Executive</w:t>
            </w:r>
          </w:p>
        </w:tc>
        <w:tc>
          <w:tcPr>
            <w:tcW w:w="1660" w:type="dxa"/>
            <w:vAlign w:val="bottom"/>
            <w:gridSpan w:val="10"/>
            <w:shd w:val="clear" w:color="auto" w:fill="E4E4E4"/>
          </w:tcPr>
          <w:p>
            <w:pPr>
              <w:ind w:left="40"/>
              <w:spacing w:after="0"/>
              <w:rPr>
                <w:sz w:val="20"/>
                <w:szCs w:val="20"/>
                <w:color w:val="auto"/>
              </w:rPr>
            </w:pPr>
            <w:r>
              <w:rPr>
                <w:rFonts w:ascii="Arial" w:cs="Arial" w:eastAsia="Arial" w:hAnsi="Arial"/>
                <w:sz w:val="18"/>
                <w:szCs w:val="18"/>
                <w:color w:val="303030"/>
                <w:w w:val="95"/>
              </w:rPr>
              <w:t>etirement Plan (2015</w:t>
            </w:r>
          </w:p>
        </w:tc>
        <w:tc>
          <w:tcPr>
            <w:tcW w:w="1080" w:type="dxa"/>
            <w:vAlign w:val="bottom"/>
            <w:gridSpan w:val="5"/>
            <w:shd w:val="clear" w:color="auto" w:fill="E4E4E4"/>
          </w:tcPr>
          <w:p>
            <w:pPr>
              <w:ind w:left="60"/>
              <w:spacing w:after="0"/>
              <w:rPr>
                <w:sz w:val="20"/>
                <w:szCs w:val="20"/>
                <w:color w:val="auto"/>
              </w:rPr>
            </w:pPr>
            <w:r>
              <w:rPr>
                <w:rFonts w:ascii="Arial" w:cs="Arial" w:eastAsia="Arial" w:hAnsi="Arial"/>
                <w:sz w:val="18"/>
                <w:szCs w:val="18"/>
                <w:color w:val="303030"/>
              </w:rPr>
              <w:t>estatement)</w:t>
            </w:r>
          </w:p>
        </w:tc>
        <w:tc>
          <w:tcPr>
            <w:tcW w:w="5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10.3</w:t>
            </w:r>
          </w:p>
        </w:tc>
        <w:tc>
          <w:tcPr>
            <w:tcW w:w="420" w:type="dxa"/>
            <w:vAlign w:val="bottom"/>
            <w:shd w:val="clear" w:color="auto" w:fill="E4E4E4"/>
          </w:tcPr>
          <w:p>
            <w:pPr>
              <w:ind w:left="120"/>
              <w:spacing w:after="0"/>
              <w:rPr>
                <w:sz w:val="20"/>
                <w:szCs w:val="20"/>
                <w:color w:val="auto"/>
              </w:rPr>
            </w:pPr>
            <w:r>
              <w:rPr>
                <w:rFonts w:ascii="Arial" w:cs="Arial" w:eastAsia="Arial" w:hAnsi="Arial"/>
                <w:sz w:val="18"/>
                <w:szCs w:val="18"/>
                <w:color w:val="auto"/>
              </w:rPr>
              <w:t>5 2</w:t>
            </w:r>
          </w:p>
        </w:tc>
        <w:tc>
          <w:tcPr>
            <w:tcW w:w="560" w:type="dxa"/>
            <w:vAlign w:val="bottom"/>
            <w:shd w:val="clear" w:color="auto" w:fill="E4E4E4"/>
          </w:tcPr>
          <w:p>
            <w:pPr>
              <w:ind w:left="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4820" w:type="dxa"/>
            <w:vAlign w:val="bottom"/>
            <w:tcBorders>
              <w:top w:val="single" w:sz="8" w:color="303030"/>
            </w:tcBorders>
            <w:gridSpan w:val="25"/>
            <w:shd w:val="clear" w:color="auto" w:fill="E4E4E4"/>
          </w:tcPr>
          <w:p>
            <w:pPr>
              <w:spacing w:after="0"/>
              <w:rPr>
                <w:sz w:val="4"/>
                <w:szCs w:val="4"/>
                <w:color w:val="auto"/>
              </w:rPr>
            </w:pPr>
          </w:p>
        </w:tc>
        <w:tc>
          <w:tcPr>
            <w:tcW w:w="4480" w:type="dxa"/>
            <w:vAlign w:val="bottom"/>
            <w:tcBorders>
              <w:top w:val="single" w:sz="8" w:color="E4E4E4"/>
            </w:tcBorders>
            <w:gridSpan w:val="29"/>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10.40</w:t>
            </w:r>
          </w:p>
        </w:tc>
        <w:tc>
          <w:tcPr>
            <w:tcW w:w="3400" w:type="dxa"/>
            <w:vAlign w:val="bottom"/>
            <w:gridSpan w:val="21"/>
            <w:shd w:val="clear" w:color="auto" w:fill="FEFEFE"/>
          </w:tcPr>
          <w:p>
            <w:pPr>
              <w:spacing w:after="0"/>
              <w:rPr>
                <w:sz w:val="20"/>
                <w:szCs w:val="20"/>
                <w:color w:val="auto"/>
              </w:rPr>
            </w:pPr>
            <w:r>
              <w:rPr>
                <w:rFonts w:ascii="Arial" w:cs="Arial" w:eastAsia="Arial" w:hAnsi="Arial"/>
                <w:sz w:val="18"/>
                <w:szCs w:val="18"/>
                <w:color w:val="303030"/>
                <w:w w:val="90"/>
              </w:rPr>
              <w:t>The Executive Savings Plan (As Amended and</w:t>
            </w:r>
          </w:p>
        </w:tc>
        <w:tc>
          <w:tcPr>
            <w:tcW w:w="2880" w:type="dxa"/>
            <w:vAlign w:val="bottom"/>
            <w:gridSpan w:val="17"/>
            <w:shd w:val="clear" w:color="auto" w:fill="FEFEFE"/>
          </w:tcPr>
          <w:p>
            <w:pPr>
              <w:ind w:left="140"/>
              <w:spacing w:after="0"/>
              <w:rPr>
                <w:sz w:val="20"/>
                <w:szCs w:val="20"/>
                <w:color w:val="auto"/>
              </w:rPr>
            </w:pPr>
            <w:r>
              <w:rPr>
                <w:rFonts w:ascii="Arial" w:cs="Arial" w:eastAsia="Arial" w:hAnsi="Arial"/>
                <w:sz w:val="18"/>
                <w:szCs w:val="18"/>
                <w:color w:val="303030"/>
                <w:w w:val="97"/>
              </w:rPr>
              <w:t>estated, Effective January 1, 2022)</w:t>
            </w: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780" w:type="dxa"/>
            <w:vAlign w:val="bottom"/>
            <w:gridSpan w:val="2"/>
            <w:shd w:val="clear" w:color="auto" w:fill="FEFEFE"/>
          </w:tcPr>
          <w:p>
            <w:pPr>
              <w:jc w:val="center"/>
              <w:ind w:right="30"/>
              <w:spacing w:after="0"/>
              <w:rPr>
                <w:sz w:val="20"/>
                <w:szCs w:val="20"/>
                <w:color w:val="auto"/>
              </w:rPr>
            </w:pPr>
            <w:r>
              <w:rPr>
                <w:rFonts w:ascii="Arial" w:cs="Arial" w:eastAsia="Arial" w:hAnsi="Arial"/>
                <w:sz w:val="18"/>
                <w:szCs w:val="18"/>
                <w:color w:val="auto"/>
                <w:w w:val="87"/>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8"/>
              </w:rPr>
              <w:t>10.46</w:t>
            </w:r>
          </w:p>
        </w:tc>
        <w:tc>
          <w:tcPr>
            <w:tcW w:w="980" w:type="dxa"/>
            <w:vAlign w:val="bottom"/>
            <w:gridSpan w:val="2"/>
            <w:shd w:val="clear" w:color="auto" w:fill="FEFEFE"/>
          </w:tcPr>
          <w:p>
            <w:pPr>
              <w:ind w:left="120"/>
              <w:spacing w:after="0"/>
              <w:rPr>
                <w:sz w:val="20"/>
                <w:szCs w:val="20"/>
                <w:color w:val="auto"/>
              </w:rPr>
            </w:pPr>
            <w:r>
              <w:rPr>
                <w:rFonts w:ascii="Arial" w:cs="Arial" w:eastAsia="Arial" w:hAnsi="Arial"/>
                <w:sz w:val="18"/>
                <w:szCs w:val="18"/>
                <w:color w:val="auto"/>
              </w:rPr>
              <w:t>3 30 2022</w:t>
            </w:r>
          </w:p>
        </w:tc>
        <w:tc>
          <w:tcPr>
            <w:tcW w:w="0" w:type="dxa"/>
            <w:vAlign w:val="bottom"/>
          </w:tcPr>
          <w:p>
            <w:pPr>
              <w:spacing w:after="0"/>
              <w:rPr>
                <w:sz w:val="1"/>
                <w:szCs w:val="1"/>
                <w:color w:val="auto"/>
              </w:rPr>
            </w:pPr>
          </w:p>
        </w:tc>
      </w:tr>
      <w:tr>
        <w:trPr>
          <w:trHeight w:val="185"/>
        </w:trPr>
        <w:tc>
          <w:tcPr>
            <w:tcW w:w="780" w:type="dxa"/>
            <w:vAlign w:val="bottom"/>
            <w:tcBorders>
              <w:top w:val="single" w:sz="8" w:color="FEFEFE"/>
            </w:tcBorders>
            <w:gridSpan w:val="2"/>
            <w:shd w:val="clear" w:color="auto" w:fill="FEFEFE"/>
          </w:tcPr>
          <w:p>
            <w:pPr>
              <w:spacing w:after="0"/>
              <w:rPr>
                <w:sz w:val="16"/>
                <w:szCs w:val="16"/>
                <w:color w:val="auto"/>
              </w:rPr>
            </w:pPr>
          </w:p>
        </w:tc>
        <w:tc>
          <w:tcPr>
            <w:tcW w:w="6120" w:type="dxa"/>
            <w:vAlign w:val="bottom"/>
            <w:tcBorders>
              <w:top w:val="single" w:sz="8" w:color="303030"/>
            </w:tcBorders>
            <w:gridSpan w:val="35"/>
            <w:shd w:val="clear" w:color="auto" w:fill="FEFEFE"/>
          </w:tcPr>
          <w:p>
            <w:pPr>
              <w:spacing w:after="0"/>
              <w:rPr>
                <w:sz w:val="16"/>
                <w:szCs w:val="16"/>
                <w:color w:val="auto"/>
              </w:rPr>
            </w:pPr>
          </w:p>
        </w:tc>
        <w:tc>
          <w:tcPr>
            <w:tcW w:w="3180" w:type="dxa"/>
            <w:vAlign w:val="bottom"/>
            <w:tcBorders>
              <w:top w:val="single" w:sz="8" w:color="FEFEFE"/>
            </w:tcBorders>
            <w:gridSpan w:val="19"/>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10.41</w:t>
            </w:r>
          </w:p>
        </w:tc>
        <w:tc>
          <w:tcPr>
            <w:tcW w:w="5840" w:type="dxa"/>
            <w:vAlign w:val="bottom"/>
            <w:gridSpan w:val="31"/>
            <w:shd w:val="clear" w:color="auto" w:fill="E4E4E4"/>
          </w:tcPr>
          <w:p>
            <w:pPr>
              <w:spacing w:after="0"/>
              <w:rPr>
                <w:sz w:val="20"/>
                <w:szCs w:val="20"/>
                <w:color w:val="auto"/>
              </w:rPr>
            </w:pPr>
            <w:r>
              <w:rPr>
                <w:rFonts w:ascii="Arial" w:cs="Arial" w:eastAsia="Arial" w:hAnsi="Arial"/>
                <w:sz w:val="18"/>
                <w:szCs w:val="18"/>
                <w:color w:val="303030"/>
                <w:w w:val="97"/>
              </w:rPr>
              <w:t>The First Amendment to the Executive Savings Plan, effective April 1, 2023</w:t>
            </w: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gridSpan w:val="2"/>
            <w:shd w:val="clear" w:color="auto" w:fill="E4E4E4"/>
          </w:tcPr>
          <w:p>
            <w:pPr>
              <w:ind w:left="120"/>
              <w:spacing w:after="0"/>
              <w:rPr>
                <w:sz w:val="20"/>
                <w:szCs w:val="20"/>
                <w:color w:val="auto"/>
              </w:rPr>
            </w:pPr>
            <w:r>
              <w:rPr>
                <w:rFonts w:ascii="Arial" w:cs="Arial" w:eastAsia="Arial" w:hAnsi="Arial"/>
                <w:sz w:val="18"/>
                <w:szCs w:val="18"/>
                <w:color w:val="auto"/>
              </w:rPr>
              <w:t>5 26 2023</w:t>
            </w: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5580" w:type="dxa"/>
            <w:vAlign w:val="bottom"/>
            <w:tcBorders>
              <w:top w:val="single" w:sz="8" w:color="303030"/>
            </w:tcBorders>
            <w:gridSpan w:val="29"/>
            <w:shd w:val="clear" w:color="auto" w:fill="E4E4E4"/>
          </w:tcPr>
          <w:p>
            <w:pPr>
              <w:spacing w:after="0"/>
              <w:rPr>
                <w:sz w:val="4"/>
                <w:szCs w:val="4"/>
                <w:color w:val="auto"/>
              </w:rPr>
            </w:pPr>
          </w:p>
        </w:tc>
        <w:tc>
          <w:tcPr>
            <w:tcW w:w="3720" w:type="dxa"/>
            <w:vAlign w:val="bottom"/>
            <w:tcBorders>
              <w:top w:val="single" w:sz="8" w:color="E4E4E4"/>
            </w:tcBorders>
            <w:gridSpan w:val="25"/>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60"/>
              <w:spacing w:after="0"/>
              <w:rPr>
                <w:sz w:val="20"/>
                <w:szCs w:val="20"/>
                <w:color w:val="auto"/>
              </w:rPr>
            </w:pPr>
            <w:r>
              <w:rPr>
                <w:rFonts w:ascii="Arial" w:cs="Arial" w:eastAsia="Arial" w:hAnsi="Arial"/>
                <w:sz w:val="18"/>
                <w:szCs w:val="18"/>
                <w:color w:val="auto"/>
              </w:rPr>
              <w:t>10.42</w:t>
            </w:r>
          </w:p>
        </w:tc>
        <w:tc>
          <w:tcPr>
            <w:tcW w:w="6280" w:type="dxa"/>
            <w:vAlign w:val="bottom"/>
            <w:gridSpan w:val="38"/>
            <w:shd w:val="clear" w:color="auto" w:fill="FEFEFE"/>
          </w:tcPr>
          <w:p>
            <w:pPr>
              <w:spacing w:after="0"/>
              <w:rPr>
                <w:sz w:val="20"/>
                <w:szCs w:val="20"/>
                <w:color w:val="auto"/>
              </w:rPr>
            </w:pPr>
            <w:r>
              <w:rPr>
                <w:rFonts w:ascii="Arial" w:cs="Arial" w:eastAsia="Arial" w:hAnsi="Arial"/>
                <w:sz w:val="18"/>
                <w:szCs w:val="18"/>
                <w:color w:val="303030"/>
                <w:w w:val="95"/>
              </w:rPr>
              <w:t>The Second Amendment to the Executive Savings Plan, effective January 1, 2024</w:t>
            </w: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780" w:type="dxa"/>
            <w:vAlign w:val="bottom"/>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10.4</w:t>
            </w:r>
          </w:p>
        </w:tc>
        <w:tc>
          <w:tcPr>
            <w:tcW w:w="980" w:type="dxa"/>
            <w:vAlign w:val="bottom"/>
            <w:gridSpan w:val="2"/>
            <w:shd w:val="clear" w:color="auto" w:fill="FEFEFE"/>
          </w:tcPr>
          <w:p>
            <w:pPr>
              <w:ind w:left="160"/>
              <w:spacing w:after="0"/>
              <w:rPr>
                <w:sz w:val="20"/>
                <w:szCs w:val="20"/>
                <w:color w:val="auto"/>
              </w:rPr>
            </w:pPr>
            <w:r>
              <w:rPr>
                <w:rFonts w:ascii="Arial" w:cs="Arial" w:eastAsia="Arial" w:hAnsi="Arial"/>
                <w:sz w:val="18"/>
                <w:szCs w:val="18"/>
                <w:color w:val="auto"/>
              </w:rPr>
              <w:t>4 3 2024</w:t>
            </w: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5960" w:type="dxa"/>
            <w:vAlign w:val="bottom"/>
            <w:tcBorders>
              <w:top w:val="single" w:sz="8" w:color="303030"/>
            </w:tcBorders>
            <w:gridSpan w:val="32"/>
            <w:shd w:val="clear" w:color="auto" w:fill="FEFEFE"/>
          </w:tcPr>
          <w:p>
            <w:pPr>
              <w:spacing w:after="0"/>
              <w:rPr>
                <w:sz w:val="4"/>
                <w:szCs w:val="4"/>
                <w:color w:val="auto"/>
              </w:rPr>
            </w:pPr>
          </w:p>
        </w:tc>
        <w:tc>
          <w:tcPr>
            <w:tcW w:w="3340" w:type="dxa"/>
            <w:vAlign w:val="bottom"/>
            <w:tcBorders>
              <w:top w:val="single" w:sz="8" w:color="FEFEFE"/>
            </w:tcBorders>
            <w:gridSpan w:val="22"/>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60"/>
              <w:spacing w:after="0"/>
              <w:rPr>
                <w:sz w:val="20"/>
                <w:szCs w:val="20"/>
                <w:color w:val="auto"/>
              </w:rPr>
            </w:pPr>
            <w:r>
              <w:rPr>
                <w:rFonts w:ascii="Arial" w:cs="Arial" w:eastAsia="Arial" w:hAnsi="Arial"/>
                <w:sz w:val="18"/>
                <w:szCs w:val="18"/>
                <w:color w:val="auto"/>
              </w:rPr>
              <w:t>10.43</w:t>
            </w:r>
          </w:p>
        </w:tc>
        <w:tc>
          <w:tcPr>
            <w:tcW w:w="6820" w:type="dxa"/>
            <w:vAlign w:val="bottom"/>
            <w:gridSpan w:val="50"/>
            <w:shd w:val="clear" w:color="auto" w:fill="E4E4E4"/>
          </w:tcPr>
          <w:p>
            <w:pPr>
              <w:spacing w:after="0"/>
              <w:rPr>
                <w:sz w:val="20"/>
                <w:szCs w:val="20"/>
                <w:color w:val="auto"/>
              </w:rPr>
            </w:pPr>
            <w:r>
              <w:rPr>
                <w:rFonts w:ascii="Arial" w:cs="Arial" w:eastAsia="Arial" w:hAnsi="Arial"/>
                <w:sz w:val="18"/>
                <w:szCs w:val="18"/>
                <w:color w:val="303030"/>
                <w:w w:val="92"/>
              </w:rPr>
              <w:t>The Trust Agreement for Executive Savings Plan dated as of January 20, 2023 between TJX</w:t>
            </w: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8"/>
              </w:rPr>
              <w:t>10.55</w:t>
            </w:r>
          </w:p>
        </w:tc>
        <w:tc>
          <w:tcPr>
            <w:tcW w:w="420" w:type="dxa"/>
            <w:vAlign w:val="bottom"/>
            <w:shd w:val="clear" w:color="auto" w:fill="E4E4E4"/>
          </w:tcPr>
          <w:p>
            <w:pPr>
              <w:ind w:left="120"/>
              <w:spacing w:after="0"/>
              <w:rPr>
                <w:sz w:val="20"/>
                <w:szCs w:val="20"/>
                <w:color w:val="auto"/>
              </w:rPr>
            </w:pPr>
            <w:r>
              <w:rPr>
                <w:rFonts w:ascii="Arial" w:cs="Arial" w:eastAsia="Arial" w:hAnsi="Arial"/>
                <w:sz w:val="18"/>
                <w:szCs w:val="18"/>
                <w:color w:val="auto"/>
              </w:rPr>
              <w:t>3 2</w:t>
            </w:r>
          </w:p>
        </w:tc>
        <w:tc>
          <w:tcPr>
            <w:tcW w:w="560" w:type="dxa"/>
            <w:vAlign w:val="bottom"/>
            <w:shd w:val="clear" w:color="auto" w:fill="E4E4E4"/>
          </w:tcPr>
          <w:p>
            <w:pPr>
              <w:ind w:left="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960" w:type="dxa"/>
            <w:vAlign w:val="bottom"/>
            <w:tcBorders>
              <w:top w:val="single" w:sz="8" w:color="303030"/>
            </w:tcBorders>
            <w:gridSpan w:val="5"/>
            <w:shd w:val="clear" w:color="auto" w:fill="E4E4E4"/>
          </w:tcPr>
          <w:p>
            <w:pPr>
              <w:spacing w:after="0" w:line="160" w:lineRule="exact"/>
              <w:rPr>
                <w:sz w:val="20"/>
                <w:szCs w:val="20"/>
                <w:color w:val="auto"/>
              </w:rPr>
            </w:pPr>
            <w:r>
              <w:rPr>
                <w:rFonts w:ascii="Arial" w:cs="Arial" w:eastAsia="Arial" w:hAnsi="Arial"/>
                <w:sz w:val="18"/>
                <w:szCs w:val="18"/>
                <w:color w:val="303030"/>
              </w:rPr>
              <w:t>and Fidelity</w:t>
            </w:r>
          </w:p>
        </w:tc>
        <w:tc>
          <w:tcPr>
            <w:tcW w:w="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2080" w:type="dxa"/>
            <w:vAlign w:val="bottom"/>
            <w:tcBorders>
              <w:top w:val="single" w:sz="8" w:color="303030"/>
            </w:tcBorders>
            <w:gridSpan w:val="12"/>
            <w:shd w:val="clear" w:color="auto" w:fill="E4E4E4"/>
          </w:tcPr>
          <w:p>
            <w:pPr>
              <w:ind w:left="40"/>
              <w:spacing w:after="0" w:line="160" w:lineRule="exact"/>
              <w:rPr>
                <w:sz w:val="20"/>
                <w:szCs w:val="20"/>
                <w:color w:val="auto"/>
              </w:rPr>
            </w:pPr>
            <w:r>
              <w:rPr>
                <w:rFonts w:ascii="Arial" w:cs="Arial" w:eastAsia="Arial" w:hAnsi="Arial"/>
                <w:sz w:val="18"/>
                <w:szCs w:val="18"/>
                <w:color w:val="303030"/>
                <w:w w:val="92"/>
              </w:rPr>
              <w:t>anagement Trust Company</w:t>
            </w:r>
          </w:p>
        </w:tc>
        <w:tc>
          <w:tcPr>
            <w:tcW w:w="2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2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7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5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4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420" w:type="dxa"/>
            <w:vAlign w:val="bottom"/>
            <w:tcBorders>
              <w:top w:val="single" w:sz="8" w:color="E4E4E4"/>
            </w:tcBorders>
            <w:shd w:val="clear" w:color="auto" w:fill="E4E4E4"/>
          </w:tcPr>
          <w:p>
            <w:pPr>
              <w:spacing w:after="0"/>
              <w:rPr>
                <w:sz w:val="13"/>
                <w:szCs w:val="13"/>
                <w:color w:val="auto"/>
              </w:rPr>
            </w:pPr>
          </w:p>
        </w:tc>
        <w:tc>
          <w:tcPr>
            <w:tcW w:w="56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3100" w:type="dxa"/>
            <w:vAlign w:val="bottom"/>
            <w:tcBorders>
              <w:top w:val="single" w:sz="8" w:color="303030"/>
            </w:tcBorders>
            <w:gridSpan w:val="18"/>
            <w:shd w:val="clear" w:color="auto" w:fill="E4E4E4"/>
          </w:tcPr>
          <w:p>
            <w:pPr>
              <w:spacing w:after="0"/>
              <w:rPr>
                <w:sz w:val="4"/>
                <w:szCs w:val="4"/>
                <w:color w:val="auto"/>
              </w:rPr>
            </w:pPr>
          </w:p>
        </w:tc>
        <w:tc>
          <w:tcPr>
            <w:tcW w:w="6200" w:type="dxa"/>
            <w:vAlign w:val="bottom"/>
            <w:tcBorders>
              <w:top w:val="single" w:sz="8" w:color="E4E4E4"/>
            </w:tcBorders>
            <w:gridSpan w:val="36"/>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FEFEFE"/>
            </w:tcBorders>
            <w:shd w:val="clear" w:color="auto" w:fill="FEFEFE"/>
          </w:tcPr>
          <w:p>
            <w:pPr>
              <w:ind w:left="160"/>
              <w:spacing w:after="0"/>
              <w:rPr>
                <w:sz w:val="20"/>
                <w:szCs w:val="20"/>
                <w:color w:val="auto"/>
              </w:rPr>
            </w:pPr>
            <w:r>
              <w:rPr>
                <w:rFonts w:ascii="Arial" w:cs="Arial" w:eastAsia="Arial" w:hAnsi="Arial"/>
                <w:sz w:val="18"/>
                <w:szCs w:val="18"/>
                <w:color w:val="auto"/>
              </w:rPr>
              <w:t>10.44</w:t>
            </w:r>
          </w:p>
        </w:tc>
        <w:tc>
          <w:tcPr>
            <w:tcW w:w="20" w:type="dxa"/>
            <w:vAlign w:val="bottom"/>
            <w:tcBorders>
              <w:bottom w:val="single" w:sz="8" w:color="FEFEFE"/>
            </w:tcBorders>
            <w:shd w:val="clear" w:color="auto" w:fill="FEFEFE"/>
          </w:tcPr>
          <w:p>
            <w:pPr>
              <w:spacing w:after="0"/>
              <w:rPr>
                <w:sz w:val="23"/>
                <w:szCs w:val="23"/>
                <w:color w:val="auto"/>
              </w:rPr>
            </w:pPr>
          </w:p>
        </w:tc>
        <w:tc>
          <w:tcPr>
            <w:tcW w:w="6800" w:type="dxa"/>
            <w:vAlign w:val="bottom"/>
            <w:tcBorders>
              <w:bottom w:val="single" w:sz="8" w:color="FEFEFE"/>
            </w:tcBorders>
            <w:gridSpan w:val="49"/>
            <w:shd w:val="clear" w:color="auto" w:fill="FEFEFE"/>
          </w:tcPr>
          <w:p>
            <w:pPr>
              <w:spacing w:after="0"/>
              <w:rPr>
                <w:sz w:val="20"/>
                <w:szCs w:val="20"/>
                <w:color w:val="auto"/>
              </w:rPr>
            </w:pPr>
            <w:r>
              <w:rPr>
                <w:rFonts w:ascii="Arial" w:cs="Arial" w:eastAsia="Arial" w:hAnsi="Arial"/>
                <w:sz w:val="18"/>
                <w:szCs w:val="18"/>
                <w:color w:val="auto"/>
                <w:w w:val="99"/>
              </w:rPr>
              <w:t>The Form of TJX Indemnification Agreement for its executive officers and directors (p)</w:t>
            </w: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4"/>
              </w:rPr>
              <w:t>10(r)</w:t>
            </w:r>
          </w:p>
        </w:tc>
        <w:tc>
          <w:tcPr>
            <w:tcW w:w="980" w:type="dxa"/>
            <w:vAlign w:val="bottom"/>
            <w:tcBorders>
              <w:bottom w:val="single" w:sz="8" w:color="FEFEFE"/>
            </w:tcBorders>
            <w:gridSpan w:val="2"/>
            <w:shd w:val="clear" w:color="auto" w:fill="FEFEFE"/>
          </w:tcPr>
          <w:p>
            <w:pPr>
              <w:ind w:left="120"/>
              <w:spacing w:after="0"/>
              <w:rPr>
                <w:sz w:val="20"/>
                <w:szCs w:val="20"/>
                <w:color w:val="auto"/>
              </w:rPr>
            </w:pPr>
            <w:r>
              <w:rPr>
                <w:rFonts w:ascii="Arial" w:cs="Arial" w:eastAsia="Arial" w:hAnsi="Arial"/>
                <w:sz w:val="18"/>
                <w:szCs w:val="18"/>
                <w:color w:val="auto"/>
              </w:rPr>
              <w:t>4 27 1  0</w:t>
            </w:r>
          </w:p>
        </w:tc>
        <w:tc>
          <w:tcPr>
            <w:tcW w:w="0" w:type="dxa"/>
            <w:vAlign w:val="bottom"/>
          </w:tcPr>
          <w:p>
            <w:pPr>
              <w:spacing w:after="0"/>
              <w:rPr>
                <w:sz w:val="1"/>
                <w:szCs w:val="1"/>
                <w:color w:val="auto"/>
              </w:rPr>
            </w:pPr>
          </w:p>
        </w:tc>
      </w:tr>
      <w:tr>
        <w:trPr>
          <w:trHeight w:val="215"/>
        </w:trPr>
        <w:tc>
          <w:tcPr>
            <w:tcW w:w="7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8"/>
                <w:szCs w:val="18"/>
                <w:color w:val="auto"/>
              </w:rPr>
              <w:t>10.45</w:t>
            </w:r>
          </w:p>
        </w:tc>
        <w:tc>
          <w:tcPr>
            <w:tcW w:w="20" w:type="dxa"/>
            <w:vAlign w:val="bottom"/>
            <w:tcBorders>
              <w:bottom w:val="single" w:sz="8" w:color="E4E4E4"/>
            </w:tcBorders>
            <w:shd w:val="clear" w:color="auto" w:fill="E4E4E4"/>
          </w:tcPr>
          <w:p>
            <w:pPr>
              <w:spacing w:after="0"/>
              <w:rPr>
                <w:sz w:val="18"/>
                <w:szCs w:val="18"/>
                <w:color w:val="auto"/>
              </w:rPr>
            </w:pPr>
          </w:p>
        </w:tc>
        <w:tc>
          <w:tcPr>
            <w:tcW w:w="6680" w:type="dxa"/>
            <w:vAlign w:val="bottom"/>
            <w:tcBorders>
              <w:bottom w:val="single" w:sz="8" w:color="303030"/>
            </w:tcBorders>
            <w:gridSpan w:val="46"/>
            <w:shd w:val="clear" w:color="auto" w:fill="E4E4E4"/>
          </w:tcPr>
          <w:p>
            <w:pPr>
              <w:spacing w:after="0"/>
              <w:rPr>
                <w:sz w:val="20"/>
                <w:szCs w:val="20"/>
                <w:color w:val="auto"/>
              </w:rPr>
            </w:pPr>
            <w:r>
              <w:rPr>
                <w:rFonts w:ascii="Arial" w:cs="Arial" w:eastAsia="Arial" w:hAnsi="Arial"/>
                <w:sz w:val="18"/>
                <w:szCs w:val="18"/>
                <w:color w:val="303030"/>
                <w:w w:val="91"/>
              </w:rPr>
              <w:t>2026  evolving Credit Agreement, dated June 25, 2021, by and among the TJX Companies,</w:t>
            </w:r>
          </w:p>
        </w:tc>
        <w:tc>
          <w:tcPr>
            <w:tcW w:w="120" w:type="dxa"/>
            <w:vAlign w:val="bottom"/>
            <w:tcBorders>
              <w:bottom w:val="single" w:sz="8" w:color="E4E4E4"/>
            </w:tcBorders>
            <w:gridSpan w:val="3"/>
            <w:shd w:val="clear" w:color="auto" w:fill="E4E4E4"/>
          </w:tcPr>
          <w:p>
            <w:pPr>
              <w:spacing w:after="0"/>
              <w:rPr>
                <w:sz w:val="18"/>
                <w:szCs w:val="18"/>
                <w:color w:val="auto"/>
              </w:rPr>
            </w:pPr>
          </w:p>
        </w:tc>
        <w:tc>
          <w:tcPr>
            <w:tcW w:w="780" w:type="dxa"/>
            <w:vAlign w:val="bottom"/>
            <w:tcBorders>
              <w:bottom w:val="single" w:sz="8" w:color="E4E4E4"/>
            </w:tcBorders>
            <w:gridSpan w:val="2"/>
            <w:shd w:val="clear" w:color="auto" w:fill="E4E4E4"/>
          </w:tcPr>
          <w:p>
            <w:pPr>
              <w:jc w:val="center"/>
              <w:ind w:right="30"/>
              <w:spacing w:after="0"/>
              <w:rPr>
                <w:sz w:val="20"/>
                <w:szCs w:val="20"/>
                <w:color w:val="auto"/>
              </w:rPr>
            </w:pPr>
            <w:r>
              <w:rPr>
                <w:rFonts w:ascii="Arial" w:cs="Arial" w:eastAsia="Arial" w:hAnsi="Arial"/>
                <w:sz w:val="18"/>
                <w:szCs w:val="18"/>
                <w:color w:val="auto"/>
                <w:w w:val="87"/>
              </w:rPr>
              <w:t>8-</w:t>
            </w:r>
          </w:p>
        </w:tc>
        <w:tc>
          <w:tcPr>
            <w:tcW w:w="7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8"/>
                <w:szCs w:val="18"/>
                <w:color w:val="auto"/>
              </w:rPr>
              <w:t>6 2</w:t>
            </w:r>
          </w:p>
        </w:tc>
        <w:tc>
          <w:tcPr>
            <w:tcW w:w="56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7"/>
        </w:trPr>
        <w:tc>
          <w:tcPr>
            <w:tcW w:w="760" w:type="dxa"/>
            <w:vAlign w:val="bottom"/>
            <w:tcBorders>
              <w:bottom w:val="single" w:sz="8" w:color="E4E4E4"/>
            </w:tcBorders>
            <w:shd w:val="clear" w:color="auto" w:fill="E4E4E4"/>
          </w:tcPr>
          <w:p>
            <w:pPr>
              <w:spacing w:after="0"/>
              <w:rPr>
                <w:sz w:val="16"/>
                <w:szCs w:val="16"/>
                <w:color w:val="auto"/>
              </w:rPr>
            </w:pPr>
          </w:p>
        </w:tc>
        <w:tc>
          <w:tcPr>
            <w:tcW w:w="3620" w:type="dxa"/>
            <w:vAlign w:val="bottom"/>
            <w:tcBorders>
              <w:bottom w:val="single" w:sz="8" w:color="303030"/>
            </w:tcBorders>
            <w:gridSpan w:val="22"/>
            <w:shd w:val="clear" w:color="auto" w:fill="E4E4E4"/>
          </w:tcPr>
          <w:p>
            <w:pPr>
              <w:spacing w:after="0" w:line="187" w:lineRule="exact"/>
              <w:rPr>
                <w:sz w:val="20"/>
                <w:szCs w:val="20"/>
                <w:color w:val="auto"/>
              </w:rPr>
            </w:pPr>
            <w:r>
              <w:rPr>
                <w:rFonts w:ascii="Arial" w:cs="Arial" w:eastAsia="Arial" w:hAnsi="Arial"/>
                <w:sz w:val="18"/>
                <w:szCs w:val="18"/>
                <w:color w:val="303030"/>
                <w:w w:val="95"/>
              </w:rPr>
              <w:t>Inc., the lenders from time to time party thereto,</w:t>
            </w:r>
          </w:p>
        </w:tc>
        <w:tc>
          <w:tcPr>
            <w:tcW w:w="2480" w:type="dxa"/>
            <w:vAlign w:val="bottom"/>
            <w:tcBorders>
              <w:bottom w:val="single" w:sz="8" w:color="303030"/>
            </w:tcBorders>
            <w:gridSpan w:val="12"/>
            <w:shd w:val="clear" w:color="auto" w:fill="E4E4E4"/>
          </w:tcPr>
          <w:p>
            <w:pPr>
              <w:ind w:left="20"/>
              <w:spacing w:after="0" w:line="187" w:lineRule="exact"/>
              <w:rPr>
                <w:sz w:val="20"/>
                <w:szCs w:val="20"/>
                <w:color w:val="auto"/>
              </w:rPr>
            </w:pPr>
            <w:r>
              <w:rPr>
                <w:rFonts w:ascii="Arial" w:cs="Arial" w:eastAsia="Arial" w:hAnsi="Arial"/>
                <w:sz w:val="18"/>
                <w:szCs w:val="18"/>
                <w:color w:val="303030"/>
                <w:w w:val="92"/>
              </w:rPr>
              <w:t>.S. Bank National Association, as</w:t>
            </w:r>
          </w:p>
        </w:tc>
        <w:tc>
          <w:tcPr>
            <w:tcW w:w="180" w:type="dxa"/>
            <w:vAlign w:val="bottom"/>
            <w:tcBorders>
              <w:bottom w:val="single" w:sz="8" w:color="E4E4E4"/>
            </w:tcBorders>
            <w:gridSpan w:val="4"/>
            <w:shd w:val="clear" w:color="auto" w:fill="E4E4E4"/>
          </w:tcPr>
          <w:p>
            <w:pPr>
              <w:spacing w:after="0"/>
              <w:rPr>
                <w:sz w:val="16"/>
                <w:szCs w:val="16"/>
                <w:color w:val="auto"/>
              </w:rPr>
            </w:pPr>
          </w:p>
        </w:tc>
        <w:tc>
          <w:tcPr>
            <w:tcW w:w="14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1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40" w:type="dxa"/>
            <w:vAlign w:val="bottom"/>
            <w:tcBorders>
              <w:bottom w:val="single" w:sz="8" w:color="E4E4E4"/>
            </w:tcBorders>
            <w:shd w:val="clear" w:color="auto" w:fill="E4E4E4"/>
          </w:tcPr>
          <w:p>
            <w:pPr>
              <w:spacing w:after="0"/>
              <w:rPr>
                <w:sz w:val="16"/>
                <w:szCs w:val="16"/>
                <w:color w:val="auto"/>
              </w:rPr>
            </w:pPr>
          </w:p>
        </w:tc>
        <w:tc>
          <w:tcPr>
            <w:tcW w:w="40" w:type="dxa"/>
            <w:vAlign w:val="bottom"/>
            <w:tcBorders>
              <w:bottom w:val="single" w:sz="8" w:color="E4E4E4"/>
            </w:tcBorders>
            <w:shd w:val="clear" w:color="auto" w:fill="E4E4E4"/>
          </w:tcPr>
          <w:p>
            <w:pPr>
              <w:spacing w:after="0"/>
              <w:rPr>
                <w:sz w:val="16"/>
                <w:szCs w:val="16"/>
                <w:color w:val="auto"/>
              </w:rPr>
            </w:pPr>
          </w:p>
        </w:tc>
        <w:tc>
          <w:tcPr>
            <w:tcW w:w="6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40" w:type="dxa"/>
            <w:vAlign w:val="bottom"/>
            <w:tcBorders>
              <w:bottom w:val="single" w:sz="8" w:color="E4E4E4"/>
            </w:tcBorders>
            <w:shd w:val="clear" w:color="auto" w:fill="E4E4E4"/>
          </w:tcPr>
          <w:p>
            <w:pPr>
              <w:spacing w:after="0"/>
              <w:rPr>
                <w:sz w:val="16"/>
                <w:szCs w:val="16"/>
                <w:color w:val="auto"/>
              </w:rPr>
            </w:pPr>
          </w:p>
        </w:tc>
        <w:tc>
          <w:tcPr>
            <w:tcW w:w="420" w:type="dxa"/>
            <w:vAlign w:val="bottom"/>
            <w:tcBorders>
              <w:bottom w:val="single" w:sz="8" w:color="E4E4E4"/>
            </w:tcBorders>
            <w:shd w:val="clear" w:color="auto" w:fill="E4E4E4"/>
          </w:tcPr>
          <w:p>
            <w:pPr>
              <w:spacing w:after="0"/>
              <w:rPr>
                <w:sz w:val="16"/>
                <w:szCs w:val="16"/>
                <w:color w:val="auto"/>
              </w:rPr>
            </w:pPr>
          </w:p>
        </w:tc>
        <w:tc>
          <w:tcPr>
            <w:tcW w:w="560" w:type="dxa"/>
            <w:vAlign w:val="bottom"/>
            <w:tcBorders>
              <w:bottom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tcBorders>
              <w:bottom w:val="single" w:sz="8" w:color="E4E4E4"/>
            </w:tcBorders>
            <w:shd w:val="clear" w:color="auto" w:fill="E4E4E4"/>
          </w:tcPr>
          <w:p>
            <w:pPr>
              <w:spacing w:after="0"/>
              <w:rPr>
                <w:sz w:val="16"/>
                <w:szCs w:val="16"/>
                <w:color w:val="auto"/>
              </w:rPr>
            </w:pPr>
          </w:p>
        </w:tc>
        <w:tc>
          <w:tcPr>
            <w:tcW w:w="1520" w:type="dxa"/>
            <w:vAlign w:val="bottom"/>
            <w:tcBorders>
              <w:bottom w:val="single" w:sz="8" w:color="303030"/>
            </w:tcBorders>
            <w:gridSpan w:val="10"/>
            <w:shd w:val="clear" w:color="auto" w:fill="E4E4E4"/>
          </w:tcPr>
          <w:p>
            <w:pPr>
              <w:spacing w:after="0" w:line="187" w:lineRule="exact"/>
              <w:rPr>
                <w:sz w:val="20"/>
                <w:szCs w:val="20"/>
                <w:color w:val="auto"/>
              </w:rPr>
            </w:pPr>
            <w:r>
              <w:rPr>
                <w:rFonts w:ascii="Arial" w:cs="Arial" w:eastAsia="Arial" w:hAnsi="Arial"/>
                <w:sz w:val="18"/>
                <w:szCs w:val="18"/>
                <w:color w:val="303030"/>
                <w:w w:val="90"/>
              </w:rPr>
              <w:t>administrative agent,</w:t>
            </w:r>
          </w:p>
        </w:tc>
        <w:tc>
          <w:tcPr>
            <w:tcW w:w="1060" w:type="dxa"/>
            <w:vAlign w:val="bottom"/>
            <w:tcBorders>
              <w:bottom w:val="single" w:sz="8" w:color="303030"/>
            </w:tcBorders>
            <w:gridSpan w:val="5"/>
            <w:shd w:val="clear" w:color="auto" w:fill="E4E4E4"/>
          </w:tcPr>
          <w:p>
            <w:pPr>
              <w:ind w:left="160"/>
              <w:spacing w:after="0" w:line="187" w:lineRule="exact"/>
              <w:rPr>
                <w:sz w:val="20"/>
                <w:szCs w:val="20"/>
                <w:color w:val="auto"/>
              </w:rPr>
            </w:pPr>
            <w:r>
              <w:rPr>
                <w:rFonts w:ascii="Arial" w:cs="Arial" w:eastAsia="Arial" w:hAnsi="Arial"/>
                <w:sz w:val="18"/>
                <w:szCs w:val="18"/>
                <w:color w:val="303030"/>
              </w:rPr>
              <w:t>SBC Bank</w:t>
            </w:r>
          </w:p>
        </w:tc>
        <w:tc>
          <w:tcPr>
            <w:tcW w:w="40" w:type="dxa"/>
            <w:vAlign w:val="bottom"/>
            <w:tcBorders>
              <w:bottom w:val="single" w:sz="8" w:color="303030"/>
            </w:tcBorders>
            <w:shd w:val="clear" w:color="auto" w:fill="E4E4E4"/>
          </w:tcPr>
          <w:p>
            <w:pPr>
              <w:spacing w:after="0"/>
              <w:rPr>
                <w:sz w:val="16"/>
                <w:szCs w:val="16"/>
                <w:color w:val="auto"/>
              </w:rPr>
            </w:pPr>
          </w:p>
        </w:tc>
        <w:tc>
          <w:tcPr>
            <w:tcW w:w="2320" w:type="dxa"/>
            <w:vAlign w:val="bottom"/>
            <w:tcBorders>
              <w:bottom w:val="single" w:sz="8" w:color="303030"/>
            </w:tcBorders>
            <w:gridSpan w:val="12"/>
            <w:shd w:val="clear" w:color="auto" w:fill="E4E4E4"/>
          </w:tcPr>
          <w:p>
            <w:pPr>
              <w:spacing w:after="0" w:line="187" w:lineRule="exact"/>
              <w:rPr>
                <w:sz w:val="20"/>
                <w:szCs w:val="20"/>
                <w:color w:val="auto"/>
              </w:rPr>
            </w:pPr>
            <w:r>
              <w:rPr>
                <w:rFonts w:ascii="Arial" w:cs="Arial" w:eastAsia="Arial" w:hAnsi="Arial"/>
                <w:sz w:val="18"/>
                <w:szCs w:val="18"/>
                <w:color w:val="303030"/>
                <w:w w:val="99"/>
              </w:rPr>
              <w:t>SA, National Association and</w:t>
            </w:r>
          </w:p>
        </w:tc>
        <w:tc>
          <w:tcPr>
            <w:tcW w:w="1260" w:type="dxa"/>
            <w:vAlign w:val="bottom"/>
            <w:tcBorders>
              <w:bottom w:val="single" w:sz="8" w:color="303030"/>
            </w:tcBorders>
            <w:gridSpan w:val="9"/>
            <w:shd w:val="clear" w:color="auto" w:fill="E4E4E4"/>
          </w:tcPr>
          <w:p>
            <w:pPr>
              <w:ind w:left="40"/>
              <w:spacing w:after="0" w:line="187" w:lineRule="exact"/>
              <w:rPr>
                <w:sz w:val="20"/>
                <w:szCs w:val="20"/>
                <w:color w:val="auto"/>
              </w:rPr>
            </w:pPr>
            <w:r>
              <w:rPr>
                <w:rFonts w:ascii="Arial" w:cs="Arial" w:eastAsia="Arial" w:hAnsi="Arial"/>
                <w:sz w:val="18"/>
                <w:szCs w:val="18"/>
                <w:color w:val="303030"/>
                <w:w w:val="92"/>
              </w:rPr>
              <w:t>ells Fargo Bank,</w:t>
            </w:r>
          </w:p>
        </w:tc>
        <w:tc>
          <w:tcPr>
            <w:tcW w:w="80" w:type="dxa"/>
            <w:vAlign w:val="bottom"/>
            <w:tcBorders>
              <w:bottom w:val="single" w:sz="8" w:color="E4E4E4"/>
            </w:tcBorders>
            <w:shd w:val="clear" w:color="auto" w:fill="E4E4E4"/>
          </w:tcPr>
          <w:p>
            <w:pPr>
              <w:spacing w:after="0"/>
              <w:rPr>
                <w:sz w:val="16"/>
                <w:szCs w:val="16"/>
                <w:color w:val="auto"/>
              </w:rPr>
            </w:pPr>
          </w:p>
        </w:tc>
        <w:tc>
          <w:tcPr>
            <w:tcW w:w="14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1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40" w:type="dxa"/>
            <w:vAlign w:val="bottom"/>
            <w:tcBorders>
              <w:bottom w:val="single" w:sz="8" w:color="E4E4E4"/>
            </w:tcBorders>
            <w:shd w:val="clear" w:color="auto" w:fill="E4E4E4"/>
          </w:tcPr>
          <w:p>
            <w:pPr>
              <w:spacing w:after="0"/>
              <w:rPr>
                <w:sz w:val="16"/>
                <w:szCs w:val="16"/>
                <w:color w:val="auto"/>
              </w:rPr>
            </w:pPr>
          </w:p>
        </w:tc>
        <w:tc>
          <w:tcPr>
            <w:tcW w:w="40" w:type="dxa"/>
            <w:vAlign w:val="bottom"/>
            <w:tcBorders>
              <w:bottom w:val="single" w:sz="8" w:color="E4E4E4"/>
            </w:tcBorders>
            <w:shd w:val="clear" w:color="auto" w:fill="E4E4E4"/>
          </w:tcPr>
          <w:p>
            <w:pPr>
              <w:spacing w:after="0"/>
              <w:rPr>
                <w:sz w:val="16"/>
                <w:szCs w:val="16"/>
                <w:color w:val="auto"/>
              </w:rPr>
            </w:pPr>
          </w:p>
        </w:tc>
        <w:tc>
          <w:tcPr>
            <w:tcW w:w="6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20" w:type="dxa"/>
            <w:vAlign w:val="bottom"/>
            <w:tcBorders>
              <w:bottom w:val="single" w:sz="8" w:color="E4E4E4"/>
            </w:tcBorders>
            <w:shd w:val="clear" w:color="auto" w:fill="E4E4E4"/>
          </w:tcPr>
          <w:p>
            <w:pPr>
              <w:spacing w:after="0"/>
              <w:rPr>
                <w:sz w:val="16"/>
                <w:szCs w:val="16"/>
                <w:color w:val="auto"/>
              </w:rPr>
            </w:pPr>
          </w:p>
        </w:tc>
        <w:tc>
          <w:tcPr>
            <w:tcW w:w="760" w:type="dxa"/>
            <w:vAlign w:val="bottom"/>
            <w:tcBorders>
              <w:bottom w:val="single" w:sz="8" w:color="E4E4E4"/>
            </w:tcBorders>
            <w:shd w:val="clear" w:color="auto" w:fill="E4E4E4"/>
          </w:tcPr>
          <w:p>
            <w:pPr>
              <w:spacing w:after="0"/>
              <w:rPr>
                <w:sz w:val="16"/>
                <w:szCs w:val="16"/>
                <w:color w:val="auto"/>
              </w:rPr>
            </w:pPr>
          </w:p>
        </w:tc>
        <w:tc>
          <w:tcPr>
            <w:tcW w:w="740" w:type="dxa"/>
            <w:vAlign w:val="bottom"/>
            <w:tcBorders>
              <w:bottom w:val="single" w:sz="8" w:color="E4E4E4"/>
            </w:tcBorders>
            <w:shd w:val="clear" w:color="auto" w:fill="E4E4E4"/>
          </w:tcPr>
          <w:p>
            <w:pPr>
              <w:spacing w:after="0"/>
              <w:rPr>
                <w:sz w:val="16"/>
                <w:szCs w:val="16"/>
                <w:color w:val="auto"/>
              </w:rPr>
            </w:pPr>
          </w:p>
        </w:tc>
        <w:tc>
          <w:tcPr>
            <w:tcW w:w="420" w:type="dxa"/>
            <w:vAlign w:val="bottom"/>
            <w:tcBorders>
              <w:bottom w:val="single" w:sz="8" w:color="E4E4E4"/>
            </w:tcBorders>
            <w:shd w:val="clear" w:color="auto" w:fill="E4E4E4"/>
          </w:tcPr>
          <w:p>
            <w:pPr>
              <w:spacing w:after="0"/>
              <w:rPr>
                <w:sz w:val="16"/>
                <w:szCs w:val="16"/>
                <w:color w:val="auto"/>
              </w:rPr>
            </w:pPr>
          </w:p>
        </w:tc>
        <w:tc>
          <w:tcPr>
            <w:tcW w:w="560" w:type="dxa"/>
            <w:vAlign w:val="bottom"/>
            <w:tcBorders>
              <w:bottom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shd w:val="clear" w:color="auto" w:fill="E4E4E4"/>
          </w:tcPr>
          <w:p>
            <w:pPr>
              <w:spacing w:after="0"/>
              <w:rPr>
                <w:sz w:val="16"/>
                <w:szCs w:val="16"/>
                <w:color w:val="auto"/>
              </w:rPr>
            </w:pPr>
          </w:p>
        </w:tc>
        <w:tc>
          <w:tcPr>
            <w:tcW w:w="5840" w:type="dxa"/>
            <w:vAlign w:val="bottom"/>
            <w:gridSpan w:val="31"/>
            <w:shd w:val="clear" w:color="auto" w:fill="E4E4E4"/>
          </w:tcPr>
          <w:p>
            <w:pPr>
              <w:spacing w:after="0" w:line="187" w:lineRule="exact"/>
              <w:rPr>
                <w:sz w:val="20"/>
                <w:szCs w:val="20"/>
                <w:color w:val="auto"/>
              </w:rPr>
            </w:pPr>
            <w:r>
              <w:rPr>
                <w:rFonts w:ascii="Arial" w:cs="Arial" w:eastAsia="Arial" w:hAnsi="Arial"/>
                <w:sz w:val="18"/>
                <w:szCs w:val="18"/>
                <w:color w:val="303030"/>
                <w:w w:val="93"/>
              </w:rPr>
              <w:t>National Association, as co-syndication agents, and Bank of America, N.A., JP</w:t>
            </w:r>
          </w:p>
        </w:tc>
        <w:tc>
          <w:tcPr>
            <w:tcW w:w="980" w:type="dxa"/>
            <w:vAlign w:val="bottom"/>
            <w:gridSpan w:val="19"/>
            <w:shd w:val="clear" w:color="auto" w:fill="E4E4E4"/>
          </w:tcPr>
          <w:p>
            <w:pPr>
              <w:jc w:val="right"/>
              <w:ind w:right="60"/>
              <w:spacing w:after="0" w:line="187" w:lineRule="exact"/>
              <w:rPr>
                <w:sz w:val="20"/>
                <w:szCs w:val="20"/>
                <w:color w:val="auto"/>
              </w:rPr>
            </w:pPr>
            <w:r>
              <w:rPr>
                <w:rFonts w:ascii="Arial" w:cs="Arial" w:eastAsia="Arial" w:hAnsi="Arial"/>
                <w:sz w:val="18"/>
                <w:szCs w:val="18"/>
                <w:color w:val="303030"/>
                <w:w w:val="87"/>
              </w:rPr>
              <w:t>organ Chase</w:t>
            </w:r>
          </w:p>
        </w:tc>
        <w:tc>
          <w:tcPr>
            <w:tcW w:w="20" w:type="dxa"/>
            <w:vAlign w:val="bottom"/>
            <w:shd w:val="clear" w:color="auto" w:fill="E4E4E4"/>
          </w:tcPr>
          <w:p>
            <w:pPr>
              <w:spacing w:after="0"/>
              <w:rPr>
                <w:sz w:val="16"/>
                <w:szCs w:val="16"/>
                <w:color w:val="auto"/>
              </w:rPr>
            </w:pPr>
          </w:p>
        </w:tc>
        <w:tc>
          <w:tcPr>
            <w:tcW w:w="760" w:type="dxa"/>
            <w:vAlign w:val="bottom"/>
            <w:shd w:val="clear" w:color="auto" w:fill="E4E4E4"/>
          </w:tcPr>
          <w:p>
            <w:pPr>
              <w:spacing w:after="0"/>
              <w:rPr>
                <w:sz w:val="16"/>
                <w:szCs w:val="16"/>
                <w:color w:val="auto"/>
              </w:rPr>
            </w:pPr>
          </w:p>
        </w:tc>
        <w:tc>
          <w:tcPr>
            <w:tcW w:w="740" w:type="dxa"/>
            <w:vAlign w:val="bottom"/>
            <w:shd w:val="clear" w:color="auto" w:fill="E4E4E4"/>
          </w:tcPr>
          <w:p>
            <w:pPr>
              <w:spacing w:after="0"/>
              <w:rPr>
                <w:sz w:val="16"/>
                <w:szCs w:val="16"/>
                <w:color w:val="auto"/>
              </w:rPr>
            </w:pPr>
          </w:p>
        </w:tc>
        <w:tc>
          <w:tcPr>
            <w:tcW w:w="4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tcBorders>
              <w:top w:val="single" w:sz="8" w:color="E4E4E4"/>
            </w:tcBorders>
            <w:shd w:val="clear" w:color="auto" w:fill="E4E4E4"/>
          </w:tcPr>
          <w:p>
            <w:pPr>
              <w:spacing w:after="0"/>
              <w:rPr>
                <w:sz w:val="16"/>
                <w:szCs w:val="16"/>
                <w:color w:val="auto"/>
              </w:rPr>
            </w:pPr>
          </w:p>
        </w:tc>
        <w:tc>
          <w:tcPr>
            <w:tcW w:w="5840" w:type="dxa"/>
            <w:vAlign w:val="bottom"/>
            <w:tcBorders>
              <w:top w:val="single" w:sz="8" w:color="303030"/>
            </w:tcBorders>
            <w:gridSpan w:val="31"/>
            <w:shd w:val="clear" w:color="auto" w:fill="E4E4E4"/>
          </w:tcPr>
          <w:p>
            <w:pPr>
              <w:spacing w:after="0" w:line="187" w:lineRule="exact"/>
              <w:rPr>
                <w:sz w:val="20"/>
                <w:szCs w:val="20"/>
                <w:color w:val="auto"/>
              </w:rPr>
            </w:pPr>
            <w:r>
              <w:rPr>
                <w:rFonts w:ascii="Arial" w:cs="Arial" w:eastAsia="Arial" w:hAnsi="Arial"/>
                <w:sz w:val="18"/>
                <w:szCs w:val="18"/>
                <w:color w:val="303030"/>
                <w:w w:val="95"/>
              </w:rPr>
              <w:t>Bank, N.A. and Deutsche Bank Securities, Inc., as co-documentation agents</w:t>
            </w:r>
          </w:p>
        </w:tc>
        <w:tc>
          <w:tcPr>
            <w:tcW w:w="60" w:type="dxa"/>
            <w:vAlign w:val="bottom"/>
            <w:tcBorders>
              <w:top w:val="single" w:sz="8" w:color="303030"/>
            </w:tcBorders>
            <w:shd w:val="clear" w:color="auto" w:fill="E4E4E4"/>
          </w:tcPr>
          <w:p>
            <w:pPr>
              <w:spacing w:after="0"/>
              <w:rPr>
                <w:sz w:val="16"/>
                <w:szCs w:val="16"/>
                <w:color w:val="auto"/>
              </w:rPr>
            </w:pPr>
          </w:p>
        </w:tc>
        <w:tc>
          <w:tcPr>
            <w:tcW w:w="80" w:type="dxa"/>
            <w:vAlign w:val="bottom"/>
            <w:tcBorders>
              <w:top w:val="single" w:sz="8" w:color="303030"/>
            </w:tcBorders>
            <w:shd w:val="clear" w:color="auto" w:fill="E4E4E4"/>
          </w:tcPr>
          <w:p>
            <w:pPr>
              <w:spacing w:after="0"/>
              <w:rPr>
                <w:sz w:val="16"/>
                <w:szCs w:val="16"/>
                <w:color w:val="auto"/>
              </w:rPr>
            </w:pPr>
          </w:p>
        </w:tc>
        <w:tc>
          <w:tcPr>
            <w:tcW w:w="1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60" w:type="dxa"/>
            <w:vAlign w:val="bottom"/>
            <w:tcBorders>
              <w:top w:val="single" w:sz="8" w:color="303030"/>
            </w:tcBorders>
            <w:shd w:val="clear" w:color="auto" w:fill="E4E4E4"/>
          </w:tcPr>
          <w:p>
            <w:pPr>
              <w:spacing w:after="0"/>
              <w:rPr>
                <w:sz w:val="16"/>
                <w:szCs w:val="16"/>
                <w:color w:val="auto"/>
              </w:rPr>
            </w:pPr>
          </w:p>
        </w:tc>
        <w:tc>
          <w:tcPr>
            <w:tcW w:w="80" w:type="dxa"/>
            <w:vAlign w:val="bottom"/>
            <w:tcBorders>
              <w:top w:val="single" w:sz="8" w:color="303030"/>
            </w:tcBorders>
            <w:shd w:val="clear" w:color="auto" w:fill="E4E4E4"/>
          </w:tcPr>
          <w:p>
            <w:pPr>
              <w:spacing w:after="0"/>
              <w:rPr>
                <w:sz w:val="16"/>
                <w:szCs w:val="16"/>
                <w:color w:val="auto"/>
              </w:rPr>
            </w:pPr>
          </w:p>
        </w:tc>
        <w:tc>
          <w:tcPr>
            <w:tcW w:w="14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1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303030"/>
            </w:tcBorders>
            <w:shd w:val="clear" w:color="auto" w:fill="E4E4E4"/>
          </w:tcPr>
          <w:p>
            <w:pPr>
              <w:spacing w:after="0"/>
              <w:rPr>
                <w:sz w:val="16"/>
                <w:szCs w:val="16"/>
                <w:color w:val="auto"/>
              </w:rPr>
            </w:pPr>
          </w:p>
        </w:tc>
        <w:tc>
          <w:tcPr>
            <w:tcW w:w="40" w:type="dxa"/>
            <w:vAlign w:val="bottom"/>
            <w:tcBorders>
              <w:top w:val="single" w:sz="8" w:color="303030"/>
            </w:tcBorders>
            <w:shd w:val="clear" w:color="auto" w:fill="E4E4E4"/>
          </w:tcPr>
          <w:p>
            <w:pPr>
              <w:spacing w:after="0"/>
              <w:rPr>
                <w:sz w:val="16"/>
                <w:szCs w:val="16"/>
                <w:color w:val="auto"/>
              </w:rPr>
            </w:pPr>
          </w:p>
        </w:tc>
        <w:tc>
          <w:tcPr>
            <w:tcW w:w="40" w:type="dxa"/>
            <w:vAlign w:val="bottom"/>
            <w:tcBorders>
              <w:top w:val="single" w:sz="8" w:color="303030"/>
            </w:tcBorders>
            <w:shd w:val="clear" w:color="auto" w:fill="E4E4E4"/>
          </w:tcPr>
          <w:p>
            <w:pPr>
              <w:spacing w:after="0"/>
              <w:rPr>
                <w:sz w:val="16"/>
                <w:szCs w:val="16"/>
                <w:color w:val="auto"/>
              </w:rPr>
            </w:pPr>
          </w:p>
        </w:tc>
        <w:tc>
          <w:tcPr>
            <w:tcW w:w="60" w:type="dxa"/>
            <w:vAlign w:val="bottom"/>
            <w:tcBorders>
              <w:top w:val="single" w:sz="8" w:color="303030"/>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760" w:type="dxa"/>
            <w:vAlign w:val="bottom"/>
            <w:tcBorders>
              <w:top w:val="single" w:sz="8" w:color="E4E4E4"/>
            </w:tcBorders>
            <w:shd w:val="clear" w:color="auto" w:fill="E4E4E4"/>
          </w:tcPr>
          <w:p>
            <w:pPr>
              <w:spacing w:after="0"/>
              <w:rPr>
                <w:sz w:val="16"/>
                <w:szCs w:val="16"/>
                <w:color w:val="auto"/>
              </w:rPr>
            </w:pPr>
          </w:p>
        </w:tc>
        <w:tc>
          <w:tcPr>
            <w:tcW w:w="740" w:type="dxa"/>
            <w:vAlign w:val="bottom"/>
            <w:tcBorders>
              <w:top w:val="single" w:sz="8" w:color="E4E4E4"/>
            </w:tcBorders>
            <w:shd w:val="clear" w:color="auto" w:fill="E4E4E4"/>
          </w:tcPr>
          <w:p>
            <w:pPr>
              <w:spacing w:after="0"/>
              <w:rPr>
                <w:sz w:val="16"/>
                <w:szCs w:val="16"/>
                <w:color w:val="auto"/>
              </w:rPr>
            </w:pPr>
          </w:p>
        </w:tc>
        <w:tc>
          <w:tcPr>
            <w:tcW w:w="420" w:type="dxa"/>
            <w:vAlign w:val="bottom"/>
            <w:tcBorders>
              <w:top w:val="single" w:sz="8" w:color="E4E4E4"/>
            </w:tcBorders>
            <w:shd w:val="clear" w:color="auto" w:fill="E4E4E4"/>
          </w:tcPr>
          <w:p>
            <w:pPr>
              <w:spacing w:after="0"/>
              <w:rPr>
                <w:sz w:val="16"/>
                <w:szCs w:val="16"/>
                <w:color w:val="auto"/>
              </w:rPr>
            </w:pPr>
          </w:p>
        </w:tc>
        <w:tc>
          <w:tcPr>
            <w:tcW w:w="560" w:type="dxa"/>
            <w:vAlign w:val="bottom"/>
            <w:tcBorders>
              <w:top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780" w:type="dxa"/>
            <w:vAlign w:val="bottom"/>
            <w:tcBorders>
              <w:top w:val="single" w:sz="8" w:color="E4E4E4"/>
            </w:tcBorders>
            <w:gridSpan w:val="2"/>
            <w:shd w:val="clear" w:color="auto" w:fill="E4E4E4"/>
          </w:tcPr>
          <w:p>
            <w:pPr>
              <w:spacing w:after="0"/>
              <w:rPr>
                <w:sz w:val="5"/>
                <w:szCs w:val="5"/>
                <w:color w:val="auto"/>
              </w:rPr>
            </w:pPr>
          </w:p>
        </w:tc>
        <w:tc>
          <w:tcPr>
            <w:tcW w:w="5460" w:type="dxa"/>
            <w:vAlign w:val="bottom"/>
            <w:tcBorders>
              <w:top w:val="single" w:sz="8" w:color="303030"/>
            </w:tcBorders>
            <w:gridSpan w:val="28"/>
            <w:shd w:val="clear" w:color="auto" w:fill="E4E4E4"/>
          </w:tcPr>
          <w:p>
            <w:pPr>
              <w:spacing w:after="0"/>
              <w:rPr>
                <w:sz w:val="5"/>
                <w:szCs w:val="5"/>
                <w:color w:val="auto"/>
              </w:rPr>
            </w:pPr>
          </w:p>
        </w:tc>
        <w:tc>
          <w:tcPr>
            <w:tcW w:w="3840" w:type="dxa"/>
            <w:vAlign w:val="bottom"/>
            <w:tcBorders>
              <w:top w:val="single" w:sz="8" w:color="E4E4E4"/>
            </w:tcBorders>
            <w:gridSpan w:val="26"/>
            <w:shd w:val="clear" w:color="auto" w:fill="E4E4E4"/>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760" w:type="dxa"/>
            <w:vAlign w:val="bottom"/>
            <w:tcBorders>
              <w:bottom w:val="single" w:sz="8" w:color="FEFEFE"/>
            </w:tcBorders>
            <w:shd w:val="clear" w:color="auto" w:fill="FEFEFE"/>
          </w:tcPr>
          <w:p>
            <w:pPr>
              <w:ind w:left="140"/>
              <w:spacing w:after="0"/>
              <w:rPr>
                <w:sz w:val="20"/>
                <w:szCs w:val="20"/>
                <w:color w:val="auto"/>
              </w:rPr>
            </w:pPr>
            <w:r>
              <w:rPr>
                <w:rFonts w:ascii="Arial" w:cs="Arial" w:eastAsia="Arial" w:hAnsi="Arial"/>
                <w:sz w:val="18"/>
                <w:szCs w:val="18"/>
                <w:color w:val="auto"/>
              </w:rPr>
              <w:t>10.46</w:t>
            </w:r>
          </w:p>
        </w:tc>
        <w:tc>
          <w:tcPr>
            <w:tcW w:w="20" w:type="dxa"/>
            <w:vAlign w:val="bottom"/>
            <w:tcBorders>
              <w:bottom w:val="single" w:sz="8" w:color="FEFEFE"/>
            </w:tcBorders>
            <w:shd w:val="clear" w:color="auto" w:fill="FEFEFE"/>
          </w:tcPr>
          <w:p>
            <w:pPr>
              <w:spacing w:after="0"/>
              <w:rPr>
                <w:sz w:val="18"/>
                <w:szCs w:val="18"/>
                <w:color w:val="auto"/>
              </w:rPr>
            </w:pPr>
          </w:p>
        </w:tc>
        <w:tc>
          <w:tcPr>
            <w:tcW w:w="4920" w:type="dxa"/>
            <w:vAlign w:val="bottom"/>
            <w:tcBorders>
              <w:bottom w:val="single" w:sz="8" w:color="303030"/>
            </w:tcBorders>
            <w:gridSpan w:val="27"/>
            <w:shd w:val="clear" w:color="auto" w:fill="FEFEFE"/>
          </w:tcPr>
          <w:p>
            <w:pPr>
              <w:spacing w:after="0"/>
              <w:rPr>
                <w:sz w:val="20"/>
                <w:szCs w:val="20"/>
                <w:color w:val="auto"/>
              </w:rPr>
            </w:pPr>
            <w:r>
              <w:rPr>
                <w:rFonts w:ascii="Arial" w:cs="Arial" w:eastAsia="Arial" w:hAnsi="Arial"/>
                <w:sz w:val="18"/>
                <w:szCs w:val="18"/>
                <w:color w:val="303030"/>
                <w:w w:val="93"/>
              </w:rPr>
              <w:t>First Amendment to 2026  evolving Credit Agreement, dated as of</w:t>
            </w:r>
          </w:p>
        </w:tc>
        <w:tc>
          <w:tcPr>
            <w:tcW w:w="1500" w:type="dxa"/>
            <w:vAlign w:val="bottom"/>
            <w:tcBorders>
              <w:bottom w:val="single" w:sz="8" w:color="303030"/>
            </w:tcBorders>
            <w:gridSpan w:val="12"/>
            <w:shd w:val="clear" w:color="auto" w:fill="FEFEFE"/>
          </w:tcPr>
          <w:p>
            <w:pPr>
              <w:ind w:left="120"/>
              <w:spacing w:after="0"/>
              <w:rPr>
                <w:sz w:val="20"/>
                <w:szCs w:val="20"/>
                <w:color w:val="auto"/>
              </w:rPr>
            </w:pPr>
            <w:r>
              <w:rPr>
                <w:rFonts w:ascii="Arial" w:cs="Arial" w:eastAsia="Arial" w:hAnsi="Arial"/>
                <w:sz w:val="18"/>
                <w:szCs w:val="18"/>
                <w:color w:val="303030"/>
                <w:w w:val="91"/>
              </w:rPr>
              <w:t>ay 8, 2023, by and</w:t>
            </w:r>
          </w:p>
        </w:tc>
        <w:tc>
          <w:tcPr>
            <w:tcW w:w="380" w:type="dxa"/>
            <w:vAlign w:val="bottom"/>
            <w:tcBorders>
              <w:bottom w:val="single" w:sz="8" w:color="FEFEFE"/>
            </w:tcBorders>
            <w:gridSpan w:val="10"/>
            <w:shd w:val="clear" w:color="auto" w:fill="FEFEFE"/>
          </w:tcPr>
          <w:p>
            <w:pPr>
              <w:spacing w:after="0"/>
              <w:rPr>
                <w:sz w:val="18"/>
                <w:szCs w:val="18"/>
                <w:color w:val="auto"/>
              </w:rPr>
            </w:pPr>
          </w:p>
        </w:tc>
        <w:tc>
          <w:tcPr>
            <w:tcW w:w="780" w:type="dxa"/>
            <w:vAlign w:val="bottom"/>
            <w:tcBorders>
              <w:bottom w:val="single" w:sz="8" w:color="FEFEFE"/>
            </w:tcBorders>
            <w:gridSpan w:val="2"/>
            <w:shd w:val="clear" w:color="auto" w:fill="FEFEFE"/>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8"/>
                <w:szCs w:val="18"/>
                <w:color w:val="auto"/>
                <w:w w:val="91"/>
              </w:rPr>
              <w:t>10.3</w:t>
            </w:r>
          </w:p>
        </w:tc>
        <w:tc>
          <w:tcPr>
            <w:tcW w:w="980" w:type="dxa"/>
            <w:vAlign w:val="bottom"/>
            <w:tcBorders>
              <w:bottom w:val="single" w:sz="8" w:color="FEFEFE"/>
            </w:tcBorders>
            <w:gridSpan w:val="2"/>
            <w:shd w:val="clear" w:color="auto" w:fill="FEFEFE"/>
          </w:tcPr>
          <w:p>
            <w:pPr>
              <w:ind w:left="120"/>
              <w:spacing w:after="0"/>
              <w:rPr>
                <w:sz w:val="20"/>
                <w:szCs w:val="20"/>
                <w:color w:val="auto"/>
              </w:rPr>
            </w:pPr>
            <w:r>
              <w:rPr>
                <w:rFonts w:ascii="Arial" w:cs="Arial" w:eastAsia="Arial" w:hAnsi="Arial"/>
                <w:sz w:val="18"/>
                <w:szCs w:val="18"/>
                <w:color w:val="auto"/>
              </w:rPr>
              <w:t>5 26 2023</w:t>
            </w:r>
          </w:p>
        </w:tc>
        <w:tc>
          <w:tcPr>
            <w:tcW w:w="0" w:type="dxa"/>
            <w:vAlign w:val="bottom"/>
          </w:tcPr>
          <w:p>
            <w:pPr>
              <w:spacing w:after="0"/>
              <w:rPr>
                <w:sz w:val="1"/>
                <w:szCs w:val="1"/>
                <w:color w:val="auto"/>
              </w:rPr>
            </w:pPr>
          </w:p>
        </w:tc>
      </w:tr>
      <w:tr>
        <w:trPr>
          <w:trHeight w:val="160"/>
        </w:trPr>
        <w:tc>
          <w:tcPr>
            <w:tcW w:w="76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560" w:type="dxa"/>
            <w:vAlign w:val="bottom"/>
            <w:gridSpan w:val="14"/>
            <w:shd w:val="clear" w:color="auto" w:fill="FEFEFE"/>
          </w:tcPr>
          <w:p>
            <w:pPr>
              <w:spacing w:after="0" w:line="160" w:lineRule="exact"/>
              <w:rPr>
                <w:sz w:val="20"/>
                <w:szCs w:val="20"/>
                <w:color w:val="auto"/>
              </w:rPr>
            </w:pPr>
            <w:r>
              <w:rPr>
                <w:rFonts w:ascii="Arial" w:cs="Arial" w:eastAsia="Arial" w:hAnsi="Arial"/>
                <w:sz w:val="18"/>
                <w:szCs w:val="18"/>
                <w:color w:val="303030"/>
                <w:w w:val="94"/>
              </w:rPr>
              <w:t>among The TJX Companies, Inc.,</w:t>
            </w:r>
          </w:p>
        </w:tc>
        <w:tc>
          <w:tcPr>
            <w:tcW w:w="4240" w:type="dxa"/>
            <w:vAlign w:val="bottom"/>
            <w:gridSpan w:val="35"/>
            <w:shd w:val="clear" w:color="auto" w:fill="FEFEFE"/>
          </w:tcPr>
          <w:p>
            <w:pPr>
              <w:jc w:val="right"/>
              <w:ind w:right="240"/>
              <w:spacing w:after="0" w:line="160" w:lineRule="exact"/>
              <w:rPr>
                <w:sz w:val="20"/>
                <w:szCs w:val="20"/>
                <w:color w:val="auto"/>
              </w:rPr>
            </w:pPr>
            <w:r>
              <w:rPr>
                <w:rFonts w:ascii="Arial" w:cs="Arial" w:eastAsia="Arial" w:hAnsi="Arial"/>
                <w:sz w:val="18"/>
                <w:szCs w:val="18"/>
                <w:color w:val="303030"/>
                <w:w w:val="91"/>
              </w:rPr>
              <w:t>.S. Bank National Association, as administrative agent,</w:t>
            </w:r>
          </w:p>
        </w:tc>
        <w:tc>
          <w:tcPr>
            <w:tcW w:w="2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20" w:type="dxa"/>
            <w:vAlign w:val="bottom"/>
            <w:shd w:val="clear" w:color="auto" w:fill="FEFEFE"/>
          </w:tcPr>
          <w:p>
            <w:pPr>
              <w:spacing w:after="0"/>
              <w:rPr>
                <w:sz w:val="13"/>
                <w:szCs w:val="13"/>
                <w:color w:val="auto"/>
              </w:rPr>
            </w:pPr>
          </w:p>
        </w:tc>
        <w:tc>
          <w:tcPr>
            <w:tcW w:w="56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3120" w:type="dxa"/>
            <w:vAlign w:val="bottom"/>
            <w:tcBorders>
              <w:top w:val="single" w:sz="8" w:color="303030"/>
            </w:tcBorders>
            <w:gridSpan w:val="19"/>
            <w:shd w:val="clear" w:color="auto" w:fill="FEFEFE"/>
          </w:tcPr>
          <w:p>
            <w:pPr>
              <w:spacing w:after="0" w:line="160" w:lineRule="exact"/>
              <w:rPr>
                <w:sz w:val="20"/>
                <w:szCs w:val="20"/>
                <w:color w:val="auto"/>
              </w:rPr>
            </w:pPr>
            <w:r>
              <w:rPr>
                <w:rFonts w:ascii="Arial" w:cs="Arial" w:eastAsia="Arial" w:hAnsi="Arial"/>
                <w:sz w:val="18"/>
                <w:szCs w:val="18"/>
                <w:color w:val="303030"/>
              </w:rPr>
              <w:t>and each of the lenders party thereto</w:t>
            </w:r>
          </w:p>
        </w:tc>
        <w:tc>
          <w:tcPr>
            <w:tcW w:w="24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2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72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5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4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420" w:type="dxa"/>
            <w:vAlign w:val="bottom"/>
            <w:tcBorders>
              <w:top w:val="single" w:sz="8" w:color="FEFEFE"/>
            </w:tcBorders>
            <w:shd w:val="clear" w:color="auto" w:fill="FEFEFE"/>
          </w:tcPr>
          <w:p>
            <w:pPr>
              <w:spacing w:after="0"/>
              <w:rPr>
                <w:sz w:val="13"/>
                <w:szCs w:val="13"/>
                <w:color w:val="auto"/>
              </w:rPr>
            </w:pPr>
          </w:p>
        </w:tc>
        <w:tc>
          <w:tcPr>
            <w:tcW w:w="5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2600" w:type="dxa"/>
            <w:vAlign w:val="bottom"/>
            <w:tcBorders>
              <w:top w:val="single" w:sz="8" w:color="303030"/>
            </w:tcBorders>
            <w:gridSpan w:val="15"/>
            <w:shd w:val="clear" w:color="auto" w:fill="FEFEFE"/>
          </w:tcPr>
          <w:p>
            <w:pPr>
              <w:spacing w:after="0"/>
              <w:rPr>
                <w:sz w:val="4"/>
                <w:szCs w:val="4"/>
                <w:color w:val="auto"/>
              </w:rPr>
            </w:pPr>
          </w:p>
        </w:tc>
        <w:tc>
          <w:tcPr>
            <w:tcW w:w="6700" w:type="dxa"/>
            <w:vAlign w:val="bottom"/>
            <w:tcBorders>
              <w:top w:val="single" w:sz="8" w:color="FEFEFE"/>
            </w:tcBorders>
            <w:gridSpan w:val="39"/>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ind w:left="140"/>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E4E4E4"/>
          </w:tcPr>
          <w:p>
            <w:pPr>
              <w:spacing w:after="0"/>
              <w:rPr>
                <w:sz w:val="18"/>
                <w:szCs w:val="18"/>
                <w:color w:val="auto"/>
              </w:rPr>
            </w:pPr>
          </w:p>
        </w:tc>
        <w:tc>
          <w:tcPr>
            <w:tcW w:w="1500" w:type="dxa"/>
            <w:vAlign w:val="bottom"/>
            <w:gridSpan w:val="9"/>
            <w:shd w:val="clear" w:color="auto" w:fill="E4E4E4"/>
          </w:tcPr>
          <w:p>
            <w:pPr>
              <w:spacing w:after="0"/>
              <w:rPr>
                <w:sz w:val="20"/>
                <w:szCs w:val="20"/>
                <w:color w:val="auto"/>
              </w:rPr>
            </w:pPr>
            <w:r>
              <w:rPr>
                <w:rFonts w:ascii="Arial" w:cs="Arial" w:eastAsia="Arial" w:hAnsi="Arial"/>
                <w:sz w:val="18"/>
                <w:szCs w:val="18"/>
                <w:color w:val="303030"/>
                <w:w w:val="94"/>
              </w:rPr>
              <w:t>2028 Amended and</w:t>
            </w:r>
          </w:p>
        </w:tc>
        <w:tc>
          <w:tcPr>
            <w:tcW w:w="680" w:type="dxa"/>
            <w:vAlign w:val="bottom"/>
            <w:gridSpan w:val="3"/>
            <w:shd w:val="clear" w:color="auto" w:fill="E4E4E4"/>
          </w:tcPr>
          <w:p>
            <w:pPr>
              <w:ind w:left="60"/>
              <w:spacing w:after="0"/>
              <w:rPr>
                <w:sz w:val="20"/>
                <w:szCs w:val="20"/>
                <w:color w:val="auto"/>
              </w:rPr>
            </w:pPr>
            <w:r>
              <w:rPr>
                <w:rFonts w:ascii="Arial" w:cs="Arial" w:eastAsia="Arial" w:hAnsi="Arial"/>
                <w:sz w:val="18"/>
                <w:szCs w:val="18"/>
                <w:color w:val="303030"/>
              </w:rPr>
              <w:t>estated</w:t>
            </w:r>
          </w:p>
        </w:tc>
        <w:tc>
          <w:tcPr>
            <w:tcW w:w="4620" w:type="dxa"/>
            <w:vAlign w:val="bottom"/>
            <w:gridSpan w:val="37"/>
            <w:shd w:val="clear" w:color="auto" w:fill="E4E4E4"/>
          </w:tcPr>
          <w:p>
            <w:pPr>
              <w:ind w:left="40"/>
              <w:spacing w:after="0"/>
              <w:rPr>
                <w:sz w:val="20"/>
                <w:szCs w:val="20"/>
                <w:color w:val="auto"/>
              </w:rPr>
            </w:pPr>
            <w:r>
              <w:rPr>
                <w:rFonts w:ascii="Arial" w:cs="Arial" w:eastAsia="Arial" w:hAnsi="Arial"/>
                <w:sz w:val="18"/>
                <w:szCs w:val="18"/>
                <w:color w:val="303030"/>
                <w:w w:val="97"/>
              </w:rPr>
              <w:t>evolving Credit Agreement, dated as of  ay 8, 2023, by and</w:t>
            </w:r>
          </w:p>
        </w:tc>
        <w:tc>
          <w:tcPr>
            <w:tcW w:w="780" w:type="dxa"/>
            <w:vAlign w:val="bottom"/>
            <w:gridSpan w:val="2"/>
            <w:shd w:val="clear" w:color="auto" w:fill="E4E4E4"/>
          </w:tcPr>
          <w:p>
            <w:pPr>
              <w:jc w:val="center"/>
              <w:ind w:right="10"/>
              <w:spacing w:after="0"/>
              <w:rPr>
                <w:sz w:val="20"/>
                <w:szCs w:val="20"/>
                <w:color w:val="auto"/>
              </w:rPr>
            </w:pPr>
            <w:r>
              <w:rPr>
                <w:rFonts w:ascii="Arial" w:cs="Arial" w:eastAsia="Arial" w:hAnsi="Arial"/>
                <w:sz w:val="18"/>
                <w:szCs w:val="18"/>
                <w:color w:val="auto"/>
                <w:w w:val="92"/>
              </w:rPr>
              <w:t>10-</w:t>
            </w:r>
          </w:p>
        </w:tc>
        <w:tc>
          <w:tcPr>
            <w:tcW w:w="74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10.2</w:t>
            </w:r>
          </w:p>
        </w:tc>
        <w:tc>
          <w:tcPr>
            <w:tcW w:w="980" w:type="dxa"/>
            <w:vAlign w:val="bottom"/>
            <w:gridSpan w:val="2"/>
            <w:shd w:val="clear" w:color="auto" w:fill="E4E4E4"/>
          </w:tcPr>
          <w:p>
            <w:pPr>
              <w:ind w:left="120"/>
              <w:spacing w:after="0"/>
              <w:rPr>
                <w:sz w:val="20"/>
                <w:szCs w:val="20"/>
                <w:color w:val="auto"/>
              </w:rPr>
            </w:pPr>
            <w:r>
              <w:rPr>
                <w:rFonts w:ascii="Arial" w:cs="Arial" w:eastAsia="Arial" w:hAnsi="Arial"/>
                <w:sz w:val="18"/>
                <w:szCs w:val="18"/>
                <w:color w:val="auto"/>
              </w:rPr>
              <w:t>5 26 2023</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560" w:type="dxa"/>
            <w:vAlign w:val="bottom"/>
            <w:tcBorders>
              <w:top w:val="single" w:sz="8" w:color="303030"/>
            </w:tcBorders>
            <w:gridSpan w:val="14"/>
            <w:shd w:val="clear" w:color="auto" w:fill="E4E4E4"/>
          </w:tcPr>
          <w:p>
            <w:pPr>
              <w:spacing w:after="0" w:line="160" w:lineRule="exact"/>
              <w:rPr>
                <w:sz w:val="20"/>
                <w:szCs w:val="20"/>
                <w:color w:val="auto"/>
              </w:rPr>
            </w:pPr>
            <w:r>
              <w:rPr>
                <w:rFonts w:ascii="Arial" w:cs="Arial" w:eastAsia="Arial" w:hAnsi="Arial"/>
                <w:sz w:val="18"/>
                <w:szCs w:val="18"/>
                <w:color w:val="303030"/>
                <w:w w:val="94"/>
              </w:rPr>
              <w:t>among The TJX Companies, Inc.,</w:t>
            </w:r>
          </w:p>
        </w:tc>
        <w:tc>
          <w:tcPr>
            <w:tcW w:w="4080" w:type="dxa"/>
            <w:vAlign w:val="bottom"/>
            <w:tcBorders>
              <w:top w:val="single" w:sz="8" w:color="303030"/>
            </w:tcBorders>
            <w:gridSpan w:val="31"/>
            <w:shd w:val="clear" w:color="auto" w:fill="E4E4E4"/>
          </w:tcPr>
          <w:p>
            <w:pPr>
              <w:jc w:val="right"/>
              <w:ind w:right="80"/>
              <w:spacing w:after="0" w:line="160" w:lineRule="exact"/>
              <w:rPr>
                <w:sz w:val="20"/>
                <w:szCs w:val="20"/>
                <w:color w:val="auto"/>
              </w:rPr>
            </w:pPr>
            <w:r>
              <w:rPr>
                <w:rFonts w:ascii="Arial" w:cs="Arial" w:eastAsia="Arial" w:hAnsi="Arial"/>
                <w:sz w:val="18"/>
                <w:szCs w:val="18"/>
                <w:color w:val="303030"/>
                <w:w w:val="91"/>
              </w:rPr>
              <w:t>.S. Bank National Association, as administrative agent,</w:t>
            </w:r>
          </w:p>
        </w:tc>
        <w:tc>
          <w:tcPr>
            <w:tcW w:w="140" w:type="dxa"/>
            <w:vAlign w:val="bottom"/>
            <w:tcBorders>
              <w:top w:val="single" w:sz="8" w:color="E4E4E4"/>
            </w:tcBorders>
            <w:gridSpan w:val="3"/>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420" w:type="dxa"/>
            <w:vAlign w:val="bottom"/>
            <w:tcBorders>
              <w:top w:val="single" w:sz="8" w:color="E4E4E4"/>
            </w:tcBorders>
            <w:shd w:val="clear" w:color="auto" w:fill="E4E4E4"/>
          </w:tcPr>
          <w:p>
            <w:pPr>
              <w:spacing w:after="0"/>
              <w:rPr>
                <w:sz w:val="13"/>
                <w:szCs w:val="13"/>
                <w:color w:val="auto"/>
              </w:rPr>
            </w:pPr>
          </w:p>
        </w:tc>
        <w:tc>
          <w:tcPr>
            <w:tcW w:w="56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3120" w:type="dxa"/>
            <w:vAlign w:val="bottom"/>
            <w:tcBorders>
              <w:top w:val="single" w:sz="8" w:color="303030"/>
            </w:tcBorders>
            <w:gridSpan w:val="19"/>
            <w:shd w:val="clear" w:color="auto" w:fill="E4E4E4"/>
          </w:tcPr>
          <w:p>
            <w:pPr>
              <w:spacing w:after="0" w:line="160" w:lineRule="exact"/>
              <w:rPr>
                <w:sz w:val="20"/>
                <w:szCs w:val="20"/>
                <w:color w:val="auto"/>
              </w:rPr>
            </w:pPr>
            <w:r>
              <w:rPr>
                <w:rFonts w:ascii="Arial" w:cs="Arial" w:eastAsia="Arial" w:hAnsi="Arial"/>
                <w:sz w:val="18"/>
                <w:szCs w:val="18"/>
                <w:color w:val="303030"/>
              </w:rPr>
              <w:t>and each of the lenders party thereto</w:t>
            </w:r>
          </w:p>
        </w:tc>
        <w:tc>
          <w:tcPr>
            <w:tcW w:w="2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2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7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54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4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80" w:type="dxa"/>
            <w:vAlign w:val="bottom"/>
            <w:tcBorders>
              <w:top w:val="single" w:sz="8" w:color="303030"/>
            </w:tcBorders>
            <w:shd w:val="clear" w:color="auto" w:fill="E4E4E4"/>
          </w:tcPr>
          <w:p>
            <w:pPr>
              <w:spacing w:after="0"/>
              <w:rPr>
                <w:sz w:val="13"/>
                <w:szCs w:val="13"/>
                <w:color w:val="auto"/>
              </w:rPr>
            </w:pPr>
          </w:p>
        </w:tc>
        <w:tc>
          <w:tcPr>
            <w:tcW w:w="14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1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760" w:type="dxa"/>
            <w:vAlign w:val="bottom"/>
            <w:tcBorders>
              <w:top w:val="single" w:sz="8" w:color="E4E4E4"/>
            </w:tcBorders>
            <w:shd w:val="clear" w:color="auto" w:fill="E4E4E4"/>
          </w:tcPr>
          <w:p>
            <w:pPr>
              <w:spacing w:after="0"/>
              <w:rPr>
                <w:sz w:val="13"/>
                <w:szCs w:val="13"/>
                <w:color w:val="auto"/>
              </w:rPr>
            </w:pPr>
          </w:p>
        </w:tc>
        <w:tc>
          <w:tcPr>
            <w:tcW w:w="740" w:type="dxa"/>
            <w:vAlign w:val="bottom"/>
            <w:tcBorders>
              <w:top w:val="single" w:sz="8" w:color="E4E4E4"/>
            </w:tcBorders>
            <w:shd w:val="clear" w:color="auto" w:fill="E4E4E4"/>
          </w:tcPr>
          <w:p>
            <w:pPr>
              <w:spacing w:after="0"/>
              <w:rPr>
                <w:sz w:val="13"/>
                <w:szCs w:val="13"/>
                <w:color w:val="auto"/>
              </w:rPr>
            </w:pPr>
          </w:p>
        </w:tc>
        <w:tc>
          <w:tcPr>
            <w:tcW w:w="420" w:type="dxa"/>
            <w:vAlign w:val="bottom"/>
            <w:tcBorders>
              <w:top w:val="single" w:sz="8" w:color="E4E4E4"/>
            </w:tcBorders>
            <w:shd w:val="clear" w:color="auto" w:fill="E4E4E4"/>
          </w:tcPr>
          <w:p>
            <w:pPr>
              <w:spacing w:after="0"/>
              <w:rPr>
                <w:sz w:val="13"/>
                <w:szCs w:val="13"/>
                <w:color w:val="auto"/>
              </w:rPr>
            </w:pPr>
          </w:p>
        </w:tc>
        <w:tc>
          <w:tcPr>
            <w:tcW w:w="56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E4E4E4"/>
            </w:tcBorders>
            <w:gridSpan w:val="2"/>
            <w:shd w:val="clear" w:color="auto" w:fill="E4E4E4"/>
          </w:tcPr>
          <w:p>
            <w:pPr>
              <w:spacing w:after="0"/>
              <w:rPr>
                <w:sz w:val="4"/>
                <w:szCs w:val="4"/>
                <w:color w:val="auto"/>
              </w:rPr>
            </w:pPr>
          </w:p>
        </w:tc>
        <w:tc>
          <w:tcPr>
            <w:tcW w:w="2780" w:type="dxa"/>
            <w:vAlign w:val="bottom"/>
            <w:tcBorders>
              <w:top w:val="single" w:sz="8" w:color="303030"/>
            </w:tcBorders>
            <w:gridSpan w:val="16"/>
            <w:shd w:val="clear" w:color="auto" w:fill="E4E4E4"/>
          </w:tcPr>
          <w:p>
            <w:pPr>
              <w:spacing w:after="0"/>
              <w:rPr>
                <w:sz w:val="4"/>
                <w:szCs w:val="4"/>
                <w:color w:val="auto"/>
              </w:rPr>
            </w:pPr>
          </w:p>
        </w:tc>
        <w:tc>
          <w:tcPr>
            <w:tcW w:w="6520" w:type="dxa"/>
            <w:vAlign w:val="bottom"/>
            <w:tcBorders>
              <w:top w:val="single" w:sz="8" w:color="E4E4E4"/>
            </w:tcBorders>
            <w:gridSpan w:val="38"/>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ind w:left="140"/>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FEFEFE"/>
          </w:tcPr>
          <w:p>
            <w:pPr>
              <w:spacing w:after="0"/>
              <w:rPr>
                <w:sz w:val="18"/>
                <w:szCs w:val="18"/>
                <w:color w:val="auto"/>
              </w:rPr>
            </w:pPr>
          </w:p>
        </w:tc>
        <w:tc>
          <w:tcPr>
            <w:tcW w:w="1840" w:type="dxa"/>
            <w:vAlign w:val="bottom"/>
            <w:gridSpan w:val="11"/>
            <w:shd w:val="clear" w:color="auto" w:fill="FEFEFE"/>
          </w:tcPr>
          <w:p>
            <w:pPr>
              <w:spacing w:after="0"/>
              <w:rPr>
                <w:sz w:val="20"/>
                <w:szCs w:val="20"/>
                <w:color w:val="auto"/>
              </w:rPr>
            </w:pPr>
            <w:r>
              <w:rPr>
                <w:rFonts w:ascii="Arial" w:cs="Arial" w:eastAsia="Arial" w:hAnsi="Arial"/>
                <w:sz w:val="18"/>
                <w:szCs w:val="18"/>
                <w:color w:val="303030"/>
                <w:w w:val="94"/>
              </w:rPr>
              <w:t>First Amendment to 202</w:t>
            </w:r>
          </w:p>
        </w:tc>
        <w:tc>
          <w:tcPr>
            <w:tcW w:w="1760" w:type="dxa"/>
            <w:vAlign w:val="bottom"/>
            <w:gridSpan w:val="10"/>
            <w:shd w:val="clear" w:color="auto" w:fill="FEFEFE"/>
          </w:tcPr>
          <w:p>
            <w:pPr>
              <w:jc w:val="center"/>
              <w:spacing w:after="0"/>
              <w:rPr>
                <w:sz w:val="20"/>
                <w:szCs w:val="20"/>
                <w:color w:val="auto"/>
              </w:rPr>
            </w:pPr>
            <w:r>
              <w:rPr>
                <w:rFonts w:ascii="Arial" w:cs="Arial" w:eastAsia="Arial" w:hAnsi="Arial"/>
                <w:sz w:val="18"/>
                <w:szCs w:val="18"/>
                <w:color w:val="303030"/>
                <w:w w:val="92"/>
              </w:rPr>
              <w:t>Amended and  estated</w:t>
            </w:r>
          </w:p>
        </w:tc>
        <w:tc>
          <w:tcPr>
            <w:tcW w:w="3200" w:type="dxa"/>
            <w:vAlign w:val="bottom"/>
            <w:gridSpan w:val="28"/>
            <w:shd w:val="clear" w:color="auto" w:fill="FEFEFE"/>
          </w:tcPr>
          <w:p>
            <w:pPr>
              <w:jc w:val="right"/>
              <w:ind w:right="240"/>
              <w:spacing w:after="0"/>
              <w:rPr>
                <w:sz w:val="20"/>
                <w:szCs w:val="20"/>
                <w:color w:val="auto"/>
              </w:rPr>
            </w:pPr>
            <w:r>
              <w:rPr>
                <w:rFonts w:ascii="Arial" w:cs="Arial" w:eastAsia="Arial" w:hAnsi="Arial"/>
                <w:sz w:val="18"/>
                <w:szCs w:val="18"/>
                <w:color w:val="303030"/>
                <w:w w:val="94"/>
              </w:rPr>
              <w:t>evolving Credit Agreement, dated as of</w:t>
            </w:r>
          </w:p>
        </w:tc>
        <w:tc>
          <w:tcPr>
            <w:tcW w:w="780" w:type="dxa"/>
            <w:vAlign w:val="bottom"/>
            <w:gridSpan w:val="2"/>
            <w:shd w:val="clear" w:color="auto" w:fill="FEFEFE"/>
          </w:tcPr>
          <w:p>
            <w:pPr>
              <w:jc w:val="center"/>
              <w:ind w:right="30"/>
              <w:spacing w:after="0"/>
              <w:rPr>
                <w:sz w:val="20"/>
                <w:szCs w:val="20"/>
                <w:color w:val="auto"/>
              </w:rPr>
            </w:pPr>
            <w:r>
              <w:rPr>
                <w:rFonts w:ascii="Arial" w:cs="Arial" w:eastAsia="Arial" w:hAnsi="Arial"/>
                <w:sz w:val="18"/>
                <w:szCs w:val="18"/>
                <w:color w:val="auto"/>
                <w:w w:val="87"/>
              </w:rPr>
              <w:t>8-</w:t>
            </w:r>
          </w:p>
        </w:tc>
        <w:tc>
          <w:tcPr>
            <w:tcW w:w="74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shd w:val="clear" w:color="auto" w:fill="FEFEFE"/>
          </w:tcPr>
          <w:p>
            <w:pPr>
              <w:ind w:left="160"/>
              <w:spacing w:after="0"/>
              <w:rPr>
                <w:sz w:val="20"/>
                <w:szCs w:val="20"/>
                <w:color w:val="auto"/>
              </w:rPr>
            </w:pPr>
            <w:r>
              <w:rPr>
                <w:rFonts w:ascii="Arial" w:cs="Arial" w:eastAsia="Arial" w:hAnsi="Arial"/>
                <w:sz w:val="18"/>
                <w:szCs w:val="18"/>
                <w:color w:val="auto"/>
              </w:rPr>
              <w:t>5</w:t>
            </w:r>
          </w:p>
        </w:tc>
        <w:tc>
          <w:tcPr>
            <w:tcW w:w="560" w:type="dxa"/>
            <w:vAlign w:val="bottom"/>
            <w:shd w:val="clear" w:color="auto" w:fill="FEFEFE"/>
          </w:tcPr>
          <w:p>
            <w:pPr>
              <w:ind w:lef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380" w:type="dxa"/>
            <w:vAlign w:val="bottom"/>
            <w:tcBorders>
              <w:top w:val="single" w:sz="8" w:color="303030"/>
            </w:tcBorders>
            <w:shd w:val="clear" w:color="auto" w:fill="FEFEFE"/>
          </w:tcPr>
          <w:p>
            <w:pPr>
              <w:ind w:left="140"/>
              <w:spacing w:after="0" w:line="160" w:lineRule="exact"/>
              <w:rPr>
                <w:sz w:val="20"/>
                <w:szCs w:val="20"/>
                <w:color w:val="auto"/>
              </w:rPr>
            </w:pPr>
            <w:r>
              <w:rPr>
                <w:rFonts w:ascii="Arial" w:cs="Arial" w:eastAsia="Arial" w:hAnsi="Arial"/>
                <w:sz w:val="18"/>
                <w:szCs w:val="18"/>
                <w:color w:val="303030"/>
              </w:rPr>
              <w:t>ay</w:t>
            </w:r>
          </w:p>
        </w:tc>
        <w:tc>
          <w:tcPr>
            <w:tcW w:w="2180" w:type="dxa"/>
            <w:vAlign w:val="bottom"/>
            <w:tcBorders>
              <w:top w:val="single" w:sz="8" w:color="303030"/>
            </w:tcBorders>
            <w:gridSpan w:val="13"/>
            <w:shd w:val="clear" w:color="auto" w:fill="FEFEFE"/>
          </w:tcPr>
          <w:p>
            <w:pPr>
              <w:ind w:left="60"/>
              <w:spacing w:after="0" w:line="160" w:lineRule="exact"/>
              <w:rPr>
                <w:sz w:val="20"/>
                <w:szCs w:val="20"/>
                <w:color w:val="auto"/>
              </w:rPr>
            </w:pPr>
            <w:r>
              <w:rPr>
                <w:rFonts w:ascii="Arial" w:cs="Arial" w:eastAsia="Arial" w:hAnsi="Arial"/>
                <w:sz w:val="18"/>
                <w:szCs w:val="18"/>
                <w:color w:val="303030"/>
                <w:w w:val="90"/>
              </w:rPr>
              <w:t>, 2025, among the Company,</w:t>
            </w:r>
          </w:p>
        </w:tc>
        <w:tc>
          <w:tcPr>
            <w:tcW w:w="40" w:type="dxa"/>
            <w:vAlign w:val="bottom"/>
            <w:tcBorders>
              <w:top w:val="single" w:sz="8" w:color="303030"/>
            </w:tcBorders>
            <w:shd w:val="clear" w:color="auto" w:fill="FEFEFE"/>
          </w:tcPr>
          <w:p>
            <w:pPr>
              <w:spacing w:after="0"/>
              <w:rPr>
                <w:sz w:val="13"/>
                <w:szCs w:val="13"/>
                <w:color w:val="auto"/>
              </w:rPr>
            </w:pPr>
          </w:p>
        </w:tc>
        <w:tc>
          <w:tcPr>
            <w:tcW w:w="4000" w:type="dxa"/>
            <w:vAlign w:val="bottom"/>
            <w:tcBorders>
              <w:top w:val="single" w:sz="8" w:color="303030"/>
            </w:tcBorders>
            <w:gridSpan w:val="28"/>
            <w:shd w:val="clear" w:color="auto" w:fill="FEFEFE"/>
          </w:tcPr>
          <w:p>
            <w:pPr>
              <w:ind w:left="100"/>
              <w:spacing w:after="0" w:line="160" w:lineRule="exact"/>
              <w:rPr>
                <w:sz w:val="20"/>
                <w:szCs w:val="20"/>
                <w:color w:val="auto"/>
              </w:rPr>
            </w:pPr>
            <w:r>
              <w:rPr>
                <w:rFonts w:ascii="Arial" w:cs="Arial" w:eastAsia="Arial" w:hAnsi="Arial"/>
                <w:sz w:val="18"/>
                <w:szCs w:val="18"/>
                <w:color w:val="303030"/>
                <w:w w:val="95"/>
              </w:rPr>
              <w:t>.S. Bank, as administrative agent, the lenders party</w:t>
            </w:r>
          </w:p>
        </w:tc>
        <w:tc>
          <w:tcPr>
            <w:tcW w:w="180" w:type="dxa"/>
            <w:vAlign w:val="bottom"/>
            <w:tcBorders>
              <w:top w:val="single" w:sz="8" w:color="FEFEFE"/>
            </w:tcBorders>
            <w:gridSpan w:val="5"/>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420" w:type="dxa"/>
            <w:vAlign w:val="bottom"/>
            <w:tcBorders>
              <w:top w:val="single" w:sz="8" w:color="FEFEFE"/>
            </w:tcBorders>
            <w:shd w:val="clear" w:color="auto" w:fill="FEFEFE"/>
          </w:tcPr>
          <w:p>
            <w:pPr>
              <w:spacing w:after="0"/>
              <w:rPr>
                <w:sz w:val="13"/>
                <w:szCs w:val="13"/>
                <w:color w:val="auto"/>
              </w:rPr>
            </w:pPr>
          </w:p>
        </w:tc>
        <w:tc>
          <w:tcPr>
            <w:tcW w:w="5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660" w:type="dxa"/>
            <w:vAlign w:val="bottom"/>
            <w:tcBorders>
              <w:top w:val="single" w:sz="8" w:color="303030"/>
            </w:tcBorders>
            <w:gridSpan w:val="2"/>
            <w:shd w:val="clear" w:color="auto" w:fill="FEFEFE"/>
          </w:tcPr>
          <w:p>
            <w:pPr>
              <w:spacing w:after="0" w:line="145" w:lineRule="exact"/>
              <w:rPr>
                <w:sz w:val="20"/>
                <w:szCs w:val="20"/>
                <w:color w:val="auto"/>
              </w:rPr>
            </w:pPr>
            <w:r>
              <w:rPr>
                <w:rFonts w:ascii="Arial" w:cs="Arial" w:eastAsia="Arial" w:hAnsi="Arial"/>
                <w:sz w:val="16"/>
                <w:szCs w:val="16"/>
                <w:color w:val="303030"/>
              </w:rPr>
              <w:t>thereto,</w:t>
            </w:r>
          </w:p>
        </w:tc>
        <w:tc>
          <w:tcPr>
            <w:tcW w:w="840" w:type="dxa"/>
            <w:vAlign w:val="bottom"/>
            <w:tcBorders>
              <w:top w:val="single" w:sz="8" w:color="303030"/>
            </w:tcBorders>
            <w:gridSpan w:val="7"/>
            <w:shd w:val="clear" w:color="auto" w:fill="FEFEFE"/>
          </w:tcPr>
          <w:p>
            <w:pPr>
              <w:ind w:left="40"/>
              <w:spacing w:after="0" w:line="145" w:lineRule="exact"/>
              <w:rPr>
                <w:sz w:val="20"/>
                <w:szCs w:val="20"/>
                <w:color w:val="auto"/>
              </w:rPr>
            </w:pPr>
            <w:r>
              <w:rPr>
                <w:rFonts w:ascii="Arial" w:cs="Arial" w:eastAsia="Arial" w:hAnsi="Arial"/>
                <w:sz w:val="16"/>
                <w:szCs w:val="16"/>
                <w:color w:val="303030"/>
              </w:rPr>
              <w:t>SBC Bank</w:t>
            </w:r>
          </w:p>
        </w:tc>
        <w:tc>
          <w:tcPr>
            <w:tcW w:w="2340" w:type="dxa"/>
            <w:vAlign w:val="bottom"/>
            <w:tcBorders>
              <w:top w:val="single" w:sz="8" w:color="303030"/>
            </w:tcBorders>
            <w:gridSpan w:val="13"/>
            <w:shd w:val="clear" w:color="auto" w:fill="FEFEFE"/>
          </w:tcPr>
          <w:p>
            <w:pPr>
              <w:jc w:val="center"/>
              <w:spacing w:after="0" w:line="145" w:lineRule="exact"/>
              <w:rPr>
                <w:sz w:val="20"/>
                <w:szCs w:val="20"/>
                <w:color w:val="auto"/>
              </w:rPr>
            </w:pPr>
            <w:r>
              <w:rPr>
                <w:rFonts w:ascii="Arial" w:cs="Arial" w:eastAsia="Arial" w:hAnsi="Arial"/>
                <w:sz w:val="16"/>
                <w:szCs w:val="16"/>
                <w:color w:val="303030"/>
              </w:rPr>
              <w:t>SA, National Association and</w:t>
            </w:r>
          </w:p>
        </w:tc>
        <w:tc>
          <w:tcPr>
            <w:tcW w:w="2420" w:type="dxa"/>
            <w:vAlign w:val="bottom"/>
            <w:tcBorders>
              <w:top w:val="single" w:sz="8" w:color="303030"/>
            </w:tcBorders>
            <w:gridSpan w:val="15"/>
            <w:shd w:val="clear" w:color="auto" w:fill="FEFEFE"/>
          </w:tcPr>
          <w:p>
            <w:pPr>
              <w:ind w:left="160"/>
              <w:spacing w:after="0" w:line="145" w:lineRule="exact"/>
              <w:rPr>
                <w:sz w:val="20"/>
                <w:szCs w:val="20"/>
                <w:color w:val="auto"/>
              </w:rPr>
            </w:pPr>
            <w:r>
              <w:rPr>
                <w:rFonts w:ascii="Arial" w:cs="Arial" w:eastAsia="Arial" w:hAnsi="Arial"/>
                <w:sz w:val="16"/>
                <w:szCs w:val="16"/>
                <w:color w:val="303030"/>
              </w:rPr>
              <w:t>ells Fargo Bank, National</w:t>
            </w:r>
          </w:p>
        </w:tc>
        <w:tc>
          <w:tcPr>
            <w:tcW w:w="140" w:type="dxa"/>
            <w:vAlign w:val="bottom"/>
            <w:tcBorders>
              <w:top w:val="single" w:sz="8" w:color="303030"/>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1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tcBorders>
            <w:shd w:val="clear" w:color="auto" w:fill="FEFEFE"/>
          </w:tcPr>
          <w:p>
            <w:pPr>
              <w:spacing w:after="0"/>
              <w:rPr>
                <w:sz w:val="12"/>
                <w:szCs w:val="12"/>
                <w:color w:val="auto"/>
              </w:rPr>
            </w:pPr>
          </w:p>
        </w:tc>
        <w:tc>
          <w:tcPr>
            <w:tcW w:w="6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760" w:type="dxa"/>
            <w:vAlign w:val="bottom"/>
            <w:tcBorders>
              <w:top w:val="single" w:sz="8" w:color="FEFEFE"/>
            </w:tcBorders>
            <w:shd w:val="clear" w:color="auto" w:fill="FEFEFE"/>
          </w:tcPr>
          <w:p>
            <w:pPr>
              <w:spacing w:after="0"/>
              <w:rPr>
                <w:sz w:val="12"/>
                <w:szCs w:val="12"/>
                <w:color w:val="auto"/>
              </w:rPr>
            </w:pPr>
          </w:p>
        </w:tc>
        <w:tc>
          <w:tcPr>
            <w:tcW w:w="740" w:type="dxa"/>
            <w:vAlign w:val="bottom"/>
            <w:tcBorders>
              <w:top w:val="single" w:sz="8" w:color="FEFEFE"/>
            </w:tcBorders>
            <w:shd w:val="clear" w:color="auto" w:fill="FEFEFE"/>
          </w:tcPr>
          <w:p>
            <w:pPr>
              <w:spacing w:after="0"/>
              <w:rPr>
                <w:sz w:val="12"/>
                <w:szCs w:val="12"/>
                <w:color w:val="auto"/>
              </w:rPr>
            </w:pPr>
          </w:p>
        </w:tc>
        <w:tc>
          <w:tcPr>
            <w:tcW w:w="420" w:type="dxa"/>
            <w:vAlign w:val="bottom"/>
            <w:tcBorders>
              <w:top w:val="single" w:sz="8" w:color="FEFEFE"/>
            </w:tcBorders>
            <w:shd w:val="clear" w:color="auto" w:fill="FEFEFE"/>
          </w:tcPr>
          <w:p>
            <w:pPr>
              <w:spacing w:after="0"/>
              <w:rPr>
                <w:sz w:val="12"/>
                <w:szCs w:val="12"/>
                <w:color w:val="auto"/>
              </w:rPr>
            </w:pPr>
          </w:p>
        </w:tc>
        <w:tc>
          <w:tcPr>
            <w:tcW w:w="560" w:type="dxa"/>
            <w:vAlign w:val="bottom"/>
            <w:tcBorders>
              <w:top w:val="single" w:sz="8" w:color="FEFEFE"/>
            </w:tcBorders>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top w:val="single" w:sz="8" w:color="FEFEFE"/>
            </w:tcBorders>
            <w:shd w:val="clear" w:color="auto" w:fill="FEFEFE"/>
          </w:tcPr>
          <w:p>
            <w:pPr>
              <w:spacing w:after="0"/>
              <w:rPr>
                <w:sz w:val="14"/>
                <w:szCs w:val="14"/>
                <w:color w:val="auto"/>
              </w:rPr>
            </w:pPr>
          </w:p>
        </w:tc>
        <w:tc>
          <w:tcPr>
            <w:tcW w:w="5900" w:type="dxa"/>
            <w:vAlign w:val="bottom"/>
            <w:tcBorders>
              <w:top w:val="single" w:sz="8" w:color="303030"/>
            </w:tcBorders>
            <w:gridSpan w:val="32"/>
            <w:shd w:val="clear" w:color="auto" w:fill="FEFEFE"/>
          </w:tcPr>
          <w:p>
            <w:pPr>
              <w:spacing w:after="0" w:line="171" w:lineRule="exact"/>
              <w:rPr>
                <w:sz w:val="20"/>
                <w:szCs w:val="20"/>
                <w:color w:val="auto"/>
              </w:rPr>
            </w:pPr>
            <w:r>
              <w:rPr>
                <w:rFonts w:ascii="Arial" w:cs="Arial" w:eastAsia="Arial" w:hAnsi="Arial"/>
                <w:sz w:val="18"/>
                <w:szCs w:val="18"/>
                <w:color w:val="303030"/>
                <w:w w:val="89"/>
              </w:rPr>
              <w:t>Association, as co-syndication agents, and Bank of America, N.A., Deutsche Bank</w:t>
            </w:r>
          </w:p>
        </w:tc>
        <w:tc>
          <w:tcPr>
            <w:tcW w:w="920" w:type="dxa"/>
            <w:vAlign w:val="bottom"/>
            <w:tcBorders>
              <w:top w:val="single" w:sz="8" w:color="FEFEFE"/>
            </w:tcBorders>
            <w:gridSpan w:val="18"/>
            <w:shd w:val="clear" w:color="auto" w:fill="FEFEFE"/>
          </w:tcPr>
          <w:p>
            <w:pPr>
              <w:jc w:val="right"/>
              <w:ind w:right="60"/>
              <w:spacing w:after="0" w:line="171" w:lineRule="exact"/>
              <w:rPr>
                <w:sz w:val="20"/>
                <w:szCs w:val="20"/>
                <w:color w:val="auto"/>
              </w:rPr>
            </w:pPr>
            <w:r>
              <w:rPr>
                <w:rFonts w:ascii="Arial" w:cs="Arial" w:eastAsia="Arial" w:hAnsi="Arial"/>
                <w:sz w:val="18"/>
                <w:szCs w:val="18"/>
                <w:color w:val="303030"/>
                <w:w w:val="99"/>
              </w:rPr>
              <w:t>Securities,</w:t>
            </w:r>
          </w:p>
        </w:tc>
        <w:tc>
          <w:tcPr>
            <w:tcW w:w="20" w:type="dxa"/>
            <w:vAlign w:val="bottom"/>
            <w:tcBorders>
              <w:top w:val="single" w:sz="8" w:color="FEFEFE"/>
            </w:tcBorders>
            <w:shd w:val="clear" w:color="auto" w:fill="FEFEFE"/>
          </w:tcPr>
          <w:p>
            <w:pPr>
              <w:spacing w:after="0"/>
              <w:rPr>
                <w:sz w:val="14"/>
                <w:szCs w:val="14"/>
                <w:color w:val="auto"/>
              </w:rPr>
            </w:pPr>
          </w:p>
        </w:tc>
        <w:tc>
          <w:tcPr>
            <w:tcW w:w="760" w:type="dxa"/>
            <w:vAlign w:val="bottom"/>
            <w:tcBorders>
              <w:top w:val="single" w:sz="8" w:color="FEFEFE"/>
            </w:tcBorders>
            <w:shd w:val="clear" w:color="auto" w:fill="FEFEFE"/>
          </w:tcPr>
          <w:p>
            <w:pPr>
              <w:spacing w:after="0"/>
              <w:rPr>
                <w:sz w:val="14"/>
                <w:szCs w:val="14"/>
                <w:color w:val="auto"/>
              </w:rPr>
            </w:pPr>
          </w:p>
        </w:tc>
        <w:tc>
          <w:tcPr>
            <w:tcW w:w="740" w:type="dxa"/>
            <w:vAlign w:val="bottom"/>
            <w:tcBorders>
              <w:top w:val="single" w:sz="8" w:color="FEFEFE"/>
            </w:tcBorders>
            <w:shd w:val="clear" w:color="auto" w:fill="FEFEFE"/>
          </w:tcPr>
          <w:p>
            <w:pPr>
              <w:spacing w:after="0"/>
              <w:rPr>
                <w:sz w:val="14"/>
                <w:szCs w:val="14"/>
                <w:color w:val="auto"/>
              </w:rPr>
            </w:pPr>
          </w:p>
        </w:tc>
        <w:tc>
          <w:tcPr>
            <w:tcW w:w="420" w:type="dxa"/>
            <w:vAlign w:val="bottom"/>
            <w:tcBorders>
              <w:top w:val="single" w:sz="8" w:color="FEFEFE"/>
            </w:tcBorders>
            <w:shd w:val="clear" w:color="auto" w:fill="FEFEFE"/>
          </w:tcPr>
          <w:p>
            <w:pPr>
              <w:spacing w:after="0"/>
              <w:rPr>
                <w:sz w:val="14"/>
                <w:szCs w:val="14"/>
                <w:color w:val="auto"/>
              </w:rPr>
            </w:pPr>
          </w:p>
        </w:tc>
        <w:tc>
          <w:tcPr>
            <w:tcW w:w="56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960" w:type="dxa"/>
            <w:vAlign w:val="bottom"/>
            <w:tcBorders>
              <w:top w:val="single" w:sz="8" w:color="303030"/>
            </w:tcBorders>
            <w:gridSpan w:val="5"/>
            <w:shd w:val="clear" w:color="auto" w:fill="FEFEFE"/>
          </w:tcPr>
          <w:p>
            <w:pPr>
              <w:spacing w:after="0" w:line="160" w:lineRule="exact"/>
              <w:rPr>
                <w:sz w:val="20"/>
                <w:szCs w:val="20"/>
                <w:color w:val="auto"/>
              </w:rPr>
            </w:pPr>
            <w:r>
              <w:rPr>
                <w:rFonts w:ascii="Arial" w:cs="Arial" w:eastAsia="Arial" w:hAnsi="Arial"/>
                <w:sz w:val="18"/>
                <w:szCs w:val="18"/>
                <w:color w:val="303030"/>
                <w:w w:val="98"/>
              </w:rPr>
              <w:t>Inc., and JP</w:t>
            </w:r>
          </w:p>
        </w:tc>
        <w:tc>
          <w:tcPr>
            <w:tcW w:w="3980" w:type="dxa"/>
            <w:vAlign w:val="bottom"/>
            <w:tcBorders>
              <w:top w:val="single" w:sz="8" w:color="303030"/>
            </w:tcBorders>
            <w:gridSpan w:val="23"/>
            <w:shd w:val="clear" w:color="auto" w:fill="FEFEFE"/>
          </w:tcPr>
          <w:p>
            <w:pPr>
              <w:ind w:left="40"/>
              <w:spacing w:after="0" w:line="160" w:lineRule="exact"/>
              <w:rPr>
                <w:sz w:val="20"/>
                <w:szCs w:val="20"/>
                <w:color w:val="auto"/>
              </w:rPr>
            </w:pPr>
            <w:r>
              <w:rPr>
                <w:rFonts w:ascii="Arial" w:cs="Arial" w:eastAsia="Arial" w:hAnsi="Arial"/>
                <w:sz w:val="18"/>
                <w:szCs w:val="18"/>
                <w:color w:val="303030"/>
                <w:w w:val="90"/>
              </w:rPr>
              <w:t>organ Chase Bank, N.A., as co-documentation agents.</w:t>
            </w:r>
          </w:p>
        </w:tc>
        <w:tc>
          <w:tcPr>
            <w:tcW w:w="54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80" w:type="dxa"/>
            <w:vAlign w:val="bottom"/>
            <w:tcBorders>
              <w:top w:val="single" w:sz="8" w:color="303030"/>
            </w:tcBorders>
            <w:shd w:val="clear" w:color="auto" w:fill="FEFEFE"/>
          </w:tcPr>
          <w:p>
            <w:pPr>
              <w:spacing w:after="0"/>
              <w:rPr>
                <w:sz w:val="13"/>
                <w:szCs w:val="13"/>
                <w:color w:val="auto"/>
              </w:rPr>
            </w:pPr>
          </w:p>
        </w:tc>
        <w:tc>
          <w:tcPr>
            <w:tcW w:w="14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1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760" w:type="dxa"/>
            <w:vAlign w:val="bottom"/>
            <w:tcBorders>
              <w:top w:val="single" w:sz="8" w:color="FEFEFE"/>
            </w:tcBorders>
            <w:shd w:val="clear" w:color="auto" w:fill="FEFEFE"/>
          </w:tcPr>
          <w:p>
            <w:pPr>
              <w:spacing w:after="0"/>
              <w:rPr>
                <w:sz w:val="13"/>
                <w:szCs w:val="13"/>
                <w:color w:val="auto"/>
              </w:rPr>
            </w:pPr>
          </w:p>
        </w:tc>
        <w:tc>
          <w:tcPr>
            <w:tcW w:w="740" w:type="dxa"/>
            <w:vAlign w:val="bottom"/>
            <w:tcBorders>
              <w:top w:val="single" w:sz="8" w:color="FEFEFE"/>
            </w:tcBorders>
            <w:shd w:val="clear" w:color="auto" w:fill="FEFEFE"/>
          </w:tcPr>
          <w:p>
            <w:pPr>
              <w:spacing w:after="0"/>
              <w:rPr>
                <w:sz w:val="13"/>
                <w:szCs w:val="13"/>
                <w:color w:val="auto"/>
              </w:rPr>
            </w:pPr>
          </w:p>
        </w:tc>
        <w:tc>
          <w:tcPr>
            <w:tcW w:w="420" w:type="dxa"/>
            <w:vAlign w:val="bottom"/>
            <w:tcBorders>
              <w:top w:val="single" w:sz="8" w:color="FEFEFE"/>
            </w:tcBorders>
            <w:shd w:val="clear" w:color="auto" w:fill="FEFEFE"/>
          </w:tcPr>
          <w:p>
            <w:pPr>
              <w:spacing w:after="0"/>
              <w:rPr>
                <w:sz w:val="13"/>
                <w:szCs w:val="13"/>
                <w:color w:val="auto"/>
              </w:rPr>
            </w:pPr>
          </w:p>
        </w:tc>
        <w:tc>
          <w:tcPr>
            <w:tcW w:w="5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80" w:type="dxa"/>
            <w:vAlign w:val="bottom"/>
            <w:tcBorders>
              <w:top w:val="single" w:sz="8" w:color="FEFEFE"/>
            </w:tcBorders>
            <w:gridSpan w:val="2"/>
            <w:shd w:val="clear" w:color="auto" w:fill="FEFEFE"/>
          </w:tcPr>
          <w:p>
            <w:pPr>
              <w:spacing w:after="0"/>
              <w:rPr>
                <w:sz w:val="4"/>
                <w:szCs w:val="4"/>
                <w:color w:val="auto"/>
              </w:rPr>
            </w:pPr>
          </w:p>
        </w:tc>
        <w:tc>
          <w:tcPr>
            <w:tcW w:w="4880" w:type="dxa"/>
            <w:vAlign w:val="bottom"/>
            <w:tcBorders>
              <w:top w:val="single" w:sz="8" w:color="303030"/>
            </w:tcBorders>
            <w:gridSpan w:val="26"/>
            <w:shd w:val="clear" w:color="auto" w:fill="FEFEFE"/>
          </w:tcPr>
          <w:p>
            <w:pPr>
              <w:spacing w:after="0"/>
              <w:rPr>
                <w:sz w:val="4"/>
                <w:szCs w:val="4"/>
                <w:color w:val="auto"/>
              </w:rPr>
            </w:pPr>
          </w:p>
        </w:tc>
        <w:tc>
          <w:tcPr>
            <w:tcW w:w="4420" w:type="dxa"/>
            <w:vAlign w:val="bottom"/>
            <w:tcBorders>
              <w:top w:val="single" w:sz="8" w:color="FEFEFE"/>
            </w:tcBorders>
            <w:gridSpan w:val="28"/>
            <w:shd w:val="clear" w:color="auto" w:fill="FEFEFE"/>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1" w:orient="portrait"/>
          <w:cols w:equalWidth="0" w:num="1">
            <w:col w:w="10080"/>
          </w:cols>
          <w:pgMar w:left="1000" w:top="867" w:right="1161"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2240" w:h="15841" w:orient="portrait"/>
          <w:cols w:equalWidth="0" w:num="1">
            <w:col w:w="10080"/>
          </w:cols>
          <w:pgMar w:left="1000" w:top="867" w:right="1161" w:bottom="0" w:gutter="0" w:footer="0" w:header="0"/>
          <w:type w:val="continuous"/>
        </w:sectPr>
      </w:pPr>
    </w:p>
    <w:bookmarkStart w:id="52" w:name="page53"/>
    <w:bookmarkEnd w:id="52"/>
    <w:tbl>
      <w:tblPr>
        <w:tblLayout w:type="fixed"/>
        <w:tblInd w:w="1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Incorporate by</w:t>
            </w:r>
          </w:p>
        </w:tc>
        <w:tc>
          <w:tcPr>
            <w:tcW w:w="980" w:type="dxa"/>
            <w:vAlign w:val="bottom"/>
          </w:tcPr>
          <w:p>
            <w:pPr>
              <w:ind w:left="80"/>
              <w:spacing w:after="0"/>
              <w:rPr>
                <w:sz w:val="20"/>
                <w:szCs w:val="20"/>
                <w:color w:val="auto"/>
              </w:rPr>
            </w:pPr>
            <w:r>
              <w:rPr>
                <w:rFonts w:ascii="Arial" w:cs="Arial" w:eastAsia="Arial" w:hAnsi="Arial"/>
                <w:sz w:val="18"/>
                <w:szCs w:val="18"/>
                <w:color w:val="auto"/>
              </w:rPr>
              <w:t>eference</w:t>
            </w: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60" w:type="dxa"/>
            <w:vAlign w:val="bottom"/>
          </w:tcPr>
          <w:p>
            <w:pPr>
              <w:jc w:val="right"/>
              <w:ind w:right="30"/>
              <w:spacing w:after="0"/>
              <w:rPr>
                <w:sz w:val="20"/>
                <w:szCs w:val="20"/>
                <w:color w:val="auto"/>
              </w:rPr>
            </w:pPr>
            <w:r>
              <w:rPr>
                <w:rFonts w:ascii="Arial" w:cs="Arial" w:eastAsia="Arial" w:hAnsi="Arial"/>
                <w:sz w:val="18"/>
                <w:szCs w:val="18"/>
                <w:color w:val="auto"/>
              </w:rPr>
              <w:t>hibit</w:t>
            </w:r>
          </w:p>
        </w:tc>
        <w:tc>
          <w:tcPr>
            <w:tcW w:w="20" w:type="dxa"/>
            <w:vAlign w:val="bottom"/>
          </w:tcPr>
          <w:p>
            <w:pPr>
              <w:spacing w:after="0"/>
              <w:rPr>
                <w:sz w:val="17"/>
                <w:szCs w:val="17"/>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8"/>
                <w:szCs w:val="18"/>
                <w:color w:val="auto"/>
              </w:rPr>
              <w:t>escription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vMerge w:val="restart"/>
          </w:tcPr>
          <w:p>
            <w:pPr>
              <w:ind w:left="160"/>
              <w:spacing w:after="0"/>
              <w:rPr>
                <w:sz w:val="20"/>
                <w:szCs w:val="20"/>
                <w:color w:val="auto"/>
              </w:rPr>
            </w:pPr>
            <w:r>
              <w:rPr>
                <w:rFonts w:ascii="Arial" w:cs="Arial" w:eastAsia="Arial" w:hAnsi="Arial"/>
                <w:sz w:val="18"/>
                <w:szCs w:val="18"/>
                <w:color w:val="auto"/>
              </w:rPr>
              <w:t>Form</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hibit</w:t>
            </w:r>
          </w:p>
        </w:tc>
        <w:tc>
          <w:tcPr>
            <w:tcW w:w="980" w:type="dxa"/>
            <w:vAlign w:val="bottom"/>
          </w:tcPr>
          <w:p>
            <w:pPr>
              <w:jc w:val="center"/>
              <w:spacing w:after="0"/>
              <w:rPr>
                <w:sz w:val="20"/>
                <w:szCs w:val="20"/>
                <w:color w:val="auto"/>
              </w:rPr>
            </w:pPr>
            <w:r>
              <w:rPr>
                <w:rFonts w:ascii="Arial" w:cs="Arial" w:eastAsia="Arial" w:hAnsi="Arial"/>
                <w:sz w:val="18"/>
                <w:szCs w:val="18"/>
                <w:color w:val="auto"/>
              </w:rPr>
              <w:t>Filing</w:t>
            </w:r>
          </w:p>
        </w:tc>
        <w:tc>
          <w:tcPr>
            <w:tcW w:w="0" w:type="dxa"/>
            <w:vAlign w:val="bottom"/>
          </w:tcPr>
          <w:p>
            <w:pPr>
              <w:spacing w:after="0"/>
              <w:rPr>
                <w:sz w:val="1"/>
                <w:szCs w:val="1"/>
                <w:color w:val="auto"/>
              </w:rPr>
            </w:pPr>
          </w:p>
        </w:tc>
      </w:tr>
      <w:tr>
        <w:trPr>
          <w:trHeight w:val="239"/>
        </w:trPr>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No.</w:t>
            </w: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ate</w:t>
            </w:r>
          </w:p>
        </w:tc>
        <w:tc>
          <w:tcPr>
            <w:tcW w:w="0" w:type="dxa"/>
            <w:vAlign w:val="bottom"/>
          </w:tcPr>
          <w:p>
            <w:pPr>
              <w:spacing w:after="0"/>
              <w:rPr>
                <w:sz w:val="1"/>
                <w:szCs w:val="1"/>
                <w:color w:val="auto"/>
              </w:rPr>
            </w:pPr>
          </w:p>
        </w:tc>
      </w:tr>
      <w:tr>
        <w:trPr>
          <w:trHeight w:val="205"/>
        </w:trPr>
        <w:tc>
          <w:tcPr>
            <w:tcW w:w="760" w:type="dxa"/>
            <w:vAlign w:val="bottom"/>
            <w:shd w:val="clear" w:color="auto" w:fill="E4E4E4"/>
          </w:tcPr>
          <w:p>
            <w:pPr>
              <w:jc w:val="right"/>
              <w:ind w:right="210"/>
              <w:spacing w:after="0" w:line="205" w:lineRule="exact"/>
              <w:rPr>
                <w:sz w:val="20"/>
                <w:szCs w:val="20"/>
                <w:color w:val="auto"/>
              </w:rPr>
            </w:pPr>
            <w:r>
              <w:rPr>
                <w:rFonts w:ascii="Arial" w:cs="Arial" w:eastAsia="Arial" w:hAnsi="Arial"/>
                <w:sz w:val="18"/>
                <w:szCs w:val="18"/>
                <w:color w:val="auto"/>
              </w:rPr>
              <w:t>10.4</w:t>
            </w:r>
          </w:p>
        </w:tc>
        <w:tc>
          <w:tcPr>
            <w:tcW w:w="20" w:type="dxa"/>
            <w:vAlign w:val="bottom"/>
            <w:shd w:val="clear" w:color="auto" w:fill="E4E4E4"/>
          </w:tcPr>
          <w:p>
            <w:pPr>
              <w:spacing w:after="0"/>
              <w:rPr>
                <w:sz w:val="17"/>
                <w:szCs w:val="17"/>
                <w:color w:val="auto"/>
              </w:rPr>
            </w:pPr>
          </w:p>
        </w:tc>
        <w:tc>
          <w:tcPr>
            <w:tcW w:w="5100" w:type="dxa"/>
            <w:vAlign w:val="bottom"/>
            <w:gridSpan w:val="15"/>
            <w:shd w:val="clear" w:color="auto" w:fill="E4E4E4"/>
          </w:tcPr>
          <w:p>
            <w:pPr>
              <w:spacing w:after="0" w:line="205" w:lineRule="exact"/>
              <w:rPr>
                <w:sz w:val="20"/>
                <w:szCs w:val="20"/>
                <w:color w:val="auto"/>
              </w:rPr>
            </w:pPr>
            <w:r>
              <w:rPr>
                <w:rFonts w:ascii="Arial" w:cs="Arial" w:eastAsia="Arial" w:hAnsi="Arial"/>
                <w:sz w:val="18"/>
                <w:szCs w:val="18"/>
                <w:color w:val="303030"/>
                <w:w w:val="92"/>
              </w:rPr>
              <w:t>Second Amendment to 2030  evolving Credit Agreement, dated as of</w:t>
            </w:r>
          </w:p>
        </w:tc>
        <w:tc>
          <w:tcPr>
            <w:tcW w:w="1660" w:type="dxa"/>
            <w:vAlign w:val="bottom"/>
            <w:gridSpan w:val="12"/>
            <w:shd w:val="clear" w:color="auto" w:fill="E4E4E4"/>
          </w:tcPr>
          <w:p>
            <w:pPr>
              <w:jc w:val="right"/>
              <w:ind w:right="180"/>
              <w:spacing w:after="0" w:line="205" w:lineRule="exact"/>
              <w:rPr>
                <w:sz w:val="20"/>
                <w:szCs w:val="20"/>
                <w:color w:val="auto"/>
              </w:rPr>
            </w:pPr>
            <w:r>
              <w:rPr>
                <w:rFonts w:ascii="Arial" w:cs="Arial" w:eastAsia="Arial" w:hAnsi="Arial"/>
                <w:sz w:val="18"/>
                <w:szCs w:val="18"/>
                <w:color w:val="303030"/>
              </w:rPr>
              <w:t>ay  , 2025, among</w:t>
            </w:r>
          </w:p>
        </w:tc>
        <w:tc>
          <w:tcPr>
            <w:tcW w:w="840" w:type="dxa"/>
            <w:vAlign w:val="bottom"/>
            <w:gridSpan w:val="2"/>
            <w:shd w:val="clear" w:color="auto" w:fill="E4E4E4"/>
          </w:tcPr>
          <w:p>
            <w:pPr>
              <w:jc w:val="center"/>
              <w:ind w:right="10"/>
              <w:spacing w:after="0" w:line="205" w:lineRule="exact"/>
              <w:rPr>
                <w:sz w:val="20"/>
                <w:szCs w:val="20"/>
                <w:color w:val="auto"/>
              </w:rPr>
            </w:pPr>
            <w:r>
              <w:rPr>
                <w:rFonts w:ascii="Arial" w:cs="Arial" w:eastAsia="Arial" w:hAnsi="Arial"/>
                <w:sz w:val="18"/>
                <w:szCs w:val="18"/>
                <w:color w:val="auto"/>
                <w:w w:val="87"/>
              </w:rPr>
              <w:t>8-</w:t>
            </w:r>
          </w:p>
        </w:tc>
        <w:tc>
          <w:tcPr>
            <w:tcW w:w="720" w:type="dxa"/>
            <w:vAlign w:val="bottom"/>
            <w:shd w:val="clear" w:color="auto" w:fill="E4E4E4"/>
          </w:tcPr>
          <w:p>
            <w:pPr>
              <w:jc w:val="center"/>
              <w:spacing w:after="0" w:line="205" w:lineRule="exact"/>
              <w:rPr>
                <w:sz w:val="20"/>
                <w:szCs w:val="20"/>
                <w:color w:val="auto"/>
              </w:rPr>
            </w:pPr>
            <w:r>
              <w:rPr>
                <w:rFonts w:ascii="Arial" w:cs="Arial" w:eastAsia="Arial" w:hAnsi="Arial"/>
                <w:sz w:val="18"/>
                <w:szCs w:val="18"/>
                <w:color w:val="auto"/>
                <w:w w:val="91"/>
              </w:rPr>
              <w:t>10.2</w:t>
            </w:r>
          </w:p>
        </w:tc>
        <w:tc>
          <w:tcPr>
            <w:tcW w:w="980" w:type="dxa"/>
            <w:vAlign w:val="bottom"/>
            <w:shd w:val="clear" w:color="auto" w:fill="E4E4E4"/>
          </w:tcPr>
          <w:p>
            <w:pPr>
              <w:jc w:val="center"/>
              <w:spacing w:after="0" w:line="205" w:lineRule="exact"/>
              <w:rPr>
                <w:sz w:val="20"/>
                <w:szCs w:val="20"/>
                <w:color w:val="auto"/>
              </w:rPr>
            </w:pPr>
            <w:r>
              <w:rPr>
                <w:rFonts w:ascii="Arial" w:cs="Arial" w:eastAsia="Arial" w:hAnsi="Arial"/>
                <w:sz w:val="18"/>
                <w:szCs w:val="18"/>
                <w:color w:val="auto"/>
              </w:rPr>
              <w:t>5  2025</w:t>
            </w: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1140" w:type="dxa"/>
            <w:vAlign w:val="bottom"/>
            <w:tcBorders>
              <w:top w:val="single" w:sz="8" w:color="303030"/>
            </w:tcBorders>
            <w:gridSpan w:val="3"/>
            <w:shd w:val="clear" w:color="auto" w:fill="E4E4E4"/>
          </w:tcPr>
          <w:p>
            <w:pPr>
              <w:spacing w:after="0" w:line="160" w:lineRule="exact"/>
              <w:rPr>
                <w:sz w:val="20"/>
                <w:szCs w:val="20"/>
                <w:color w:val="auto"/>
              </w:rPr>
            </w:pPr>
            <w:r>
              <w:rPr>
                <w:rFonts w:ascii="Arial" w:cs="Arial" w:eastAsia="Arial" w:hAnsi="Arial"/>
                <w:sz w:val="18"/>
                <w:szCs w:val="18"/>
                <w:color w:val="303030"/>
                <w:w w:val="99"/>
              </w:rPr>
              <w:t>the Company,</w:t>
            </w:r>
          </w:p>
        </w:tc>
        <w:tc>
          <w:tcPr>
            <w:tcW w:w="5480" w:type="dxa"/>
            <w:vAlign w:val="bottom"/>
            <w:tcBorders>
              <w:top w:val="single" w:sz="8" w:color="303030"/>
            </w:tcBorders>
            <w:gridSpan w:val="23"/>
            <w:shd w:val="clear" w:color="auto" w:fill="E4E4E4"/>
          </w:tcPr>
          <w:p>
            <w:pPr>
              <w:jc w:val="right"/>
              <w:ind w:right="260"/>
              <w:spacing w:after="0" w:line="160" w:lineRule="exact"/>
              <w:rPr>
                <w:sz w:val="20"/>
                <w:szCs w:val="20"/>
                <w:color w:val="auto"/>
              </w:rPr>
            </w:pPr>
            <w:r>
              <w:rPr>
                <w:rFonts w:ascii="Arial" w:cs="Arial" w:eastAsia="Arial" w:hAnsi="Arial"/>
                <w:sz w:val="18"/>
                <w:szCs w:val="18"/>
                <w:color w:val="303030"/>
                <w:w w:val="91"/>
              </w:rPr>
              <w:t>.S. Bank, as administrative agent, swing line lender and a letter of credit</w:t>
            </w:r>
          </w:p>
        </w:tc>
        <w:tc>
          <w:tcPr>
            <w:tcW w:w="1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780" w:type="dxa"/>
            <w:vAlign w:val="bottom"/>
            <w:tcBorders>
              <w:top w:val="single" w:sz="8" w:color="E4E4E4"/>
            </w:tcBorders>
            <w:shd w:val="clear" w:color="auto" w:fill="E4E4E4"/>
          </w:tcPr>
          <w:p>
            <w:pPr>
              <w:spacing w:after="0"/>
              <w:rPr>
                <w:sz w:val="13"/>
                <w:szCs w:val="13"/>
                <w:color w:val="auto"/>
              </w:rPr>
            </w:pPr>
          </w:p>
        </w:tc>
        <w:tc>
          <w:tcPr>
            <w:tcW w:w="72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bottom w:val="single" w:sz="8" w:color="E4E4E4"/>
            </w:tcBorders>
            <w:shd w:val="clear" w:color="auto" w:fill="E4E4E4"/>
          </w:tcPr>
          <w:p>
            <w:pPr>
              <w:spacing w:after="0"/>
              <w:rPr>
                <w:sz w:val="13"/>
                <w:szCs w:val="13"/>
                <w:color w:val="auto"/>
              </w:rPr>
            </w:pPr>
          </w:p>
        </w:tc>
        <w:tc>
          <w:tcPr>
            <w:tcW w:w="2460" w:type="dxa"/>
            <w:vAlign w:val="bottom"/>
            <w:tcBorders>
              <w:top w:val="single" w:sz="8" w:color="303030"/>
              <w:bottom w:val="single" w:sz="8" w:color="303030"/>
            </w:tcBorders>
            <w:gridSpan w:val="10"/>
            <w:shd w:val="clear" w:color="auto" w:fill="E4E4E4"/>
          </w:tcPr>
          <w:p>
            <w:pPr>
              <w:spacing w:after="0" w:line="160" w:lineRule="exact"/>
              <w:rPr>
                <w:sz w:val="20"/>
                <w:szCs w:val="20"/>
                <w:color w:val="auto"/>
              </w:rPr>
            </w:pPr>
            <w:r>
              <w:rPr>
                <w:rFonts w:ascii="Arial" w:cs="Arial" w:eastAsia="Arial" w:hAnsi="Arial"/>
                <w:sz w:val="18"/>
                <w:szCs w:val="18"/>
                <w:color w:val="303030"/>
                <w:w w:val="94"/>
              </w:rPr>
              <w:t>issuer, the lenders party thereto,</w:t>
            </w:r>
          </w:p>
        </w:tc>
        <w:tc>
          <w:tcPr>
            <w:tcW w:w="940" w:type="dxa"/>
            <w:vAlign w:val="bottom"/>
            <w:tcBorders>
              <w:top w:val="single" w:sz="8" w:color="303030"/>
              <w:bottom w:val="single" w:sz="8" w:color="303030"/>
            </w:tcBorders>
            <w:gridSpan w:val="3"/>
            <w:shd w:val="clear" w:color="auto" w:fill="E4E4E4"/>
          </w:tcPr>
          <w:p>
            <w:pPr>
              <w:ind w:left="20"/>
              <w:spacing w:after="0" w:line="160" w:lineRule="exact"/>
              <w:rPr>
                <w:sz w:val="20"/>
                <w:szCs w:val="20"/>
                <w:color w:val="auto"/>
              </w:rPr>
            </w:pPr>
            <w:r>
              <w:rPr>
                <w:rFonts w:ascii="Arial" w:cs="Arial" w:eastAsia="Arial" w:hAnsi="Arial"/>
                <w:sz w:val="18"/>
                <w:szCs w:val="18"/>
                <w:color w:val="303030"/>
              </w:rPr>
              <w:t>SBC Bank</w:t>
            </w:r>
          </w:p>
        </w:tc>
        <w:tc>
          <w:tcPr>
            <w:tcW w:w="2320" w:type="dxa"/>
            <w:vAlign w:val="bottom"/>
            <w:tcBorders>
              <w:top w:val="single" w:sz="8" w:color="303030"/>
              <w:bottom w:val="single" w:sz="8" w:color="303030"/>
            </w:tcBorders>
            <w:gridSpan w:val="5"/>
            <w:shd w:val="clear" w:color="auto" w:fill="E4E4E4"/>
          </w:tcPr>
          <w:p>
            <w:pPr>
              <w:jc w:val="center"/>
              <w:ind w:right="140"/>
              <w:spacing w:after="0" w:line="160" w:lineRule="exact"/>
              <w:rPr>
                <w:sz w:val="20"/>
                <w:szCs w:val="20"/>
                <w:color w:val="auto"/>
              </w:rPr>
            </w:pPr>
            <w:r>
              <w:rPr>
                <w:rFonts w:ascii="Arial" w:cs="Arial" w:eastAsia="Arial" w:hAnsi="Arial"/>
                <w:sz w:val="18"/>
                <w:szCs w:val="18"/>
                <w:color w:val="303030"/>
                <w:w w:val="92"/>
              </w:rPr>
              <w:t>SA, National Association and</w:t>
            </w:r>
          </w:p>
        </w:tc>
        <w:tc>
          <w:tcPr>
            <w:tcW w:w="700" w:type="dxa"/>
            <w:vAlign w:val="bottom"/>
            <w:tcBorders>
              <w:top w:val="single" w:sz="8" w:color="303030"/>
              <w:bottom w:val="single" w:sz="8" w:color="303030"/>
            </w:tcBorders>
            <w:gridSpan w:val="2"/>
            <w:shd w:val="clear" w:color="auto" w:fill="E4E4E4"/>
          </w:tcPr>
          <w:p>
            <w:pPr>
              <w:jc w:val="right"/>
              <w:spacing w:after="0" w:line="160" w:lineRule="exact"/>
              <w:rPr>
                <w:sz w:val="20"/>
                <w:szCs w:val="20"/>
                <w:color w:val="auto"/>
              </w:rPr>
            </w:pPr>
            <w:r>
              <w:rPr>
                <w:rFonts w:ascii="Arial" w:cs="Arial" w:eastAsia="Arial" w:hAnsi="Arial"/>
                <w:sz w:val="18"/>
                <w:szCs w:val="18"/>
                <w:color w:val="303030"/>
                <w:w w:val="85"/>
              </w:rPr>
              <w:t>ells Fargo</w:t>
            </w:r>
          </w:p>
        </w:tc>
        <w:tc>
          <w:tcPr>
            <w:tcW w:w="20" w:type="dxa"/>
            <w:vAlign w:val="bottom"/>
            <w:tcBorders>
              <w:top w:val="single" w:sz="8" w:color="E4E4E4"/>
              <w:bottom w:val="single" w:sz="8" w:color="303030"/>
            </w:tcBorders>
            <w:shd w:val="clear" w:color="auto" w:fill="E4E4E4"/>
          </w:tcPr>
          <w:p>
            <w:pPr>
              <w:spacing w:after="0"/>
              <w:rPr>
                <w:sz w:val="13"/>
                <w:szCs w:val="13"/>
                <w:color w:val="auto"/>
              </w:rPr>
            </w:pPr>
          </w:p>
        </w:tc>
        <w:tc>
          <w:tcPr>
            <w:tcW w:w="20" w:type="dxa"/>
            <w:vAlign w:val="bottom"/>
            <w:tcBorders>
              <w:top w:val="single" w:sz="8" w:color="E4E4E4"/>
              <w:bottom w:val="single" w:sz="8" w:color="303030"/>
            </w:tcBorders>
            <w:shd w:val="clear" w:color="auto" w:fill="E4E4E4"/>
          </w:tcPr>
          <w:p>
            <w:pPr>
              <w:spacing w:after="0"/>
              <w:rPr>
                <w:sz w:val="13"/>
                <w:szCs w:val="13"/>
                <w:color w:val="auto"/>
              </w:rPr>
            </w:pPr>
          </w:p>
        </w:tc>
        <w:tc>
          <w:tcPr>
            <w:tcW w:w="60" w:type="dxa"/>
            <w:vAlign w:val="bottom"/>
            <w:tcBorders>
              <w:top w:val="single" w:sz="8" w:color="E4E4E4"/>
              <w:bottom w:val="single" w:sz="8" w:color="303030"/>
            </w:tcBorders>
            <w:shd w:val="clear" w:color="auto" w:fill="E4E4E4"/>
          </w:tcPr>
          <w:p>
            <w:pPr>
              <w:spacing w:after="0"/>
              <w:rPr>
                <w:sz w:val="13"/>
                <w:szCs w:val="13"/>
                <w:color w:val="auto"/>
              </w:rPr>
            </w:pPr>
          </w:p>
        </w:tc>
        <w:tc>
          <w:tcPr>
            <w:tcW w:w="20" w:type="dxa"/>
            <w:vAlign w:val="bottom"/>
            <w:tcBorders>
              <w:top w:val="single" w:sz="8" w:color="E4E4E4"/>
              <w:bottom w:val="single" w:sz="8" w:color="E4E4E4"/>
            </w:tcBorders>
            <w:shd w:val="clear" w:color="auto" w:fill="E4E4E4"/>
          </w:tcPr>
          <w:p>
            <w:pPr>
              <w:spacing w:after="0"/>
              <w:rPr>
                <w:sz w:val="13"/>
                <w:szCs w:val="13"/>
                <w:color w:val="auto"/>
              </w:rPr>
            </w:pPr>
          </w:p>
        </w:tc>
        <w:tc>
          <w:tcPr>
            <w:tcW w:w="20" w:type="dxa"/>
            <w:vAlign w:val="bottom"/>
            <w:tcBorders>
              <w:top w:val="single" w:sz="8" w:color="E4E4E4"/>
              <w:bottom w:val="single" w:sz="8" w:color="E4E4E4"/>
            </w:tcBorders>
            <w:shd w:val="clear" w:color="auto" w:fill="E4E4E4"/>
          </w:tcPr>
          <w:p>
            <w:pPr>
              <w:spacing w:after="0"/>
              <w:rPr>
                <w:sz w:val="13"/>
                <w:szCs w:val="13"/>
                <w:color w:val="auto"/>
              </w:rPr>
            </w:pPr>
          </w:p>
        </w:tc>
        <w:tc>
          <w:tcPr>
            <w:tcW w:w="40" w:type="dxa"/>
            <w:vAlign w:val="bottom"/>
            <w:tcBorders>
              <w:top w:val="single" w:sz="8" w:color="E4E4E4"/>
              <w:bottom w:val="single" w:sz="8" w:color="E4E4E4"/>
            </w:tcBorders>
            <w:shd w:val="clear" w:color="auto" w:fill="E4E4E4"/>
          </w:tcPr>
          <w:p>
            <w:pPr>
              <w:spacing w:after="0"/>
              <w:rPr>
                <w:sz w:val="13"/>
                <w:szCs w:val="13"/>
                <w:color w:val="auto"/>
              </w:rPr>
            </w:pPr>
          </w:p>
        </w:tc>
        <w:tc>
          <w:tcPr>
            <w:tcW w:w="180" w:type="dxa"/>
            <w:vAlign w:val="bottom"/>
            <w:tcBorders>
              <w:top w:val="single" w:sz="8" w:color="E4E4E4"/>
              <w:bottom w:val="single" w:sz="8" w:color="E4E4E4"/>
            </w:tcBorders>
            <w:gridSpan w:val="2"/>
            <w:shd w:val="clear" w:color="auto" w:fill="E4E4E4"/>
          </w:tcPr>
          <w:p>
            <w:pPr>
              <w:spacing w:after="0"/>
              <w:rPr>
                <w:sz w:val="13"/>
                <w:szCs w:val="13"/>
                <w:color w:val="auto"/>
              </w:rPr>
            </w:pPr>
          </w:p>
        </w:tc>
        <w:tc>
          <w:tcPr>
            <w:tcW w:w="60" w:type="dxa"/>
            <w:vAlign w:val="bottom"/>
            <w:tcBorders>
              <w:top w:val="single" w:sz="8" w:color="E4E4E4"/>
              <w:bottom w:val="single" w:sz="8" w:color="E4E4E4"/>
            </w:tcBorders>
            <w:shd w:val="clear" w:color="auto" w:fill="E4E4E4"/>
          </w:tcPr>
          <w:p>
            <w:pPr>
              <w:spacing w:after="0"/>
              <w:rPr>
                <w:sz w:val="13"/>
                <w:szCs w:val="13"/>
                <w:color w:val="auto"/>
              </w:rPr>
            </w:pPr>
          </w:p>
        </w:tc>
        <w:tc>
          <w:tcPr>
            <w:tcW w:w="780" w:type="dxa"/>
            <w:vAlign w:val="bottom"/>
            <w:tcBorders>
              <w:top w:val="single" w:sz="8" w:color="E4E4E4"/>
              <w:bottom w:val="single" w:sz="8" w:color="E4E4E4"/>
            </w:tcBorders>
            <w:shd w:val="clear" w:color="auto" w:fill="E4E4E4"/>
          </w:tcPr>
          <w:p>
            <w:pPr>
              <w:spacing w:after="0"/>
              <w:rPr>
                <w:sz w:val="13"/>
                <w:szCs w:val="13"/>
                <w:color w:val="auto"/>
              </w:rPr>
            </w:pPr>
          </w:p>
        </w:tc>
        <w:tc>
          <w:tcPr>
            <w:tcW w:w="720" w:type="dxa"/>
            <w:vAlign w:val="bottom"/>
            <w:tcBorders>
              <w:top w:val="single" w:sz="8" w:color="E4E4E4"/>
              <w:bottom w:val="single" w:sz="8" w:color="E4E4E4"/>
            </w:tcBorders>
            <w:shd w:val="clear" w:color="auto" w:fill="E4E4E4"/>
          </w:tcPr>
          <w:p>
            <w:pPr>
              <w:spacing w:after="0"/>
              <w:rPr>
                <w:sz w:val="13"/>
                <w:szCs w:val="13"/>
                <w:color w:val="auto"/>
              </w:rPr>
            </w:pPr>
          </w:p>
        </w:tc>
        <w:tc>
          <w:tcPr>
            <w:tcW w:w="980" w:type="dxa"/>
            <w:vAlign w:val="bottom"/>
            <w:tcBorders>
              <w:top w:val="single" w:sz="8" w:color="E4E4E4"/>
              <w:bottom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bottom w:val="single" w:sz="8" w:color="E4E4E4"/>
            </w:tcBorders>
            <w:shd w:val="clear" w:color="auto" w:fill="E4E4E4"/>
          </w:tcPr>
          <w:p>
            <w:pPr>
              <w:spacing w:after="0"/>
              <w:rPr>
                <w:sz w:val="13"/>
                <w:szCs w:val="13"/>
                <w:color w:val="auto"/>
              </w:rPr>
            </w:pPr>
          </w:p>
        </w:tc>
        <w:tc>
          <w:tcPr>
            <w:tcW w:w="6440" w:type="dxa"/>
            <w:vAlign w:val="bottom"/>
            <w:tcBorders>
              <w:bottom w:val="single" w:sz="8" w:color="303030"/>
            </w:tcBorders>
            <w:gridSpan w:val="21"/>
            <w:shd w:val="clear" w:color="auto" w:fill="E4E4E4"/>
          </w:tcPr>
          <w:p>
            <w:pPr>
              <w:spacing w:after="0" w:line="160" w:lineRule="exact"/>
              <w:rPr>
                <w:sz w:val="20"/>
                <w:szCs w:val="20"/>
                <w:color w:val="auto"/>
              </w:rPr>
            </w:pPr>
            <w:r>
              <w:rPr>
                <w:rFonts w:ascii="Arial" w:cs="Arial" w:eastAsia="Arial" w:hAnsi="Arial"/>
                <w:sz w:val="18"/>
                <w:szCs w:val="18"/>
                <w:color w:val="303030"/>
                <w:w w:val="91"/>
              </w:rPr>
              <w:t>Bank, National Association, as co-syndication agents and letter of credit issuers, Bank of</w:t>
            </w:r>
          </w:p>
        </w:tc>
        <w:tc>
          <w:tcPr>
            <w:tcW w:w="80" w:type="dxa"/>
            <w:vAlign w:val="bottom"/>
            <w:tcBorders>
              <w:bottom w:val="single" w:sz="8" w:color="E4E4E4"/>
            </w:tcBorders>
            <w:gridSpan w:val="2"/>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40" w:type="dxa"/>
            <w:vAlign w:val="bottom"/>
            <w:tcBorders>
              <w:bottom w:val="single" w:sz="8" w:color="E4E4E4"/>
            </w:tcBorders>
            <w:shd w:val="clear" w:color="auto" w:fill="E4E4E4"/>
          </w:tcPr>
          <w:p>
            <w:pPr>
              <w:spacing w:after="0"/>
              <w:rPr>
                <w:sz w:val="13"/>
                <w:szCs w:val="13"/>
                <w:color w:val="auto"/>
              </w:rPr>
            </w:pPr>
          </w:p>
        </w:tc>
        <w:tc>
          <w:tcPr>
            <w:tcW w:w="180" w:type="dxa"/>
            <w:vAlign w:val="bottom"/>
            <w:tcBorders>
              <w:bottom w:val="single" w:sz="8" w:color="E4E4E4"/>
            </w:tcBorders>
            <w:gridSpan w:val="2"/>
            <w:shd w:val="clear" w:color="auto" w:fill="E4E4E4"/>
          </w:tcPr>
          <w:p>
            <w:pPr>
              <w:spacing w:after="0"/>
              <w:rPr>
                <w:sz w:val="13"/>
                <w:szCs w:val="13"/>
                <w:color w:val="auto"/>
              </w:rPr>
            </w:pPr>
          </w:p>
        </w:tc>
        <w:tc>
          <w:tcPr>
            <w:tcW w:w="60" w:type="dxa"/>
            <w:vAlign w:val="bottom"/>
            <w:tcBorders>
              <w:bottom w:val="single" w:sz="8" w:color="E4E4E4"/>
            </w:tcBorders>
            <w:shd w:val="clear" w:color="auto" w:fill="E4E4E4"/>
          </w:tcPr>
          <w:p>
            <w:pPr>
              <w:spacing w:after="0"/>
              <w:rPr>
                <w:sz w:val="13"/>
                <w:szCs w:val="13"/>
                <w:color w:val="auto"/>
              </w:rPr>
            </w:pPr>
          </w:p>
        </w:tc>
        <w:tc>
          <w:tcPr>
            <w:tcW w:w="780" w:type="dxa"/>
            <w:vAlign w:val="bottom"/>
            <w:tcBorders>
              <w:bottom w:val="single" w:sz="8" w:color="E4E4E4"/>
            </w:tcBorders>
            <w:shd w:val="clear" w:color="auto" w:fill="E4E4E4"/>
          </w:tcPr>
          <w:p>
            <w:pPr>
              <w:spacing w:after="0"/>
              <w:rPr>
                <w:sz w:val="13"/>
                <w:szCs w:val="13"/>
                <w:color w:val="auto"/>
              </w:rPr>
            </w:pPr>
          </w:p>
        </w:tc>
        <w:tc>
          <w:tcPr>
            <w:tcW w:w="720" w:type="dxa"/>
            <w:vAlign w:val="bottom"/>
            <w:tcBorders>
              <w:bottom w:val="single" w:sz="8" w:color="E4E4E4"/>
            </w:tcBorders>
            <w:shd w:val="clear" w:color="auto" w:fill="E4E4E4"/>
          </w:tcPr>
          <w:p>
            <w:pPr>
              <w:spacing w:after="0"/>
              <w:rPr>
                <w:sz w:val="13"/>
                <w:szCs w:val="13"/>
                <w:color w:val="auto"/>
              </w:rPr>
            </w:pPr>
          </w:p>
        </w:tc>
        <w:tc>
          <w:tcPr>
            <w:tcW w:w="980" w:type="dxa"/>
            <w:vAlign w:val="bottom"/>
            <w:tcBorders>
              <w:bottom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E4E4E4"/>
          </w:tcPr>
          <w:p>
            <w:pPr>
              <w:spacing w:after="0"/>
              <w:rPr>
                <w:sz w:val="13"/>
                <w:szCs w:val="13"/>
                <w:color w:val="auto"/>
              </w:rPr>
            </w:pPr>
          </w:p>
        </w:tc>
        <w:tc>
          <w:tcPr>
            <w:tcW w:w="1740" w:type="dxa"/>
            <w:vAlign w:val="bottom"/>
            <w:gridSpan w:val="7"/>
            <w:shd w:val="clear" w:color="auto" w:fill="E4E4E4"/>
          </w:tcPr>
          <w:p>
            <w:pPr>
              <w:spacing w:after="0" w:line="160" w:lineRule="exact"/>
              <w:rPr>
                <w:sz w:val="20"/>
                <w:szCs w:val="20"/>
                <w:color w:val="auto"/>
              </w:rPr>
            </w:pPr>
            <w:r>
              <w:rPr>
                <w:rFonts w:ascii="Arial" w:cs="Arial" w:eastAsia="Arial" w:hAnsi="Arial"/>
                <w:sz w:val="18"/>
                <w:szCs w:val="18"/>
                <w:color w:val="303030"/>
                <w:w w:val="99"/>
              </w:rPr>
              <w:t>America, N.A. and JP</w:t>
            </w:r>
          </w:p>
        </w:tc>
        <w:tc>
          <w:tcPr>
            <w:tcW w:w="5040" w:type="dxa"/>
            <w:vAlign w:val="bottom"/>
            <w:gridSpan w:val="21"/>
            <w:shd w:val="clear" w:color="auto" w:fill="E4E4E4"/>
          </w:tcPr>
          <w:p>
            <w:pPr>
              <w:spacing w:after="0" w:line="160" w:lineRule="exact"/>
              <w:rPr>
                <w:sz w:val="20"/>
                <w:szCs w:val="20"/>
                <w:color w:val="auto"/>
              </w:rPr>
            </w:pPr>
            <w:r>
              <w:rPr>
                <w:rFonts w:ascii="Arial" w:cs="Arial" w:eastAsia="Arial" w:hAnsi="Arial"/>
                <w:sz w:val="18"/>
                <w:szCs w:val="18"/>
                <w:color w:val="303030"/>
                <w:w w:val="94"/>
              </w:rPr>
              <w:t>organ Chase Bank, N.A., as co-documentation agents and letter of</w:t>
            </w:r>
          </w:p>
        </w:tc>
        <w:tc>
          <w:tcPr>
            <w:tcW w:w="60" w:type="dxa"/>
            <w:vAlign w:val="bottom"/>
            <w:shd w:val="clear" w:color="auto" w:fill="E4E4E4"/>
          </w:tcPr>
          <w:p>
            <w:pPr>
              <w:spacing w:after="0"/>
              <w:rPr>
                <w:sz w:val="13"/>
                <w:szCs w:val="13"/>
                <w:color w:val="auto"/>
              </w:rPr>
            </w:pPr>
          </w:p>
        </w:tc>
        <w:tc>
          <w:tcPr>
            <w:tcW w:w="780" w:type="dxa"/>
            <w:vAlign w:val="bottom"/>
            <w:shd w:val="clear" w:color="auto" w:fill="E4E4E4"/>
          </w:tcPr>
          <w:p>
            <w:pPr>
              <w:spacing w:after="0"/>
              <w:rPr>
                <w:sz w:val="13"/>
                <w:szCs w:val="13"/>
                <w:color w:val="auto"/>
              </w:rPr>
            </w:pPr>
          </w:p>
        </w:tc>
        <w:tc>
          <w:tcPr>
            <w:tcW w:w="720" w:type="dxa"/>
            <w:vAlign w:val="bottom"/>
            <w:shd w:val="clear" w:color="auto" w:fill="E4E4E4"/>
          </w:tcPr>
          <w:p>
            <w:pPr>
              <w:spacing w:after="0"/>
              <w:rPr>
                <w:sz w:val="13"/>
                <w:szCs w:val="13"/>
                <w:color w:val="auto"/>
              </w:rPr>
            </w:pPr>
          </w:p>
        </w:tc>
        <w:tc>
          <w:tcPr>
            <w:tcW w:w="9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6540" w:type="dxa"/>
            <w:vAlign w:val="bottom"/>
            <w:tcBorders>
              <w:top w:val="single" w:sz="8" w:color="303030"/>
            </w:tcBorders>
            <w:gridSpan w:val="24"/>
            <w:shd w:val="clear" w:color="auto" w:fill="E4E4E4"/>
          </w:tcPr>
          <w:p>
            <w:pPr>
              <w:spacing w:after="0" w:line="160" w:lineRule="exact"/>
              <w:rPr>
                <w:sz w:val="20"/>
                <w:szCs w:val="20"/>
                <w:color w:val="auto"/>
              </w:rPr>
            </w:pPr>
            <w:r>
              <w:rPr>
                <w:rFonts w:ascii="Arial" w:cs="Arial" w:eastAsia="Arial" w:hAnsi="Arial"/>
                <w:sz w:val="18"/>
                <w:szCs w:val="18"/>
                <w:color w:val="303030"/>
                <w:w w:val="90"/>
              </w:rPr>
              <w:t>credit issuers, Deutsche Bank Securities, Inc., as a co-documentation agent and Deutsche</w:t>
            </w:r>
          </w:p>
        </w:tc>
        <w:tc>
          <w:tcPr>
            <w:tcW w:w="20" w:type="dxa"/>
            <w:vAlign w:val="bottom"/>
            <w:tcBorders>
              <w:top w:val="single" w:sz="8" w:color="E4E4E4"/>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80" w:type="dxa"/>
            <w:vAlign w:val="bottom"/>
            <w:tcBorders>
              <w:top w:val="single" w:sz="8" w:color="E4E4E4"/>
            </w:tcBorders>
            <w:gridSpan w:val="2"/>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780" w:type="dxa"/>
            <w:vAlign w:val="bottom"/>
            <w:tcBorders>
              <w:top w:val="single" w:sz="8" w:color="E4E4E4"/>
            </w:tcBorders>
            <w:shd w:val="clear" w:color="auto" w:fill="E4E4E4"/>
          </w:tcPr>
          <w:p>
            <w:pPr>
              <w:spacing w:after="0"/>
              <w:rPr>
                <w:sz w:val="13"/>
                <w:szCs w:val="13"/>
                <w:color w:val="auto"/>
              </w:rPr>
            </w:pPr>
          </w:p>
        </w:tc>
        <w:tc>
          <w:tcPr>
            <w:tcW w:w="72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E4E4E4"/>
            </w:tcBorders>
            <w:shd w:val="clear" w:color="auto" w:fill="E4E4E4"/>
          </w:tcPr>
          <w:p>
            <w:pPr>
              <w:spacing w:after="0"/>
              <w:rPr>
                <w:sz w:val="18"/>
                <w:szCs w:val="18"/>
                <w:color w:val="auto"/>
              </w:rPr>
            </w:pPr>
          </w:p>
        </w:tc>
        <w:tc>
          <w:tcPr>
            <w:tcW w:w="4760" w:type="dxa"/>
            <w:vAlign w:val="bottom"/>
            <w:tcBorders>
              <w:top w:val="single" w:sz="8" w:color="303030"/>
            </w:tcBorders>
            <w:gridSpan w:val="15"/>
            <w:shd w:val="clear" w:color="auto" w:fill="E4E4E4"/>
          </w:tcPr>
          <w:p>
            <w:pPr>
              <w:spacing w:after="0" w:line="160" w:lineRule="exact"/>
              <w:rPr>
                <w:sz w:val="20"/>
                <w:szCs w:val="20"/>
                <w:color w:val="auto"/>
              </w:rPr>
            </w:pPr>
            <w:r>
              <w:rPr>
                <w:rFonts w:ascii="Arial" w:cs="Arial" w:eastAsia="Arial" w:hAnsi="Arial"/>
                <w:sz w:val="18"/>
                <w:szCs w:val="18"/>
                <w:color w:val="303030"/>
              </w:rPr>
              <w:t>Bank A  New York Branch, as a letter of credit issuer.</w:t>
            </w:r>
          </w:p>
        </w:tc>
        <w:tc>
          <w:tcPr>
            <w:tcW w:w="360" w:type="dxa"/>
            <w:vAlign w:val="bottom"/>
            <w:tcBorders>
              <w:top w:val="single" w:sz="8" w:color="303030"/>
            </w:tcBorders>
            <w:shd w:val="clear" w:color="auto" w:fill="E4E4E4"/>
          </w:tcPr>
          <w:p>
            <w:pPr>
              <w:spacing w:after="0"/>
              <w:rPr>
                <w:sz w:val="18"/>
                <w:szCs w:val="18"/>
                <w:color w:val="auto"/>
              </w:rPr>
            </w:pPr>
          </w:p>
        </w:tc>
        <w:tc>
          <w:tcPr>
            <w:tcW w:w="300" w:type="dxa"/>
            <w:vAlign w:val="bottom"/>
            <w:tcBorders>
              <w:top w:val="single" w:sz="8" w:color="303030"/>
            </w:tcBorders>
            <w:shd w:val="clear" w:color="auto" w:fill="E4E4E4"/>
          </w:tcPr>
          <w:p>
            <w:pPr>
              <w:spacing w:after="0"/>
              <w:rPr>
                <w:sz w:val="18"/>
                <w:szCs w:val="18"/>
                <w:color w:val="auto"/>
              </w:rPr>
            </w:pPr>
          </w:p>
        </w:tc>
        <w:tc>
          <w:tcPr>
            <w:tcW w:w="300" w:type="dxa"/>
            <w:vAlign w:val="bottom"/>
            <w:tcBorders>
              <w:top w:val="single" w:sz="8" w:color="303030"/>
            </w:tcBorders>
            <w:shd w:val="clear" w:color="auto" w:fill="E4E4E4"/>
          </w:tcPr>
          <w:p>
            <w:pPr>
              <w:spacing w:after="0"/>
              <w:rPr>
                <w:sz w:val="18"/>
                <w:szCs w:val="18"/>
                <w:color w:val="auto"/>
              </w:rPr>
            </w:pPr>
          </w:p>
        </w:tc>
        <w:tc>
          <w:tcPr>
            <w:tcW w:w="520" w:type="dxa"/>
            <w:vAlign w:val="bottom"/>
            <w:tcBorders>
              <w:top w:val="single" w:sz="8" w:color="303030"/>
            </w:tcBorders>
            <w:shd w:val="clear" w:color="auto" w:fill="E4E4E4"/>
          </w:tcPr>
          <w:p>
            <w:pPr>
              <w:spacing w:after="0"/>
              <w:rPr>
                <w:sz w:val="18"/>
                <w:szCs w:val="18"/>
                <w:color w:val="auto"/>
              </w:rPr>
            </w:pPr>
          </w:p>
        </w:tc>
        <w:tc>
          <w:tcPr>
            <w:tcW w:w="180" w:type="dxa"/>
            <w:vAlign w:val="bottom"/>
            <w:tcBorders>
              <w:top w:val="single" w:sz="8" w:color="303030"/>
            </w:tcBorders>
            <w:shd w:val="clear" w:color="auto" w:fill="E4E4E4"/>
          </w:tcPr>
          <w:p>
            <w:pPr>
              <w:spacing w:after="0"/>
              <w:rPr>
                <w:sz w:val="18"/>
                <w:szCs w:val="18"/>
                <w:color w:val="auto"/>
              </w:rPr>
            </w:pPr>
          </w:p>
        </w:tc>
        <w:tc>
          <w:tcPr>
            <w:tcW w:w="20" w:type="dxa"/>
            <w:vAlign w:val="bottom"/>
            <w:tcBorders>
              <w:top w:val="single" w:sz="8" w:color="303030"/>
            </w:tcBorders>
            <w:shd w:val="clear" w:color="auto" w:fill="E4E4E4"/>
          </w:tcPr>
          <w:p>
            <w:pPr>
              <w:spacing w:after="0"/>
              <w:rPr>
                <w:sz w:val="18"/>
                <w:szCs w:val="18"/>
                <w:color w:val="auto"/>
              </w:rPr>
            </w:pPr>
          </w:p>
        </w:tc>
        <w:tc>
          <w:tcPr>
            <w:tcW w:w="20" w:type="dxa"/>
            <w:vAlign w:val="bottom"/>
            <w:tcBorders>
              <w:top w:val="single" w:sz="8" w:color="303030"/>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40" w:type="dxa"/>
            <w:vAlign w:val="bottom"/>
            <w:tcBorders>
              <w:top w:val="single" w:sz="8" w:color="E4E4E4"/>
            </w:tcBorders>
            <w:shd w:val="clear" w:color="auto" w:fill="E4E4E4"/>
          </w:tcPr>
          <w:p>
            <w:pPr>
              <w:spacing w:after="0"/>
              <w:rPr>
                <w:sz w:val="18"/>
                <w:szCs w:val="18"/>
                <w:color w:val="auto"/>
              </w:rPr>
            </w:pPr>
          </w:p>
        </w:tc>
        <w:tc>
          <w:tcPr>
            <w:tcW w:w="4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780" w:type="dxa"/>
            <w:vAlign w:val="bottom"/>
            <w:tcBorders>
              <w:top w:val="single" w:sz="8" w:color="E4E4E4"/>
            </w:tcBorders>
            <w:shd w:val="clear" w:color="auto" w:fill="E4E4E4"/>
          </w:tcPr>
          <w:p>
            <w:pPr>
              <w:spacing w:after="0"/>
              <w:rPr>
                <w:sz w:val="18"/>
                <w:szCs w:val="18"/>
                <w:color w:val="auto"/>
              </w:rPr>
            </w:pPr>
          </w:p>
        </w:tc>
        <w:tc>
          <w:tcPr>
            <w:tcW w:w="720" w:type="dxa"/>
            <w:vAlign w:val="bottom"/>
            <w:tcBorders>
              <w:top w:val="single" w:sz="8" w:color="E4E4E4"/>
            </w:tcBorders>
            <w:shd w:val="clear" w:color="auto" w:fill="E4E4E4"/>
          </w:tcPr>
          <w:p>
            <w:pPr>
              <w:spacing w:after="0"/>
              <w:rPr>
                <w:sz w:val="18"/>
                <w:szCs w:val="18"/>
                <w:color w:val="auto"/>
              </w:rPr>
            </w:pPr>
          </w:p>
        </w:tc>
        <w:tc>
          <w:tcPr>
            <w:tcW w:w="9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99"/>
              </w:rPr>
              <w:t>1 .1</w:t>
            </w:r>
          </w:p>
        </w:tc>
        <w:tc>
          <w:tcPr>
            <w:tcW w:w="20" w:type="dxa"/>
            <w:vAlign w:val="bottom"/>
            <w:tcBorders>
              <w:top w:val="single" w:sz="8" w:color="E4E4E4"/>
            </w:tcBorders>
            <w:shd w:val="clear" w:color="auto" w:fill="FEFEFE"/>
          </w:tcPr>
          <w:p>
            <w:pPr>
              <w:spacing w:after="0"/>
              <w:rPr>
                <w:sz w:val="18"/>
                <w:szCs w:val="18"/>
                <w:color w:val="auto"/>
              </w:rPr>
            </w:pPr>
          </w:p>
        </w:tc>
        <w:tc>
          <w:tcPr>
            <w:tcW w:w="1720" w:type="dxa"/>
            <w:vAlign w:val="bottom"/>
            <w:tcBorders>
              <w:top w:val="single" w:sz="8" w:color="303030"/>
            </w:tcBorders>
            <w:gridSpan w:val="6"/>
            <w:shd w:val="clear" w:color="auto" w:fill="FEFEFE"/>
          </w:tcPr>
          <w:p>
            <w:pPr>
              <w:spacing w:after="0"/>
              <w:rPr>
                <w:sz w:val="20"/>
                <w:szCs w:val="20"/>
                <w:color w:val="auto"/>
              </w:rPr>
            </w:pPr>
            <w:r>
              <w:rPr>
                <w:rFonts w:ascii="Arial" w:cs="Arial" w:eastAsia="Arial" w:hAnsi="Arial"/>
                <w:sz w:val="18"/>
                <w:szCs w:val="18"/>
                <w:color w:val="303030"/>
                <w:w w:val="98"/>
              </w:rPr>
              <w:t>Insider Trading Policy</w:t>
            </w:r>
          </w:p>
        </w:tc>
        <w:tc>
          <w:tcPr>
            <w:tcW w:w="360" w:type="dxa"/>
            <w:vAlign w:val="bottom"/>
            <w:tcBorders>
              <w:top w:val="single" w:sz="8" w:color="303030"/>
            </w:tcBorders>
            <w:shd w:val="clear" w:color="auto" w:fill="FEFEFE"/>
          </w:tcPr>
          <w:p>
            <w:pPr>
              <w:spacing w:after="0"/>
              <w:rPr>
                <w:sz w:val="18"/>
                <w:szCs w:val="18"/>
                <w:color w:val="auto"/>
              </w:rPr>
            </w:pPr>
          </w:p>
        </w:tc>
        <w:tc>
          <w:tcPr>
            <w:tcW w:w="340" w:type="dxa"/>
            <w:vAlign w:val="bottom"/>
            <w:tcBorders>
              <w:top w:val="single" w:sz="8" w:color="303030"/>
            </w:tcBorders>
            <w:shd w:val="clear" w:color="auto" w:fill="FEFEFE"/>
          </w:tcPr>
          <w:p>
            <w:pPr>
              <w:spacing w:after="0"/>
              <w:rPr>
                <w:sz w:val="18"/>
                <w:szCs w:val="18"/>
                <w:color w:val="auto"/>
              </w:rPr>
            </w:pPr>
          </w:p>
        </w:tc>
        <w:tc>
          <w:tcPr>
            <w:tcW w:w="20" w:type="dxa"/>
            <w:vAlign w:val="bottom"/>
            <w:tcBorders>
              <w:top w:val="single" w:sz="8" w:color="303030"/>
            </w:tcBorders>
            <w:shd w:val="clear" w:color="auto" w:fill="FEFEFE"/>
          </w:tcPr>
          <w:p>
            <w:pPr>
              <w:spacing w:after="0"/>
              <w:rPr>
                <w:sz w:val="18"/>
                <w:szCs w:val="18"/>
                <w:color w:val="auto"/>
              </w:rPr>
            </w:pPr>
          </w:p>
        </w:tc>
        <w:tc>
          <w:tcPr>
            <w:tcW w:w="60" w:type="dxa"/>
            <w:vAlign w:val="bottom"/>
            <w:tcBorders>
              <w:top w:val="single" w:sz="8" w:color="303030"/>
            </w:tcBorders>
            <w:shd w:val="clear" w:color="auto" w:fill="FEFEFE"/>
          </w:tcPr>
          <w:p>
            <w:pPr>
              <w:spacing w:after="0"/>
              <w:rPr>
                <w:sz w:val="18"/>
                <w:szCs w:val="18"/>
                <w:color w:val="auto"/>
              </w:rPr>
            </w:pPr>
          </w:p>
        </w:tc>
        <w:tc>
          <w:tcPr>
            <w:tcW w:w="620" w:type="dxa"/>
            <w:vAlign w:val="bottom"/>
            <w:tcBorders>
              <w:top w:val="single" w:sz="8" w:color="303030"/>
            </w:tcBorders>
            <w:shd w:val="clear" w:color="auto" w:fill="FEFEFE"/>
          </w:tcPr>
          <w:p>
            <w:pPr>
              <w:spacing w:after="0"/>
              <w:rPr>
                <w:sz w:val="18"/>
                <w:szCs w:val="18"/>
                <w:color w:val="auto"/>
              </w:rPr>
            </w:pPr>
          </w:p>
        </w:tc>
        <w:tc>
          <w:tcPr>
            <w:tcW w:w="260" w:type="dxa"/>
            <w:vAlign w:val="bottom"/>
            <w:tcBorders>
              <w:top w:val="single" w:sz="8" w:color="303030"/>
            </w:tcBorders>
            <w:shd w:val="clear" w:color="auto" w:fill="FEFEFE"/>
          </w:tcPr>
          <w:p>
            <w:pPr>
              <w:spacing w:after="0"/>
              <w:rPr>
                <w:sz w:val="18"/>
                <w:szCs w:val="18"/>
                <w:color w:val="auto"/>
              </w:rPr>
            </w:pPr>
          </w:p>
        </w:tc>
        <w:tc>
          <w:tcPr>
            <w:tcW w:w="580" w:type="dxa"/>
            <w:vAlign w:val="bottom"/>
            <w:tcBorders>
              <w:top w:val="single" w:sz="8" w:color="303030"/>
            </w:tcBorders>
            <w:shd w:val="clear" w:color="auto" w:fill="FEFEFE"/>
          </w:tcPr>
          <w:p>
            <w:pPr>
              <w:spacing w:after="0"/>
              <w:rPr>
                <w:sz w:val="18"/>
                <w:szCs w:val="18"/>
                <w:color w:val="auto"/>
              </w:rPr>
            </w:pPr>
          </w:p>
        </w:tc>
        <w:tc>
          <w:tcPr>
            <w:tcW w:w="780" w:type="dxa"/>
            <w:vAlign w:val="bottom"/>
            <w:tcBorders>
              <w:top w:val="single" w:sz="8" w:color="E4E4E4"/>
            </w:tcBorders>
            <w:shd w:val="clear" w:color="auto" w:fill="FEFEFE"/>
          </w:tcPr>
          <w:p>
            <w:pPr>
              <w:spacing w:after="0"/>
              <w:rPr>
                <w:sz w:val="18"/>
                <w:szCs w:val="18"/>
                <w:color w:val="auto"/>
              </w:rPr>
            </w:pPr>
          </w:p>
        </w:tc>
        <w:tc>
          <w:tcPr>
            <w:tcW w:w="360" w:type="dxa"/>
            <w:vAlign w:val="bottom"/>
            <w:tcBorders>
              <w:top w:val="single" w:sz="8" w:color="E4E4E4"/>
            </w:tcBorders>
            <w:shd w:val="clear" w:color="auto" w:fill="FEFEFE"/>
          </w:tcPr>
          <w:p>
            <w:pPr>
              <w:spacing w:after="0"/>
              <w:rPr>
                <w:sz w:val="18"/>
                <w:szCs w:val="18"/>
                <w:color w:val="auto"/>
              </w:rPr>
            </w:pPr>
          </w:p>
        </w:tc>
        <w:tc>
          <w:tcPr>
            <w:tcW w:w="300" w:type="dxa"/>
            <w:vAlign w:val="bottom"/>
            <w:tcBorders>
              <w:top w:val="single" w:sz="8" w:color="E4E4E4"/>
            </w:tcBorders>
            <w:shd w:val="clear" w:color="auto" w:fill="FEFEFE"/>
          </w:tcPr>
          <w:p>
            <w:pPr>
              <w:spacing w:after="0"/>
              <w:rPr>
                <w:sz w:val="18"/>
                <w:szCs w:val="18"/>
                <w:color w:val="auto"/>
              </w:rPr>
            </w:pPr>
          </w:p>
        </w:tc>
        <w:tc>
          <w:tcPr>
            <w:tcW w:w="300" w:type="dxa"/>
            <w:vAlign w:val="bottom"/>
            <w:tcBorders>
              <w:top w:val="single" w:sz="8" w:color="E4E4E4"/>
            </w:tcBorders>
            <w:shd w:val="clear" w:color="auto" w:fill="FEFEFE"/>
          </w:tcPr>
          <w:p>
            <w:pPr>
              <w:spacing w:after="0"/>
              <w:rPr>
                <w:sz w:val="18"/>
                <w:szCs w:val="18"/>
                <w:color w:val="auto"/>
              </w:rPr>
            </w:pPr>
          </w:p>
        </w:tc>
        <w:tc>
          <w:tcPr>
            <w:tcW w:w="520" w:type="dxa"/>
            <w:vAlign w:val="bottom"/>
            <w:tcBorders>
              <w:top w:val="single" w:sz="8" w:color="E4E4E4"/>
            </w:tcBorders>
            <w:shd w:val="clear" w:color="auto" w:fill="FEFEFE"/>
          </w:tcPr>
          <w:p>
            <w:pPr>
              <w:spacing w:after="0"/>
              <w:rPr>
                <w:sz w:val="18"/>
                <w:szCs w:val="18"/>
                <w:color w:val="auto"/>
              </w:rPr>
            </w:pPr>
          </w:p>
        </w:tc>
        <w:tc>
          <w:tcPr>
            <w:tcW w:w="18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6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20" w:type="dxa"/>
            <w:vAlign w:val="bottom"/>
            <w:tcBorders>
              <w:top w:val="single" w:sz="8" w:color="E4E4E4"/>
            </w:tcBorders>
            <w:shd w:val="clear" w:color="auto" w:fill="FEFEFE"/>
          </w:tcPr>
          <w:p>
            <w:pPr>
              <w:spacing w:after="0"/>
              <w:rPr>
                <w:sz w:val="18"/>
                <w:szCs w:val="18"/>
                <w:color w:val="auto"/>
              </w:rPr>
            </w:pPr>
          </w:p>
        </w:tc>
        <w:tc>
          <w:tcPr>
            <w:tcW w:w="40" w:type="dxa"/>
            <w:vAlign w:val="bottom"/>
            <w:tcBorders>
              <w:top w:val="single" w:sz="8" w:color="E4E4E4"/>
            </w:tcBorders>
            <w:shd w:val="clear" w:color="auto" w:fill="FEFEFE"/>
          </w:tcPr>
          <w:p>
            <w:pPr>
              <w:spacing w:after="0"/>
              <w:rPr>
                <w:sz w:val="18"/>
                <w:szCs w:val="18"/>
                <w:color w:val="auto"/>
              </w:rPr>
            </w:pPr>
          </w:p>
        </w:tc>
        <w:tc>
          <w:tcPr>
            <w:tcW w:w="40" w:type="dxa"/>
            <w:vAlign w:val="bottom"/>
            <w:tcBorders>
              <w:top w:val="single" w:sz="8" w:color="E4E4E4"/>
            </w:tcBorders>
            <w:shd w:val="clear" w:color="auto" w:fill="FEFEFE"/>
          </w:tcPr>
          <w:p>
            <w:pPr>
              <w:spacing w:after="0"/>
              <w:rPr>
                <w:sz w:val="18"/>
                <w:szCs w:val="18"/>
                <w:color w:val="auto"/>
              </w:rPr>
            </w:pPr>
          </w:p>
        </w:tc>
        <w:tc>
          <w:tcPr>
            <w:tcW w:w="140" w:type="dxa"/>
            <w:vAlign w:val="bottom"/>
            <w:tcBorders>
              <w:top w:val="single" w:sz="8" w:color="E4E4E4"/>
            </w:tcBorders>
            <w:shd w:val="clear" w:color="auto" w:fill="FEFEFE"/>
          </w:tcPr>
          <w:p>
            <w:pPr>
              <w:spacing w:after="0"/>
              <w:rPr>
                <w:sz w:val="18"/>
                <w:szCs w:val="18"/>
                <w:color w:val="auto"/>
              </w:rPr>
            </w:pPr>
          </w:p>
        </w:tc>
        <w:tc>
          <w:tcPr>
            <w:tcW w:w="840" w:type="dxa"/>
            <w:vAlign w:val="bottom"/>
            <w:tcBorders>
              <w:top w:val="single" w:sz="8" w:color="E4E4E4"/>
            </w:tcBorders>
            <w:gridSpan w:val="2"/>
            <w:shd w:val="clear" w:color="auto" w:fill="FEFEFE"/>
          </w:tcPr>
          <w:p>
            <w:pPr>
              <w:jc w:val="center"/>
              <w:spacing w:after="0"/>
              <w:rPr>
                <w:sz w:val="20"/>
                <w:szCs w:val="20"/>
                <w:color w:val="auto"/>
              </w:rPr>
            </w:pPr>
            <w:r>
              <w:rPr>
                <w:rFonts w:ascii="Arial" w:cs="Arial" w:eastAsia="Arial" w:hAnsi="Arial"/>
                <w:sz w:val="18"/>
                <w:szCs w:val="18"/>
                <w:color w:val="auto"/>
                <w:w w:val="92"/>
              </w:rPr>
              <w:t>10-</w:t>
            </w:r>
          </w:p>
        </w:tc>
        <w:tc>
          <w:tcPr>
            <w:tcW w:w="72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rPr>
              <w:t>1 .1</w:t>
            </w:r>
          </w:p>
        </w:tc>
        <w:tc>
          <w:tcPr>
            <w:tcW w:w="980" w:type="dxa"/>
            <w:vAlign w:val="bottom"/>
            <w:tcBorders>
              <w:top w:val="single" w:sz="8" w:color="E4E4E4"/>
            </w:tcBorders>
            <w:shd w:val="clear" w:color="auto" w:fill="FEFEFE"/>
          </w:tcPr>
          <w:p>
            <w:pPr>
              <w:jc w:val="center"/>
              <w:spacing w:after="0"/>
              <w:rPr>
                <w:sz w:val="20"/>
                <w:szCs w:val="20"/>
                <w:color w:val="auto"/>
              </w:rPr>
            </w:pPr>
            <w:r>
              <w:rPr>
                <w:rFonts w:ascii="Arial" w:cs="Arial" w:eastAsia="Arial" w:hAnsi="Arial"/>
                <w:sz w:val="18"/>
                <w:szCs w:val="18"/>
                <w:color w:val="auto"/>
                <w:w w:val="91"/>
              </w:rPr>
              <w:t>4 2 2025</w:t>
            </w: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303030"/>
            </w:tcBorders>
            <w:shd w:val="clear" w:color="auto" w:fill="FEFEFE"/>
          </w:tcPr>
          <w:p>
            <w:pPr>
              <w:spacing w:after="0"/>
              <w:rPr>
                <w:sz w:val="4"/>
                <w:szCs w:val="4"/>
                <w:color w:val="auto"/>
              </w:rPr>
            </w:pPr>
          </w:p>
        </w:tc>
        <w:tc>
          <w:tcPr>
            <w:tcW w:w="460" w:type="dxa"/>
            <w:vAlign w:val="bottom"/>
            <w:tcBorders>
              <w:top w:val="single" w:sz="8" w:color="303030"/>
            </w:tcBorders>
            <w:shd w:val="clear" w:color="auto" w:fill="FEFEFE"/>
          </w:tcPr>
          <w:p>
            <w:pPr>
              <w:spacing w:after="0"/>
              <w:rPr>
                <w:sz w:val="4"/>
                <w:szCs w:val="4"/>
                <w:color w:val="auto"/>
              </w:rPr>
            </w:pPr>
          </w:p>
        </w:tc>
        <w:tc>
          <w:tcPr>
            <w:tcW w:w="520" w:type="dxa"/>
            <w:vAlign w:val="bottom"/>
            <w:tcBorders>
              <w:top w:val="single" w:sz="8" w:color="303030"/>
            </w:tcBorders>
            <w:shd w:val="clear" w:color="auto" w:fill="FEFEFE"/>
          </w:tcPr>
          <w:p>
            <w:pPr>
              <w:spacing w:after="0"/>
              <w:rPr>
                <w:sz w:val="4"/>
                <w:szCs w:val="4"/>
                <w:color w:val="auto"/>
              </w:rPr>
            </w:pPr>
          </w:p>
        </w:tc>
        <w:tc>
          <w:tcPr>
            <w:tcW w:w="260" w:type="dxa"/>
            <w:vAlign w:val="bottom"/>
            <w:tcBorders>
              <w:top w:val="single" w:sz="8" w:color="303030"/>
            </w:tcBorders>
            <w:shd w:val="clear" w:color="auto" w:fill="FEFEFE"/>
          </w:tcPr>
          <w:p>
            <w:pPr>
              <w:spacing w:after="0"/>
              <w:rPr>
                <w:sz w:val="4"/>
                <w:szCs w:val="4"/>
                <w:color w:val="auto"/>
              </w:rPr>
            </w:pPr>
          </w:p>
        </w:tc>
        <w:tc>
          <w:tcPr>
            <w:tcW w:w="200" w:type="dxa"/>
            <w:vAlign w:val="bottom"/>
            <w:tcBorders>
              <w:top w:val="single" w:sz="8" w:color="303030"/>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2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5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72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9"/>
              </w:rPr>
              <w:t>1 .2</w:t>
            </w:r>
          </w:p>
        </w:tc>
        <w:tc>
          <w:tcPr>
            <w:tcW w:w="2460" w:type="dxa"/>
            <w:vAlign w:val="bottom"/>
            <w:gridSpan w:val="10"/>
            <w:shd w:val="clear" w:color="auto" w:fill="E4E4E4"/>
          </w:tcPr>
          <w:p>
            <w:pPr>
              <w:spacing w:after="0"/>
              <w:rPr>
                <w:sz w:val="20"/>
                <w:szCs w:val="20"/>
                <w:color w:val="auto"/>
              </w:rPr>
            </w:pPr>
            <w:r>
              <w:rPr>
                <w:rFonts w:ascii="Arial" w:cs="Arial" w:eastAsia="Arial" w:hAnsi="Arial"/>
                <w:sz w:val="18"/>
                <w:szCs w:val="18"/>
                <w:color w:val="303030"/>
              </w:rPr>
              <w:t>Pre-clearance Trading Policy</w:t>
            </w:r>
          </w:p>
        </w:tc>
        <w:tc>
          <w:tcPr>
            <w:tcW w:w="60" w:type="dxa"/>
            <w:vAlign w:val="bottom"/>
            <w:shd w:val="clear" w:color="auto" w:fill="E4E4E4"/>
          </w:tcPr>
          <w:p>
            <w:pPr>
              <w:spacing w:after="0"/>
              <w:rPr>
                <w:sz w:val="18"/>
                <w:szCs w:val="18"/>
                <w:color w:val="auto"/>
              </w:rPr>
            </w:pPr>
          </w:p>
        </w:tc>
        <w:tc>
          <w:tcPr>
            <w:tcW w:w="62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36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5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40" w:type="dxa"/>
            <w:vAlign w:val="bottom"/>
            <w:gridSpan w:val="2"/>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20" w:type="dxa"/>
            <w:vAlign w:val="bottom"/>
            <w:shd w:val="clear" w:color="auto" w:fill="E4E4E4"/>
          </w:tcPr>
          <w:p>
            <w:pPr>
              <w:jc w:val="center"/>
              <w:spacing w:after="0"/>
              <w:rPr>
                <w:sz w:val="20"/>
                <w:szCs w:val="20"/>
                <w:color w:val="auto"/>
              </w:rPr>
            </w:pPr>
            <w:r>
              <w:rPr>
                <w:rFonts w:ascii="Arial" w:cs="Arial" w:eastAsia="Arial" w:hAnsi="Arial"/>
                <w:sz w:val="18"/>
                <w:szCs w:val="18"/>
                <w:color w:val="auto"/>
              </w:rPr>
              <w:t>1 .2</w:t>
            </w:r>
          </w:p>
        </w:tc>
        <w:tc>
          <w:tcPr>
            <w:tcW w:w="98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91"/>
              </w:rPr>
              <w:t>4 2 2025</w:t>
            </w: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520" w:type="dxa"/>
            <w:vAlign w:val="bottom"/>
            <w:tcBorders>
              <w:top w:val="single" w:sz="8" w:color="303030"/>
            </w:tcBorders>
            <w:shd w:val="clear" w:color="auto" w:fill="E4E4E4"/>
          </w:tcPr>
          <w:p>
            <w:pPr>
              <w:spacing w:after="0"/>
              <w:rPr>
                <w:sz w:val="4"/>
                <w:szCs w:val="4"/>
                <w:color w:val="auto"/>
              </w:rPr>
            </w:pPr>
          </w:p>
        </w:tc>
        <w:tc>
          <w:tcPr>
            <w:tcW w:w="2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120" w:type="dxa"/>
            <w:vAlign w:val="bottom"/>
            <w:tcBorders>
              <w:top w:val="single" w:sz="8" w:color="303030"/>
            </w:tcBorders>
            <w:shd w:val="clear" w:color="auto" w:fill="E4E4E4"/>
          </w:tcPr>
          <w:p>
            <w:pPr>
              <w:spacing w:after="0"/>
              <w:rPr>
                <w:sz w:val="4"/>
                <w:szCs w:val="4"/>
                <w:color w:val="auto"/>
              </w:rPr>
            </w:pPr>
          </w:p>
        </w:tc>
        <w:tc>
          <w:tcPr>
            <w:tcW w:w="360" w:type="dxa"/>
            <w:vAlign w:val="bottom"/>
            <w:tcBorders>
              <w:top w:val="single" w:sz="8" w:color="303030"/>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2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58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520" w:type="dxa"/>
            <w:vAlign w:val="bottom"/>
            <w:tcBorders>
              <w:top w:val="single" w:sz="8" w:color="E4E4E4"/>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72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21</w:t>
            </w:r>
          </w:p>
        </w:tc>
        <w:tc>
          <w:tcPr>
            <w:tcW w:w="3140" w:type="dxa"/>
            <w:vAlign w:val="bottom"/>
            <w:gridSpan w:val="12"/>
            <w:shd w:val="clear" w:color="auto" w:fill="FEFEFE"/>
          </w:tcPr>
          <w:p>
            <w:pPr>
              <w:spacing w:after="0"/>
              <w:rPr>
                <w:sz w:val="20"/>
                <w:szCs w:val="20"/>
                <w:color w:val="auto"/>
              </w:rPr>
            </w:pPr>
            <w:r>
              <w:rPr>
                <w:rFonts w:ascii="Arial" w:cs="Arial" w:eastAsia="Arial" w:hAnsi="Arial"/>
                <w:sz w:val="18"/>
                <w:szCs w:val="18"/>
                <w:color w:val="303030"/>
              </w:rPr>
              <w:t>Subsidiaries of TJX, filed herewith</w:t>
            </w:r>
          </w:p>
        </w:tc>
        <w:tc>
          <w:tcPr>
            <w:tcW w:w="26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780" w:type="dxa"/>
            <w:vAlign w:val="bottom"/>
            <w:shd w:val="clear" w:color="auto" w:fill="FEFEFE"/>
          </w:tcPr>
          <w:p>
            <w:pPr>
              <w:spacing w:after="0"/>
              <w:rPr>
                <w:sz w:val="18"/>
                <w:szCs w:val="18"/>
                <w:color w:val="auto"/>
              </w:rPr>
            </w:pPr>
          </w:p>
        </w:tc>
        <w:tc>
          <w:tcPr>
            <w:tcW w:w="36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780" w:type="dxa"/>
            <w:vAlign w:val="bottom"/>
            <w:shd w:val="clear" w:color="auto" w:fill="FEFEFE"/>
          </w:tcPr>
          <w:p>
            <w:pPr>
              <w:spacing w:after="0"/>
              <w:rPr>
                <w:sz w:val="18"/>
                <w:szCs w:val="18"/>
                <w:color w:val="auto"/>
              </w:rPr>
            </w:pPr>
          </w:p>
        </w:tc>
        <w:tc>
          <w:tcPr>
            <w:tcW w:w="72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303030"/>
            </w:tcBorders>
            <w:shd w:val="clear" w:color="auto" w:fill="FEFEFE"/>
          </w:tcPr>
          <w:p>
            <w:pPr>
              <w:spacing w:after="0"/>
              <w:rPr>
                <w:sz w:val="4"/>
                <w:szCs w:val="4"/>
                <w:color w:val="auto"/>
              </w:rPr>
            </w:pPr>
          </w:p>
        </w:tc>
        <w:tc>
          <w:tcPr>
            <w:tcW w:w="460" w:type="dxa"/>
            <w:vAlign w:val="bottom"/>
            <w:tcBorders>
              <w:top w:val="single" w:sz="8" w:color="303030"/>
            </w:tcBorders>
            <w:shd w:val="clear" w:color="auto" w:fill="FEFEFE"/>
          </w:tcPr>
          <w:p>
            <w:pPr>
              <w:spacing w:after="0"/>
              <w:rPr>
                <w:sz w:val="4"/>
                <w:szCs w:val="4"/>
                <w:color w:val="auto"/>
              </w:rPr>
            </w:pPr>
          </w:p>
        </w:tc>
        <w:tc>
          <w:tcPr>
            <w:tcW w:w="520" w:type="dxa"/>
            <w:vAlign w:val="bottom"/>
            <w:tcBorders>
              <w:top w:val="single" w:sz="8" w:color="303030"/>
            </w:tcBorders>
            <w:shd w:val="clear" w:color="auto" w:fill="FEFEFE"/>
          </w:tcPr>
          <w:p>
            <w:pPr>
              <w:spacing w:after="0"/>
              <w:rPr>
                <w:sz w:val="4"/>
                <w:szCs w:val="4"/>
                <w:color w:val="auto"/>
              </w:rPr>
            </w:pPr>
          </w:p>
        </w:tc>
        <w:tc>
          <w:tcPr>
            <w:tcW w:w="260" w:type="dxa"/>
            <w:vAlign w:val="bottom"/>
            <w:tcBorders>
              <w:top w:val="single" w:sz="8" w:color="303030"/>
            </w:tcBorders>
            <w:shd w:val="clear" w:color="auto" w:fill="FEFEFE"/>
          </w:tcPr>
          <w:p>
            <w:pPr>
              <w:spacing w:after="0"/>
              <w:rPr>
                <w:sz w:val="4"/>
                <w:szCs w:val="4"/>
                <w:color w:val="auto"/>
              </w:rPr>
            </w:pPr>
          </w:p>
        </w:tc>
        <w:tc>
          <w:tcPr>
            <w:tcW w:w="200" w:type="dxa"/>
            <w:vAlign w:val="bottom"/>
            <w:tcBorders>
              <w:top w:val="single" w:sz="8" w:color="303030"/>
            </w:tcBorders>
            <w:shd w:val="clear" w:color="auto" w:fill="FEFEFE"/>
          </w:tcPr>
          <w:p>
            <w:pPr>
              <w:spacing w:after="0"/>
              <w:rPr>
                <w:sz w:val="4"/>
                <w:szCs w:val="4"/>
                <w:color w:val="auto"/>
              </w:rPr>
            </w:pPr>
          </w:p>
        </w:tc>
        <w:tc>
          <w:tcPr>
            <w:tcW w:w="120" w:type="dxa"/>
            <w:vAlign w:val="bottom"/>
            <w:tcBorders>
              <w:top w:val="single" w:sz="8" w:color="303030"/>
            </w:tcBorders>
            <w:shd w:val="clear" w:color="auto" w:fill="FEFEFE"/>
          </w:tcPr>
          <w:p>
            <w:pPr>
              <w:spacing w:after="0"/>
              <w:rPr>
                <w:sz w:val="4"/>
                <w:szCs w:val="4"/>
                <w:color w:val="auto"/>
              </w:rPr>
            </w:pPr>
          </w:p>
        </w:tc>
        <w:tc>
          <w:tcPr>
            <w:tcW w:w="360" w:type="dxa"/>
            <w:vAlign w:val="bottom"/>
            <w:tcBorders>
              <w:top w:val="single" w:sz="8" w:color="303030"/>
            </w:tcBorders>
            <w:shd w:val="clear" w:color="auto" w:fill="FEFEFE"/>
          </w:tcPr>
          <w:p>
            <w:pPr>
              <w:spacing w:after="0"/>
              <w:rPr>
                <w:sz w:val="4"/>
                <w:szCs w:val="4"/>
                <w:color w:val="auto"/>
              </w:rPr>
            </w:pPr>
          </w:p>
        </w:tc>
        <w:tc>
          <w:tcPr>
            <w:tcW w:w="340" w:type="dxa"/>
            <w:vAlign w:val="bottom"/>
            <w:tcBorders>
              <w:top w:val="single" w:sz="8" w:color="303030"/>
            </w:tcBorders>
            <w:shd w:val="clear" w:color="auto" w:fill="FEFEFE"/>
          </w:tcPr>
          <w:p>
            <w:pPr>
              <w:spacing w:after="0"/>
              <w:rPr>
                <w:sz w:val="4"/>
                <w:szCs w:val="4"/>
                <w:color w:val="auto"/>
              </w:rPr>
            </w:pPr>
          </w:p>
        </w:tc>
        <w:tc>
          <w:tcPr>
            <w:tcW w:w="20" w:type="dxa"/>
            <w:vAlign w:val="bottom"/>
            <w:tcBorders>
              <w:top w:val="single" w:sz="8" w:color="303030"/>
            </w:tcBorders>
            <w:shd w:val="clear" w:color="auto" w:fill="FEFEFE"/>
          </w:tcPr>
          <w:p>
            <w:pPr>
              <w:spacing w:after="0"/>
              <w:rPr>
                <w:sz w:val="4"/>
                <w:szCs w:val="4"/>
                <w:color w:val="auto"/>
              </w:rPr>
            </w:pPr>
          </w:p>
        </w:tc>
        <w:tc>
          <w:tcPr>
            <w:tcW w:w="60" w:type="dxa"/>
            <w:vAlign w:val="bottom"/>
            <w:tcBorders>
              <w:top w:val="single" w:sz="8" w:color="303030"/>
            </w:tcBorders>
            <w:shd w:val="clear" w:color="auto" w:fill="FEFEFE"/>
          </w:tcPr>
          <w:p>
            <w:pPr>
              <w:spacing w:after="0"/>
              <w:rPr>
                <w:sz w:val="4"/>
                <w:szCs w:val="4"/>
                <w:color w:val="auto"/>
              </w:rPr>
            </w:pPr>
          </w:p>
        </w:tc>
        <w:tc>
          <w:tcPr>
            <w:tcW w:w="62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5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72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89"/>
              </w:rPr>
              <w:t>23</w:t>
            </w:r>
          </w:p>
        </w:tc>
        <w:tc>
          <w:tcPr>
            <w:tcW w:w="20" w:type="dxa"/>
            <w:vAlign w:val="bottom"/>
            <w:tcBorders>
              <w:bottom w:val="single" w:sz="8" w:color="E4E4E4"/>
            </w:tcBorders>
            <w:shd w:val="clear" w:color="auto" w:fill="E4E4E4"/>
          </w:tcPr>
          <w:p>
            <w:pPr>
              <w:spacing w:after="0"/>
              <w:rPr>
                <w:sz w:val="23"/>
                <w:szCs w:val="23"/>
                <w:color w:val="auto"/>
              </w:rPr>
            </w:pPr>
          </w:p>
        </w:tc>
        <w:tc>
          <w:tcPr>
            <w:tcW w:w="1720" w:type="dxa"/>
            <w:vAlign w:val="bottom"/>
            <w:tcBorders>
              <w:bottom w:val="single" w:sz="8" w:color="303030"/>
            </w:tcBorders>
            <w:gridSpan w:val="6"/>
            <w:shd w:val="clear" w:color="auto" w:fill="E4E4E4"/>
          </w:tcPr>
          <w:p>
            <w:pPr>
              <w:spacing w:after="0"/>
              <w:rPr>
                <w:sz w:val="20"/>
                <w:szCs w:val="20"/>
                <w:color w:val="auto"/>
              </w:rPr>
            </w:pPr>
            <w:r>
              <w:rPr>
                <w:rFonts w:ascii="Arial" w:cs="Arial" w:eastAsia="Arial" w:hAnsi="Arial"/>
                <w:sz w:val="18"/>
                <w:szCs w:val="18"/>
                <w:color w:val="303030"/>
                <w:w w:val="88"/>
              </w:rPr>
              <w:t>Consent of Independent</w:t>
            </w:r>
          </w:p>
        </w:tc>
        <w:tc>
          <w:tcPr>
            <w:tcW w:w="3680" w:type="dxa"/>
            <w:vAlign w:val="bottom"/>
            <w:tcBorders>
              <w:bottom w:val="single" w:sz="8" w:color="303030"/>
            </w:tcBorders>
            <w:gridSpan w:val="10"/>
            <w:shd w:val="clear" w:color="auto" w:fill="E4E4E4"/>
          </w:tcPr>
          <w:p>
            <w:pPr>
              <w:ind w:left="140"/>
              <w:spacing w:after="0"/>
              <w:rPr>
                <w:sz w:val="20"/>
                <w:szCs w:val="20"/>
                <w:color w:val="auto"/>
              </w:rPr>
            </w:pPr>
            <w:r>
              <w:rPr>
                <w:rFonts w:ascii="Arial" w:cs="Arial" w:eastAsia="Arial" w:hAnsi="Arial"/>
                <w:sz w:val="18"/>
                <w:szCs w:val="18"/>
                <w:color w:val="303030"/>
                <w:w w:val="92"/>
              </w:rPr>
              <w:t>egistered Public Accounting Firm, filed herewith</w:t>
            </w:r>
          </w:p>
        </w:tc>
        <w:tc>
          <w:tcPr>
            <w:tcW w:w="300" w:type="dxa"/>
            <w:vAlign w:val="bottom"/>
            <w:tcBorders>
              <w:bottom w:val="single" w:sz="8" w:color="E4E4E4"/>
            </w:tcBorders>
            <w:shd w:val="clear" w:color="auto" w:fill="E4E4E4"/>
          </w:tcPr>
          <w:p>
            <w:pPr>
              <w:spacing w:after="0"/>
              <w:rPr>
                <w:sz w:val="23"/>
                <w:szCs w:val="23"/>
                <w:color w:val="auto"/>
              </w:rPr>
            </w:pPr>
          </w:p>
        </w:tc>
        <w:tc>
          <w:tcPr>
            <w:tcW w:w="520" w:type="dxa"/>
            <w:vAlign w:val="bottom"/>
            <w:tcBorders>
              <w:bottom w:val="single" w:sz="8" w:color="E4E4E4"/>
            </w:tcBorders>
            <w:shd w:val="clear" w:color="auto" w:fill="E4E4E4"/>
          </w:tcPr>
          <w:p>
            <w:pPr>
              <w:spacing w:after="0"/>
              <w:rPr>
                <w:sz w:val="23"/>
                <w:szCs w:val="23"/>
                <w:color w:val="auto"/>
              </w:rPr>
            </w:pPr>
          </w:p>
        </w:tc>
        <w:tc>
          <w:tcPr>
            <w:tcW w:w="18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40" w:type="dxa"/>
            <w:vAlign w:val="bottom"/>
            <w:tcBorders>
              <w:bottom w:val="single" w:sz="8" w:color="E4E4E4"/>
            </w:tcBorders>
            <w:shd w:val="clear" w:color="auto" w:fill="E4E4E4"/>
          </w:tcPr>
          <w:p>
            <w:pPr>
              <w:spacing w:after="0"/>
              <w:rPr>
                <w:sz w:val="23"/>
                <w:szCs w:val="23"/>
                <w:color w:val="auto"/>
              </w:rPr>
            </w:pPr>
          </w:p>
        </w:tc>
        <w:tc>
          <w:tcPr>
            <w:tcW w:w="140" w:type="dxa"/>
            <w:vAlign w:val="bottom"/>
            <w:tcBorders>
              <w:bottom w:val="single" w:sz="8" w:color="E4E4E4"/>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780" w:type="dxa"/>
            <w:vAlign w:val="bottom"/>
            <w:tcBorders>
              <w:bottom w:val="single" w:sz="8" w:color="E4E4E4"/>
            </w:tcBorders>
            <w:shd w:val="clear" w:color="auto" w:fill="E4E4E4"/>
          </w:tcPr>
          <w:p>
            <w:pPr>
              <w:spacing w:after="0"/>
              <w:rPr>
                <w:sz w:val="23"/>
                <w:szCs w:val="23"/>
                <w:color w:val="auto"/>
              </w:rPr>
            </w:pPr>
          </w:p>
        </w:tc>
        <w:tc>
          <w:tcPr>
            <w:tcW w:w="720" w:type="dxa"/>
            <w:vAlign w:val="bottom"/>
            <w:tcBorders>
              <w:bottom w:val="single" w:sz="8" w:color="E4E4E4"/>
            </w:tcBorders>
            <w:shd w:val="clear" w:color="auto" w:fill="E4E4E4"/>
          </w:tcPr>
          <w:p>
            <w:pPr>
              <w:spacing w:after="0"/>
              <w:rPr>
                <w:sz w:val="23"/>
                <w:szCs w:val="23"/>
                <w:color w:val="auto"/>
              </w:rPr>
            </w:pPr>
          </w:p>
        </w:tc>
        <w:tc>
          <w:tcPr>
            <w:tcW w:w="98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9"/>
              </w:rPr>
              <w:t>24</w:t>
            </w:r>
          </w:p>
        </w:tc>
        <w:tc>
          <w:tcPr>
            <w:tcW w:w="20" w:type="dxa"/>
            <w:vAlign w:val="bottom"/>
            <w:shd w:val="clear" w:color="auto" w:fill="FEFEFE"/>
          </w:tcPr>
          <w:p>
            <w:pPr>
              <w:spacing w:after="0"/>
              <w:rPr>
                <w:sz w:val="18"/>
                <w:szCs w:val="18"/>
                <w:color w:val="auto"/>
              </w:rPr>
            </w:pPr>
          </w:p>
        </w:tc>
        <w:tc>
          <w:tcPr>
            <w:tcW w:w="4740" w:type="dxa"/>
            <w:vAlign w:val="bottom"/>
            <w:gridSpan w:val="14"/>
            <w:shd w:val="clear" w:color="auto" w:fill="FEFEFE"/>
          </w:tcPr>
          <w:p>
            <w:pPr>
              <w:spacing w:after="0"/>
              <w:rPr>
                <w:sz w:val="20"/>
                <w:szCs w:val="20"/>
                <w:color w:val="auto"/>
              </w:rPr>
            </w:pPr>
            <w:r>
              <w:rPr>
                <w:rFonts w:ascii="Arial" w:cs="Arial" w:eastAsia="Arial" w:hAnsi="Arial"/>
                <w:sz w:val="18"/>
                <w:szCs w:val="18"/>
                <w:color w:val="303030"/>
                <w:w w:val="94"/>
              </w:rPr>
              <w:t>Power of Attorney given by the Directors and certain Executive</w:t>
            </w:r>
          </w:p>
        </w:tc>
        <w:tc>
          <w:tcPr>
            <w:tcW w:w="2020" w:type="dxa"/>
            <w:vAlign w:val="bottom"/>
            <w:gridSpan w:val="13"/>
            <w:shd w:val="clear" w:color="auto" w:fill="FEFEFE"/>
          </w:tcPr>
          <w:p>
            <w:pPr>
              <w:ind w:left="20"/>
              <w:spacing w:after="0"/>
              <w:rPr>
                <w:sz w:val="20"/>
                <w:szCs w:val="20"/>
                <w:color w:val="auto"/>
              </w:rPr>
            </w:pPr>
            <w:r>
              <w:rPr>
                <w:rFonts w:ascii="Arial" w:cs="Arial" w:eastAsia="Arial" w:hAnsi="Arial"/>
                <w:sz w:val="18"/>
                <w:szCs w:val="18"/>
                <w:color w:val="303030"/>
              </w:rPr>
              <w:t>fficers of TJX, filed</w:t>
            </w:r>
          </w:p>
        </w:tc>
        <w:tc>
          <w:tcPr>
            <w:tcW w:w="60" w:type="dxa"/>
            <w:vAlign w:val="bottom"/>
            <w:shd w:val="clear" w:color="auto" w:fill="FEFEFE"/>
          </w:tcPr>
          <w:p>
            <w:pPr>
              <w:spacing w:after="0"/>
              <w:rPr>
                <w:sz w:val="18"/>
                <w:szCs w:val="18"/>
                <w:color w:val="auto"/>
              </w:rPr>
            </w:pPr>
          </w:p>
        </w:tc>
        <w:tc>
          <w:tcPr>
            <w:tcW w:w="780" w:type="dxa"/>
            <w:vAlign w:val="bottom"/>
            <w:shd w:val="clear" w:color="auto" w:fill="FEFEFE"/>
          </w:tcPr>
          <w:p>
            <w:pPr>
              <w:spacing w:after="0"/>
              <w:rPr>
                <w:sz w:val="18"/>
                <w:szCs w:val="18"/>
                <w:color w:val="auto"/>
              </w:rPr>
            </w:pPr>
          </w:p>
        </w:tc>
        <w:tc>
          <w:tcPr>
            <w:tcW w:w="72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20" w:type="dxa"/>
            <w:vAlign w:val="bottom"/>
            <w:tcBorders>
              <w:top w:val="single" w:sz="8" w:color="303030"/>
              <w:bottom w:val="single" w:sz="8" w:color="303030"/>
            </w:tcBorders>
            <w:gridSpan w:val="2"/>
            <w:shd w:val="clear" w:color="auto" w:fill="FEFEFE"/>
          </w:tcPr>
          <w:p>
            <w:pPr>
              <w:spacing w:after="0" w:line="160" w:lineRule="exact"/>
              <w:rPr>
                <w:sz w:val="20"/>
                <w:szCs w:val="20"/>
                <w:color w:val="auto"/>
              </w:rPr>
            </w:pPr>
            <w:r>
              <w:rPr>
                <w:rFonts w:ascii="Arial" w:cs="Arial" w:eastAsia="Arial" w:hAnsi="Arial"/>
                <w:sz w:val="18"/>
                <w:szCs w:val="18"/>
                <w:color w:val="303030"/>
                <w:w w:val="88"/>
              </w:rPr>
              <w:t>herewith</w:t>
            </w:r>
          </w:p>
        </w:tc>
        <w:tc>
          <w:tcPr>
            <w:tcW w:w="52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200" w:type="dxa"/>
            <w:vAlign w:val="bottom"/>
            <w:tcBorders>
              <w:top w:val="single" w:sz="8" w:color="303030"/>
              <w:bottom w:val="single" w:sz="8" w:color="FEFEFE"/>
            </w:tcBorders>
            <w:shd w:val="clear" w:color="auto" w:fill="FEFEFE"/>
          </w:tcPr>
          <w:p>
            <w:pPr>
              <w:spacing w:after="0"/>
              <w:rPr>
                <w:sz w:val="18"/>
                <w:szCs w:val="18"/>
                <w:color w:val="auto"/>
              </w:rPr>
            </w:pPr>
          </w:p>
        </w:tc>
        <w:tc>
          <w:tcPr>
            <w:tcW w:w="120" w:type="dxa"/>
            <w:vAlign w:val="bottom"/>
            <w:tcBorders>
              <w:top w:val="single" w:sz="8" w:color="303030"/>
              <w:bottom w:val="single" w:sz="8" w:color="FEFEFE"/>
            </w:tcBorders>
            <w:shd w:val="clear" w:color="auto" w:fill="FEFEFE"/>
          </w:tcPr>
          <w:p>
            <w:pPr>
              <w:spacing w:after="0"/>
              <w:rPr>
                <w:sz w:val="18"/>
                <w:szCs w:val="18"/>
                <w:color w:val="auto"/>
              </w:rPr>
            </w:pPr>
          </w:p>
        </w:tc>
        <w:tc>
          <w:tcPr>
            <w:tcW w:w="360" w:type="dxa"/>
            <w:vAlign w:val="bottom"/>
            <w:tcBorders>
              <w:top w:val="single" w:sz="8" w:color="303030"/>
              <w:bottom w:val="single" w:sz="8" w:color="FEFEFE"/>
            </w:tcBorders>
            <w:shd w:val="clear" w:color="auto" w:fill="FEFEFE"/>
          </w:tcPr>
          <w:p>
            <w:pPr>
              <w:spacing w:after="0"/>
              <w:rPr>
                <w:sz w:val="18"/>
                <w:szCs w:val="18"/>
                <w:color w:val="auto"/>
              </w:rPr>
            </w:pPr>
          </w:p>
        </w:tc>
        <w:tc>
          <w:tcPr>
            <w:tcW w:w="340" w:type="dxa"/>
            <w:vAlign w:val="bottom"/>
            <w:tcBorders>
              <w:top w:val="single" w:sz="8" w:color="303030"/>
              <w:bottom w:val="single" w:sz="8" w:color="FEFEFE"/>
            </w:tcBorders>
            <w:shd w:val="clear" w:color="auto" w:fill="FEFEFE"/>
          </w:tcPr>
          <w:p>
            <w:pPr>
              <w:spacing w:after="0"/>
              <w:rPr>
                <w:sz w:val="18"/>
                <w:szCs w:val="18"/>
                <w:color w:val="auto"/>
              </w:rPr>
            </w:pPr>
          </w:p>
        </w:tc>
        <w:tc>
          <w:tcPr>
            <w:tcW w:w="20" w:type="dxa"/>
            <w:vAlign w:val="bottom"/>
            <w:tcBorders>
              <w:top w:val="single" w:sz="8" w:color="303030"/>
              <w:bottom w:val="single" w:sz="8" w:color="FEFEFE"/>
            </w:tcBorders>
            <w:shd w:val="clear" w:color="auto" w:fill="FEFEFE"/>
          </w:tcPr>
          <w:p>
            <w:pPr>
              <w:spacing w:after="0"/>
              <w:rPr>
                <w:sz w:val="18"/>
                <w:szCs w:val="18"/>
                <w:color w:val="auto"/>
              </w:rPr>
            </w:pPr>
          </w:p>
        </w:tc>
        <w:tc>
          <w:tcPr>
            <w:tcW w:w="60" w:type="dxa"/>
            <w:vAlign w:val="bottom"/>
            <w:tcBorders>
              <w:top w:val="single" w:sz="8" w:color="303030"/>
              <w:bottom w:val="single" w:sz="8" w:color="FEFEFE"/>
            </w:tcBorders>
            <w:shd w:val="clear" w:color="auto" w:fill="FEFEFE"/>
          </w:tcPr>
          <w:p>
            <w:pPr>
              <w:spacing w:after="0"/>
              <w:rPr>
                <w:sz w:val="18"/>
                <w:szCs w:val="18"/>
                <w:color w:val="auto"/>
              </w:rPr>
            </w:pPr>
          </w:p>
        </w:tc>
        <w:tc>
          <w:tcPr>
            <w:tcW w:w="620" w:type="dxa"/>
            <w:vAlign w:val="bottom"/>
            <w:tcBorders>
              <w:top w:val="single" w:sz="8" w:color="303030"/>
              <w:bottom w:val="single" w:sz="8" w:color="FEFEFE"/>
            </w:tcBorders>
            <w:shd w:val="clear" w:color="auto" w:fill="FEFEFE"/>
          </w:tcPr>
          <w:p>
            <w:pPr>
              <w:spacing w:after="0"/>
              <w:rPr>
                <w:sz w:val="18"/>
                <w:szCs w:val="18"/>
                <w:color w:val="auto"/>
              </w:rPr>
            </w:pPr>
          </w:p>
        </w:tc>
        <w:tc>
          <w:tcPr>
            <w:tcW w:w="260" w:type="dxa"/>
            <w:vAlign w:val="bottom"/>
            <w:tcBorders>
              <w:top w:val="single" w:sz="8" w:color="303030"/>
              <w:bottom w:val="single" w:sz="8" w:color="FEFEFE"/>
            </w:tcBorders>
            <w:shd w:val="clear" w:color="auto" w:fill="FEFEFE"/>
          </w:tcPr>
          <w:p>
            <w:pPr>
              <w:spacing w:after="0"/>
              <w:rPr>
                <w:sz w:val="18"/>
                <w:szCs w:val="18"/>
                <w:color w:val="auto"/>
              </w:rPr>
            </w:pPr>
          </w:p>
        </w:tc>
        <w:tc>
          <w:tcPr>
            <w:tcW w:w="580" w:type="dxa"/>
            <w:vAlign w:val="bottom"/>
            <w:tcBorders>
              <w:top w:val="single" w:sz="8" w:color="303030"/>
              <w:bottom w:val="single" w:sz="8" w:color="FEFEFE"/>
            </w:tcBorders>
            <w:shd w:val="clear" w:color="auto" w:fill="FEFEFE"/>
          </w:tcPr>
          <w:p>
            <w:pPr>
              <w:spacing w:after="0"/>
              <w:rPr>
                <w:sz w:val="18"/>
                <w:szCs w:val="18"/>
                <w:color w:val="auto"/>
              </w:rPr>
            </w:pPr>
          </w:p>
        </w:tc>
        <w:tc>
          <w:tcPr>
            <w:tcW w:w="780" w:type="dxa"/>
            <w:vAlign w:val="bottom"/>
            <w:tcBorders>
              <w:top w:val="single" w:sz="8" w:color="303030"/>
              <w:bottom w:val="single" w:sz="8" w:color="FEFEFE"/>
            </w:tcBorders>
            <w:shd w:val="clear" w:color="auto" w:fill="FEFEFE"/>
          </w:tcPr>
          <w:p>
            <w:pPr>
              <w:spacing w:after="0"/>
              <w:rPr>
                <w:sz w:val="18"/>
                <w:szCs w:val="18"/>
                <w:color w:val="auto"/>
              </w:rPr>
            </w:pPr>
          </w:p>
        </w:tc>
        <w:tc>
          <w:tcPr>
            <w:tcW w:w="360" w:type="dxa"/>
            <w:vAlign w:val="bottom"/>
            <w:tcBorders>
              <w:top w:val="single" w:sz="8" w:color="303030"/>
              <w:bottom w:val="single" w:sz="8" w:color="FEFEFE"/>
            </w:tcBorders>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300" w:type="dxa"/>
            <w:vAlign w:val="bottom"/>
            <w:tcBorders>
              <w:top w:val="single" w:sz="8" w:color="303030"/>
              <w:bottom w:val="single" w:sz="8" w:color="FEFEFE"/>
            </w:tcBorders>
            <w:shd w:val="clear" w:color="auto" w:fill="FEFEFE"/>
          </w:tcPr>
          <w:p>
            <w:pPr>
              <w:spacing w:after="0"/>
              <w:rPr>
                <w:sz w:val="18"/>
                <w:szCs w:val="18"/>
                <w:color w:val="auto"/>
              </w:rPr>
            </w:pPr>
          </w:p>
        </w:tc>
        <w:tc>
          <w:tcPr>
            <w:tcW w:w="520" w:type="dxa"/>
            <w:vAlign w:val="bottom"/>
            <w:tcBorders>
              <w:top w:val="single" w:sz="8" w:color="303030"/>
              <w:bottom w:val="single" w:sz="8" w:color="FEFEFE"/>
            </w:tcBorders>
            <w:shd w:val="clear" w:color="auto" w:fill="FEFEFE"/>
          </w:tcPr>
          <w:p>
            <w:pPr>
              <w:spacing w:after="0"/>
              <w:rPr>
                <w:sz w:val="18"/>
                <w:szCs w:val="18"/>
                <w:color w:val="auto"/>
              </w:rPr>
            </w:pPr>
          </w:p>
        </w:tc>
        <w:tc>
          <w:tcPr>
            <w:tcW w:w="18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2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40" w:type="dxa"/>
            <w:vAlign w:val="bottom"/>
            <w:tcBorders>
              <w:top w:val="single" w:sz="8" w:color="FEFEFE"/>
              <w:bottom w:val="single" w:sz="8" w:color="FEFEFE"/>
            </w:tcBorders>
            <w:shd w:val="clear" w:color="auto" w:fill="FEFEFE"/>
          </w:tcPr>
          <w:p>
            <w:pPr>
              <w:spacing w:after="0"/>
              <w:rPr>
                <w:sz w:val="18"/>
                <w:szCs w:val="18"/>
                <w:color w:val="auto"/>
              </w:rPr>
            </w:pPr>
          </w:p>
        </w:tc>
        <w:tc>
          <w:tcPr>
            <w:tcW w:w="140" w:type="dxa"/>
            <w:vAlign w:val="bottom"/>
            <w:tcBorders>
              <w:top w:val="single" w:sz="8" w:color="FEFEFE"/>
              <w:bottom w:val="single" w:sz="8" w:color="FEFEFE"/>
            </w:tcBorders>
            <w:shd w:val="clear" w:color="auto" w:fill="FEFEFE"/>
          </w:tcPr>
          <w:p>
            <w:pPr>
              <w:spacing w:after="0"/>
              <w:rPr>
                <w:sz w:val="18"/>
                <w:szCs w:val="18"/>
                <w:color w:val="auto"/>
              </w:rPr>
            </w:pPr>
          </w:p>
        </w:tc>
        <w:tc>
          <w:tcPr>
            <w:tcW w:w="60" w:type="dxa"/>
            <w:vAlign w:val="bottom"/>
            <w:tcBorders>
              <w:top w:val="single" w:sz="8" w:color="FEFEFE"/>
              <w:bottom w:val="single" w:sz="8" w:color="FEFEFE"/>
            </w:tcBorders>
            <w:shd w:val="clear" w:color="auto" w:fill="FEFEFE"/>
          </w:tcPr>
          <w:p>
            <w:pPr>
              <w:spacing w:after="0"/>
              <w:rPr>
                <w:sz w:val="18"/>
                <w:szCs w:val="18"/>
                <w:color w:val="auto"/>
              </w:rPr>
            </w:pPr>
          </w:p>
        </w:tc>
        <w:tc>
          <w:tcPr>
            <w:tcW w:w="780" w:type="dxa"/>
            <w:vAlign w:val="bottom"/>
            <w:tcBorders>
              <w:top w:val="single" w:sz="8" w:color="FEFEFE"/>
              <w:bottom w:val="single" w:sz="8" w:color="FEFEFE"/>
            </w:tcBorders>
            <w:shd w:val="clear" w:color="auto" w:fill="FEFEFE"/>
          </w:tcPr>
          <w:p>
            <w:pPr>
              <w:spacing w:after="0"/>
              <w:rPr>
                <w:sz w:val="18"/>
                <w:szCs w:val="18"/>
                <w:color w:val="auto"/>
              </w:rPr>
            </w:pPr>
          </w:p>
        </w:tc>
        <w:tc>
          <w:tcPr>
            <w:tcW w:w="720" w:type="dxa"/>
            <w:vAlign w:val="bottom"/>
            <w:tcBorders>
              <w:top w:val="single" w:sz="8" w:color="FEFEFE"/>
              <w:bottom w:val="single" w:sz="8" w:color="FEFEFE"/>
            </w:tcBorders>
            <w:shd w:val="clear" w:color="auto" w:fill="FEFEFE"/>
          </w:tcPr>
          <w:p>
            <w:pPr>
              <w:spacing w:after="0"/>
              <w:rPr>
                <w:sz w:val="18"/>
                <w:szCs w:val="18"/>
                <w:color w:val="auto"/>
              </w:rPr>
            </w:pPr>
          </w:p>
        </w:tc>
        <w:tc>
          <w:tcPr>
            <w:tcW w:w="980" w:type="dxa"/>
            <w:vAlign w:val="bottom"/>
            <w:tcBorders>
              <w:top w:val="single" w:sz="8" w:color="FEFEFE"/>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5"/>
              </w:rPr>
              <w:t>31.1</w:t>
            </w:r>
          </w:p>
        </w:tc>
        <w:tc>
          <w:tcPr>
            <w:tcW w:w="3140" w:type="dxa"/>
            <w:vAlign w:val="bottom"/>
            <w:gridSpan w:val="12"/>
            <w:shd w:val="clear" w:color="auto" w:fill="E4E4E4"/>
          </w:tcPr>
          <w:p>
            <w:pPr>
              <w:spacing w:after="0"/>
              <w:rPr>
                <w:sz w:val="20"/>
                <w:szCs w:val="20"/>
                <w:color w:val="auto"/>
              </w:rPr>
            </w:pPr>
            <w:r>
              <w:rPr>
                <w:rFonts w:ascii="Arial" w:cs="Arial" w:eastAsia="Arial" w:hAnsi="Arial"/>
                <w:sz w:val="18"/>
                <w:szCs w:val="18"/>
                <w:color w:val="303030"/>
                <w:w w:val="93"/>
              </w:rPr>
              <w:t>Certification Statement of Chief Executive</w:t>
            </w:r>
          </w:p>
        </w:tc>
        <w:tc>
          <w:tcPr>
            <w:tcW w:w="3640" w:type="dxa"/>
            <w:vAlign w:val="bottom"/>
            <w:gridSpan w:val="16"/>
            <w:shd w:val="clear" w:color="auto" w:fill="E4E4E4"/>
          </w:tcPr>
          <w:p>
            <w:pPr>
              <w:ind w:left="120"/>
              <w:spacing w:after="0"/>
              <w:rPr>
                <w:sz w:val="20"/>
                <w:szCs w:val="20"/>
                <w:color w:val="auto"/>
              </w:rPr>
            </w:pPr>
            <w:r>
              <w:rPr>
                <w:rFonts w:ascii="Arial" w:cs="Arial" w:eastAsia="Arial" w:hAnsi="Arial"/>
                <w:sz w:val="18"/>
                <w:szCs w:val="18"/>
                <w:color w:val="303030"/>
                <w:w w:val="94"/>
              </w:rPr>
              <w:t>fficer pursuant to Section 302 of the Sarbanes-</w:t>
            </w:r>
          </w:p>
        </w:tc>
        <w:tc>
          <w:tcPr>
            <w:tcW w:w="6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440" w:type="dxa"/>
            <w:vAlign w:val="bottom"/>
            <w:tcBorders>
              <w:top w:val="single" w:sz="8" w:color="303030"/>
            </w:tcBorders>
            <w:gridSpan w:val="9"/>
            <w:shd w:val="clear" w:color="auto" w:fill="E4E4E4"/>
          </w:tcPr>
          <w:p>
            <w:pPr>
              <w:ind w:left="120"/>
              <w:spacing w:after="0" w:line="160" w:lineRule="exact"/>
              <w:rPr>
                <w:sz w:val="20"/>
                <w:szCs w:val="20"/>
                <w:color w:val="auto"/>
              </w:rPr>
            </w:pPr>
            <w:r>
              <w:rPr>
                <w:rFonts w:ascii="Arial" w:cs="Arial" w:eastAsia="Arial" w:hAnsi="Arial"/>
                <w:sz w:val="18"/>
                <w:szCs w:val="18"/>
                <w:color w:val="303030"/>
                <w:w w:val="94"/>
              </w:rPr>
              <w:t>xley Act of 2002, filed herewith</w:t>
            </w:r>
          </w:p>
        </w:tc>
        <w:tc>
          <w:tcPr>
            <w:tcW w:w="60" w:type="dxa"/>
            <w:vAlign w:val="bottom"/>
            <w:tcBorders>
              <w:top w:val="single" w:sz="8" w:color="303030"/>
            </w:tcBorders>
            <w:shd w:val="clear" w:color="auto" w:fill="E4E4E4"/>
          </w:tcPr>
          <w:p>
            <w:pPr>
              <w:spacing w:after="0"/>
              <w:rPr>
                <w:sz w:val="13"/>
                <w:szCs w:val="13"/>
                <w:color w:val="auto"/>
              </w:rPr>
            </w:pPr>
          </w:p>
        </w:tc>
        <w:tc>
          <w:tcPr>
            <w:tcW w:w="620" w:type="dxa"/>
            <w:vAlign w:val="bottom"/>
            <w:tcBorders>
              <w:top w:val="single" w:sz="8" w:color="303030"/>
            </w:tcBorders>
            <w:shd w:val="clear" w:color="auto" w:fill="E4E4E4"/>
          </w:tcPr>
          <w:p>
            <w:pPr>
              <w:spacing w:after="0"/>
              <w:rPr>
                <w:sz w:val="13"/>
                <w:szCs w:val="13"/>
                <w:color w:val="auto"/>
              </w:rPr>
            </w:pPr>
          </w:p>
        </w:tc>
        <w:tc>
          <w:tcPr>
            <w:tcW w:w="260" w:type="dxa"/>
            <w:vAlign w:val="bottom"/>
            <w:tcBorders>
              <w:top w:val="single" w:sz="8" w:color="303030"/>
            </w:tcBorders>
            <w:shd w:val="clear" w:color="auto" w:fill="E4E4E4"/>
          </w:tcPr>
          <w:p>
            <w:pPr>
              <w:spacing w:after="0"/>
              <w:rPr>
                <w:sz w:val="13"/>
                <w:szCs w:val="13"/>
                <w:color w:val="auto"/>
              </w:rPr>
            </w:pPr>
          </w:p>
        </w:tc>
        <w:tc>
          <w:tcPr>
            <w:tcW w:w="580" w:type="dxa"/>
            <w:vAlign w:val="bottom"/>
            <w:tcBorders>
              <w:top w:val="single" w:sz="8" w:color="303030"/>
            </w:tcBorders>
            <w:shd w:val="clear" w:color="auto" w:fill="E4E4E4"/>
          </w:tcPr>
          <w:p>
            <w:pPr>
              <w:spacing w:after="0"/>
              <w:rPr>
                <w:sz w:val="13"/>
                <w:szCs w:val="13"/>
                <w:color w:val="auto"/>
              </w:rPr>
            </w:pPr>
          </w:p>
        </w:tc>
        <w:tc>
          <w:tcPr>
            <w:tcW w:w="780" w:type="dxa"/>
            <w:vAlign w:val="bottom"/>
            <w:tcBorders>
              <w:top w:val="single" w:sz="8" w:color="303030"/>
            </w:tcBorders>
            <w:shd w:val="clear" w:color="auto" w:fill="E4E4E4"/>
          </w:tcPr>
          <w:p>
            <w:pPr>
              <w:spacing w:after="0"/>
              <w:rPr>
                <w:sz w:val="13"/>
                <w:szCs w:val="13"/>
                <w:color w:val="auto"/>
              </w:rPr>
            </w:pPr>
          </w:p>
        </w:tc>
        <w:tc>
          <w:tcPr>
            <w:tcW w:w="36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5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780" w:type="dxa"/>
            <w:vAlign w:val="bottom"/>
            <w:tcBorders>
              <w:top w:val="single" w:sz="8" w:color="E4E4E4"/>
            </w:tcBorders>
            <w:shd w:val="clear" w:color="auto" w:fill="E4E4E4"/>
          </w:tcPr>
          <w:p>
            <w:pPr>
              <w:spacing w:after="0"/>
              <w:rPr>
                <w:sz w:val="13"/>
                <w:szCs w:val="13"/>
                <w:color w:val="auto"/>
              </w:rPr>
            </w:pPr>
          </w:p>
        </w:tc>
        <w:tc>
          <w:tcPr>
            <w:tcW w:w="72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520" w:type="dxa"/>
            <w:vAlign w:val="bottom"/>
            <w:tcBorders>
              <w:top w:val="single" w:sz="8" w:color="303030"/>
            </w:tcBorders>
            <w:shd w:val="clear" w:color="auto" w:fill="E4E4E4"/>
          </w:tcPr>
          <w:p>
            <w:pPr>
              <w:spacing w:after="0"/>
              <w:rPr>
                <w:sz w:val="4"/>
                <w:szCs w:val="4"/>
                <w:color w:val="auto"/>
              </w:rPr>
            </w:pPr>
          </w:p>
        </w:tc>
        <w:tc>
          <w:tcPr>
            <w:tcW w:w="2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120" w:type="dxa"/>
            <w:vAlign w:val="bottom"/>
            <w:tcBorders>
              <w:top w:val="single" w:sz="8" w:color="303030"/>
            </w:tcBorders>
            <w:shd w:val="clear" w:color="auto" w:fill="E4E4E4"/>
          </w:tcPr>
          <w:p>
            <w:pPr>
              <w:spacing w:after="0"/>
              <w:rPr>
                <w:sz w:val="4"/>
                <w:szCs w:val="4"/>
                <w:color w:val="auto"/>
              </w:rPr>
            </w:pPr>
          </w:p>
        </w:tc>
        <w:tc>
          <w:tcPr>
            <w:tcW w:w="360" w:type="dxa"/>
            <w:vAlign w:val="bottom"/>
            <w:tcBorders>
              <w:top w:val="single" w:sz="8" w:color="303030"/>
            </w:tcBorders>
            <w:shd w:val="clear" w:color="auto" w:fill="E4E4E4"/>
          </w:tcPr>
          <w:p>
            <w:pPr>
              <w:spacing w:after="0"/>
              <w:rPr>
                <w:sz w:val="4"/>
                <w:szCs w:val="4"/>
                <w:color w:val="auto"/>
              </w:rPr>
            </w:pPr>
          </w:p>
        </w:tc>
        <w:tc>
          <w:tcPr>
            <w:tcW w:w="340" w:type="dxa"/>
            <w:vAlign w:val="bottom"/>
            <w:tcBorders>
              <w:top w:val="single" w:sz="8" w:color="303030"/>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2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58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520" w:type="dxa"/>
            <w:vAlign w:val="bottom"/>
            <w:tcBorders>
              <w:top w:val="single" w:sz="8" w:color="E4E4E4"/>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72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5"/>
              </w:rPr>
              <w:t>31.2</w:t>
            </w:r>
          </w:p>
        </w:tc>
        <w:tc>
          <w:tcPr>
            <w:tcW w:w="3140" w:type="dxa"/>
            <w:vAlign w:val="bottom"/>
            <w:gridSpan w:val="12"/>
            <w:shd w:val="clear" w:color="auto" w:fill="FEFEFE"/>
          </w:tcPr>
          <w:p>
            <w:pPr>
              <w:spacing w:after="0"/>
              <w:rPr>
                <w:sz w:val="20"/>
                <w:szCs w:val="20"/>
                <w:color w:val="auto"/>
              </w:rPr>
            </w:pPr>
            <w:r>
              <w:rPr>
                <w:rFonts w:ascii="Arial" w:cs="Arial" w:eastAsia="Arial" w:hAnsi="Arial"/>
                <w:sz w:val="18"/>
                <w:szCs w:val="18"/>
                <w:color w:val="303030"/>
                <w:w w:val="95"/>
              </w:rPr>
              <w:t>Certification Statement of Chief Financial</w:t>
            </w:r>
          </w:p>
        </w:tc>
        <w:tc>
          <w:tcPr>
            <w:tcW w:w="3640" w:type="dxa"/>
            <w:vAlign w:val="bottom"/>
            <w:gridSpan w:val="16"/>
            <w:shd w:val="clear" w:color="auto" w:fill="FEFEFE"/>
          </w:tcPr>
          <w:p>
            <w:pPr>
              <w:ind w:left="60"/>
              <w:spacing w:after="0"/>
              <w:rPr>
                <w:sz w:val="20"/>
                <w:szCs w:val="20"/>
                <w:color w:val="auto"/>
              </w:rPr>
            </w:pPr>
            <w:r>
              <w:rPr>
                <w:rFonts w:ascii="Arial" w:cs="Arial" w:eastAsia="Arial" w:hAnsi="Arial"/>
                <w:sz w:val="18"/>
                <w:szCs w:val="18"/>
                <w:color w:val="303030"/>
                <w:w w:val="95"/>
              </w:rPr>
              <w:t>fficer pursuant to Section 302 of the Sarbanes-</w:t>
            </w:r>
          </w:p>
        </w:tc>
        <w:tc>
          <w:tcPr>
            <w:tcW w:w="60" w:type="dxa"/>
            <w:vAlign w:val="bottom"/>
            <w:shd w:val="clear" w:color="auto" w:fill="FEFEFE"/>
          </w:tcPr>
          <w:p>
            <w:pPr>
              <w:spacing w:after="0"/>
              <w:rPr>
                <w:sz w:val="18"/>
                <w:szCs w:val="18"/>
                <w:color w:val="auto"/>
              </w:rPr>
            </w:pPr>
          </w:p>
        </w:tc>
        <w:tc>
          <w:tcPr>
            <w:tcW w:w="780" w:type="dxa"/>
            <w:vAlign w:val="bottom"/>
            <w:shd w:val="clear" w:color="auto" w:fill="FEFEFE"/>
          </w:tcPr>
          <w:p>
            <w:pPr>
              <w:spacing w:after="0"/>
              <w:rPr>
                <w:sz w:val="18"/>
                <w:szCs w:val="18"/>
                <w:color w:val="auto"/>
              </w:rPr>
            </w:pPr>
          </w:p>
        </w:tc>
        <w:tc>
          <w:tcPr>
            <w:tcW w:w="72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440" w:type="dxa"/>
            <w:vAlign w:val="bottom"/>
            <w:tcBorders>
              <w:top w:val="single" w:sz="8" w:color="303030"/>
            </w:tcBorders>
            <w:gridSpan w:val="9"/>
            <w:shd w:val="clear" w:color="auto" w:fill="FEFEFE"/>
          </w:tcPr>
          <w:p>
            <w:pPr>
              <w:ind w:left="120"/>
              <w:spacing w:after="0" w:line="160" w:lineRule="exact"/>
              <w:rPr>
                <w:sz w:val="20"/>
                <w:szCs w:val="20"/>
                <w:color w:val="auto"/>
              </w:rPr>
            </w:pPr>
            <w:r>
              <w:rPr>
                <w:rFonts w:ascii="Arial" w:cs="Arial" w:eastAsia="Arial" w:hAnsi="Arial"/>
                <w:sz w:val="18"/>
                <w:szCs w:val="18"/>
                <w:color w:val="303030"/>
                <w:w w:val="94"/>
              </w:rPr>
              <w:t>xley Act of 2002, filed herewith</w:t>
            </w:r>
          </w:p>
        </w:tc>
        <w:tc>
          <w:tcPr>
            <w:tcW w:w="60" w:type="dxa"/>
            <w:vAlign w:val="bottom"/>
            <w:tcBorders>
              <w:top w:val="single" w:sz="8" w:color="303030"/>
            </w:tcBorders>
            <w:shd w:val="clear" w:color="auto" w:fill="FEFEFE"/>
          </w:tcPr>
          <w:p>
            <w:pPr>
              <w:spacing w:after="0"/>
              <w:rPr>
                <w:sz w:val="13"/>
                <w:szCs w:val="13"/>
                <w:color w:val="auto"/>
              </w:rPr>
            </w:pPr>
          </w:p>
        </w:tc>
        <w:tc>
          <w:tcPr>
            <w:tcW w:w="620" w:type="dxa"/>
            <w:vAlign w:val="bottom"/>
            <w:tcBorders>
              <w:top w:val="single" w:sz="8" w:color="303030"/>
            </w:tcBorders>
            <w:shd w:val="clear" w:color="auto" w:fill="FEFEFE"/>
          </w:tcPr>
          <w:p>
            <w:pPr>
              <w:spacing w:after="0"/>
              <w:rPr>
                <w:sz w:val="13"/>
                <w:szCs w:val="13"/>
                <w:color w:val="auto"/>
              </w:rPr>
            </w:pPr>
          </w:p>
        </w:tc>
        <w:tc>
          <w:tcPr>
            <w:tcW w:w="260" w:type="dxa"/>
            <w:vAlign w:val="bottom"/>
            <w:tcBorders>
              <w:top w:val="single" w:sz="8" w:color="303030"/>
            </w:tcBorders>
            <w:shd w:val="clear" w:color="auto" w:fill="FEFEFE"/>
          </w:tcPr>
          <w:p>
            <w:pPr>
              <w:spacing w:after="0"/>
              <w:rPr>
                <w:sz w:val="13"/>
                <w:szCs w:val="13"/>
                <w:color w:val="auto"/>
              </w:rPr>
            </w:pPr>
          </w:p>
        </w:tc>
        <w:tc>
          <w:tcPr>
            <w:tcW w:w="580" w:type="dxa"/>
            <w:vAlign w:val="bottom"/>
            <w:tcBorders>
              <w:top w:val="single" w:sz="8" w:color="303030"/>
            </w:tcBorders>
            <w:shd w:val="clear" w:color="auto" w:fill="FEFEFE"/>
          </w:tcPr>
          <w:p>
            <w:pPr>
              <w:spacing w:after="0"/>
              <w:rPr>
                <w:sz w:val="13"/>
                <w:szCs w:val="13"/>
                <w:color w:val="auto"/>
              </w:rPr>
            </w:pPr>
          </w:p>
        </w:tc>
        <w:tc>
          <w:tcPr>
            <w:tcW w:w="780" w:type="dxa"/>
            <w:vAlign w:val="bottom"/>
            <w:tcBorders>
              <w:top w:val="single" w:sz="8" w:color="303030"/>
            </w:tcBorders>
            <w:shd w:val="clear" w:color="auto" w:fill="FEFEFE"/>
          </w:tcPr>
          <w:p>
            <w:pPr>
              <w:spacing w:after="0"/>
              <w:rPr>
                <w:sz w:val="13"/>
                <w:szCs w:val="13"/>
                <w:color w:val="auto"/>
              </w:rPr>
            </w:pPr>
          </w:p>
        </w:tc>
        <w:tc>
          <w:tcPr>
            <w:tcW w:w="36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300" w:type="dxa"/>
            <w:vAlign w:val="bottom"/>
            <w:tcBorders>
              <w:top w:val="single" w:sz="8" w:color="303030"/>
            </w:tcBorders>
            <w:shd w:val="clear" w:color="auto" w:fill="FEFEFE"/>
          </w:tcPr>
          <w:p>
            <w:pPr>
              <w:spacing w:after="0"/>
              <w:rPr>
                <w:sz w:val="13"/>
                <w:szCs w:val="13"/>
                <w:color w:val="auto"/>
              </w:rPr>
            </w:pPr>
          </w:p>
        </w:tc>
        <w:tc>
          <w:tcPr>
            <w:tcW w:w="520" w:type="dxa"/>
            <w:vAlign w:val="bottom"/>
            <w:tcBorders>
              <w:top w:val="single" w:sz="8" w:color="303030"/>
            </w:tcBorders>
            <w:shd w:val="clear" w:color="auto" w:fill="FEFEFE"/>
          </w:tcPr>
          <w:p>
            <w:pPr>
              <w:spacing w:after="0"/>
              <w:rPr>
                <w:sz w:val="13"/>
                <w:szCs w:val="13"/>
                <w:color w:val="auto"/>
              </w:rPr>
            </w:pPr>
          </w:p>
        </w:tc>
        <w:tc>
          <w:tcPr>
            <w:tcW w:w="18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6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20" w:type="dxa"/>
            <w:vAlign w:val="bottom"/>
            <w:tcBorders>
              <w:top w:val="single" w:sz="8" w:color="303030"/>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1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780" w:type="dxa"/>
            <w:vAlign w:val="bottom"/>
            <w:tcBorders>
              <w:top w:val="single" w:sz="8" w:color="FEFEFE"/>
            </w:tcBorders>
            <w:shd w:val="clear" w:color="auto" w:fill="FEFEFE"/>
          </w:tcPr>
          <w:p>
            <w:pPr>
              <w:spacing w:after="0"/>
              <w:rPr>
                <w:sz w:val="13"/>
                <w:szCs w:val="13"/>
                <w:color w:val="auto"/>
              </w:rPr>
            </w:pPr>
          </w:p>
        </w:tc>
        <w:tc>
          <w:tcPr>
            <w:tcW w:w="720" w:type="dxa"/>
            <w:vAlign w:val="bottom"/>
            <w:tcBorders>
              <w:top w:val="single" w:sz="8" w:color="FEFEFE"/>
            </w:tcBorders>
            <w:shd w:val="clear" w:color="auto" w:fill="FEFEFE"/>
          </w:tcPr>
          <w:p>
            <w:pPr>
              <w:spacing w:after="0"/>
              <w:rPr>
                <w:sz w:val="13"/>
                <w:szCs w:val="13"/>
                <w:color w:val="auto"/>
              </w:rPr>
            </w:pPr>
          </w:p>
        </w:tc>
        <w:tc>
          <w:tcPr>
            <w:tcW w:w="9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60" w:type="dxa"/>
            <w:vAlign w:val="bottom"/>
            <w:tcBorders>
              <w:top w:val="single" w:sz="8" w:color="303030"/>
            </w:tcBorders>
            <w:shd w:val="clear" w:color="auto" w:fill="FEFEFE"/>
          </w:tcPr>
          <w:p>
            <w:pPr>
              <w:spacing w:after="0"/>
              <w:rPr>
                <w:sz w:val="4"/>
                <w:szCs w:val="4"/>
                <w:color w:val="auto"/>
              </w:rPr>
            </w:pPr>
          </w:p>
        </w:tc>
        <w:tc>
          <w:tcPr>
            <w:tcW w:w="460" w:type="dxa"/>
            <w:vAlign w:val="bottom"/>
            <w:tcBorders>
              <w:top w:val="single" w:sz="8" w:color="303030"/>
            </w:tcBorders>
            <w:shd w:val="clear" w:color="auto" w:fill="FEFEFE"/>
          </w:tcPr>
          <w:p>
            <w:pPr>
              <w:spacing w:after="0"/>
              <w:rPr>
                <w:sz w:val="4"/>
                <w:szCs w:val="4"/>
                <w:color w:val="auto"/>
              </w:rPr>
            </w:pPr>
          </w:p>
        </w:tc>
        <w:tc>
          <w:tcPr>
            <w:tcW w:w="520" w:type="dxa"/>
            <w:vAlign w:val="bottom"/>
            <w:tcBorders>
              <w:top w:val="single" w:sz="8" w:color="303030"/>
            </w:tcBorders>
            <w:shd w:val="clear" w:color="auto" w:fill="FEFEFE"/>
          </w:tcPr>
          <w:p>
            <w:pPr>
              <w:spacing w:after="0"/>
              <w:rPr>
                <w:sz w:val="4"/>
                <w:szCs w:val="4"/>
                <w:color w:val="auto"/>
              </w:rPr>
            </w:pPr>
          </w:p>
        </w:tc>
        <w:tc>
          <w:tcPr>
            <w:tcW w:w="260" w:type="dxa"/>
            <w:vAlign w:val="bottom"/>
            <w:tcBorders>
              <w:top w:val="single" w:sz="8" w:color="303030"/>
            </w:tcBorders>
            <w:shd w:val="clear" w:color="auto" w:fill="FEFEFE"/>
          </w:tcPr>
          <w:p>
            <w:pPr>
              <w:spacing w:after="0"/>
              <w:rPr>
                <w:sz w:val="4"/>
                <w:szCs w:val="4"/>
                <w:color w:val="auto"/>
              </w:rPr>
            </w:pPr>
          </w:p>
        </w:tc>
        <w:tc>
          <w:tcPr>
            <w:tcW w:w="200" w:type="dxa"/>
            <w:vAlign w:val="bottom"/>
            <w:tcBorders>
              <w:top w:val="single" w:sz="8" w:color="303030"/>
            </w:tcBorders>
            <w:shd w:val="clear" w:color="auto" w:fill="FEFEFE"/>
          </w:tcPr>
          <w:p>
            <w:pPr>
              <w:spacing w:after="0"/>
              <w:rPr>
                <w:sz w:val="4"/>
                <w:szCs w:val="4"/>
                <w:color w:val="auto"/>
              </w:rPr>
            </w:pPr>
          </w:p>
        </w:tc>
        <w:tc>
          <w:tcPr>
            <w:tcW w:w="120" w:type="dxa"/>
            <w:vAlign w:val="bottom"/>
            <w:tcBorders>
              <w:top w:val="single" w:sz="8" w:color="303030"/>
            </w:tcBorders>
            <w:shd w:val="clear" w:color="auto" w:fill="FEFEFE"/>
          </w:tcPr>
          <w:p>
            <w:pPr>
              <w:spacing w:after="0"/>
              <w:rPr>
                <w:sz w:val="4"/>
                <w:szCs w:val="4"/>
                <w:color w:val="auto"/>
              </w:rPr>
            </w:pPr>
          </w:p>
        </w:tc>
        <w:tc>
          <w:tcPr>
            <w:tcW w:w="360" w:type="dxa"/>
            <w:vAlign w:val="bottom"/>
            <w:tcBorders>
              <w:top w:val="single" w:sz="8" w:color="303030"/>
            </w:tcBorders>
            <w:shd w:val="clear" w:color="auto" w:fill="FEFEFE"/>
          </w:tcPr>
          <w:p>
            <w:pPr>
              <w:spacing w:after="0"/>
              <w:rPr>
                <w:sz w:val="4"/>
                <w:szCs w:val="4"/>
                <w:color w:val="auto"/>
              </w:rPr>
            </w:pPr>
          </w:p>
        </w:tc>
        <w:tc>
          <w:tcPr>
            <w:tcW w:w="340" w:type="dxa"/>
            <w:vAlign w:val="bottom"/>
            <w:tcBorders>
              <w:top w:val="single" w:sz="8" w:color="303030"/>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20" w:type="dxa"/>
            <w:vAlign w:val="bottom"/>
            <w:tcBorders>
              <w:top w:val="single" w:sz="8" w:color="FEFEFE"/>
            </w:tcBorders>
            <w:shd w:val="clear" w:color="auto" w:fill="FEFEFE"/>
          </w:tcPr>
          <w:p>
            <w:pPr>
              <w:spacing w:after="0"/>
              <w:rPr>
                <w:sz w:val="4"/>
                <w:szCs w:val="4"/>
                <w:color w:val="auto"/>
              </w:rPr>
            </w:pPr>
          </w:p>
        </w:tc>
        <w:tc>
          <w:tcPr>
            <w:tcW w:w="260" w:type="dxa"/>
            <w:vAlign w:val="bottom"/>
            <w:tcBorders>
              <w:top w:val="single" w:sz="8" w:color="FEFEFE"/>
            </w:tcBorders>
            <w:shd w:val="clear" w:color="auto" w:fill="FEFEFE"/>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36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5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780" w:type="dxa"/>
            <w:vAlign w:val="bottom"/>
            <w:tcBorders>
              <w:top w:val="single" w:sz="8" w:color="FEFEFE"/>
            </w:tcBorders>
            <w:shd w:val="clear" w:color="auto" w:fill="FEFEFE"/>
          </w:tcPr>
          <w:p>
            <w:pPr>
              <w:spacing w:after="0"/>
              <w:rPr>
                <w:sz w:val="4"/>
                <w:szCs w:val="4"/>
                <w:color w:val="auto"/>
              </w:rPr>
            </w:pPr>
          </w:p>
        </w:tc>
        <w:tc>
          <w:tcPr>
            <w:tcW w:w="720" w:type="dxa"/>
            <w:vAlign w:val="bottom"/>
            <w:tcBorders>
              <w:top w:val="single" w:sz="8" w:color="FEFEFE"/>
            </w:tcBorders>
            <w:shd w:val="clear" w:color="auto" w:fill="FEFEFE"/>
          </w:tcPr>
          <w:p>
            <w:pPr>
              <w:spacing w:after="0"/>
              <w:rPr>
                <w:sz w:val="4"/>
                <w:szCs w:val="4"/>
                <w:color w:val="auto"/>
              </w:rPr>
            </w:pPr>
          </w:p>
        </w:tc>
        <w:tc>
          <w:tcPr>
            <w:tcW w:w="98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4E4E4"/>
          </w:tcPr>
          <w:p>
            <w:pPr>
              <w:jc w:val="center"/>
              <w:spacing w:after="0"/>
              <w:rPr>
                <w:sz w:val="20"/>
                <w:szCs w:val="20"/>
                <w:color w:val="auto"/>
              </w:rPr>
            </w:pPr>
            <w:r>
              <w:rPr>
                <w:rFonts w:ascii="Arial" w:cs="Arial" w:eastAsia="Arial" w:hAnsi="Arial"/>
                <w:sz w:val="18"/>
                <w:szCs w:val="18"/>
                <w:color w:val="auto"/>
                <w:w w:val="85"/>
              </w:rPr>
              <w:t>32.1</w:t>
            </w:r>
          </w:p>
        </w:tc>
        <w:tc>
          <w:tcPr>
            <w:tcW w:w="3140" w:type="dxa"/>
            <w:vAlign w:val="bottom"/>
            <w:gridSpan w:val="12"/>
            <w:shd w:val="clear" w:color="auto" w:fill="E4E4E4"/>
          </w:tcPr>
          <w:p>
            <w:pPr>
              <w:spacing w:after="0"/>
              <w:rPr>
                <w:sz w:val="20"/>
                <w:szCs w:val="20"/>
                <w:color w:val="auto"/>
              </w:rPr>
            </w:pPr>
            <w:r>
              <w:rPr>
                <w:rFonts w:ascii="Arial" w:cs="Arial" w:eastAsia="Arial" w:hAnsi="Arial"/>
                <w:sz w:val="18"/>
                <w:szCs w:val="18"/>
                <w:color w:val="303030"/>
                <w:w w:val="93"/>
              </w:rPr>
              <w:t>Certification Statement of Chief Executive</w:t>
            </w:r>
          </w:p>
        </w:tc>
        <w:tc>
          <w:tcPr>
            <w:tcW w:w="1980" w:type="dxa"/>
            <w:vAlign w:val="bottom"/>
            <w:gridSpan w:val="4"/>
            <w:shd w:val="clear" w:color="auto" w:fill="E4E4E4"/>
          </w:tcPr>
          <w:p>
            <w:pPr>
              <w:ind w:left="120"/>
              <w:spacing w:after="0"/>
              <w:rPr>
                <w:sz w:val="20"/>
                <w:szCs w:val="20"/>
                <w:color w:val="auto"/>
              </w:rPr>
            </w:pPr>
            <w:r>
              <w:rPr>
                <w:rFonts w:ascii="Arial" w:cs="Arial" w:eastAsia="Arial" w:hAnsi="Arial"/>
                <w:sz w:val="18"/>
                <w:szCs w:val="18"/>
                <w:color w:val="303030"/>
                <w:w w:val="92"/>
              </w:rPr>
              <w:t>fficer pursuant to Section</w:t>
            </w:r>
          </w:p>
        </w:tc>
        <w:tc>
          <w:tcPr>
            <w:tcW w:w="1660" w:type="dxa"/>
            <w:vAlign w:val="bottom"/>
            <w:gridSpan w:val="12"/>
            <w:shd w:val="clear" w:color="auto" w:fill="E4E4E4"/>
          </w:tcPr>
          <w:p>
            <w:pPr>
              <w:jc w:val="right"/>
              <w:ind w:right="160"/>
              <w:spacing w:after="0"/>
              <w:rPr>
                <w:sz w:val="20"/>
                <w:szCs w:val="20"/>
                <w:color w:val="auto"/>
              </w:rPr>
            </w:pPr>
            <w:r>
              <w:rPr>
                <w:rFonts w:ascii="Arial" w:cs="Arial" w:eastAsia="Arial" w:hAnsi="Arial"/>
                <w:sz w:val="18"/>
                <w:szCs w:val="18"/>
                <w:color w:val="303030"/>
                <w:w w:val="93"/>
              </w:rPr>
              <w:t>06 of the Sarbanes-</w:t>
            </w:r>
          </w:p>
        </w:tc>
        <w:tc>
          <w:tcPr>
            <w:tcW w:w="6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E4E4E4"/>
            </w:tcBorders>
            <w:shd w:val="clear" w:color="auto" w:fill="E4E4E4"/>
          </w:tcPr>
          <w:p>
            <w:pPr>
              <w:spacing w:after="0"/>
              <w:rPr>
                <w:sz w:val="13"/>
                <w:szCs w:val="13"/>
                <w:color w:val="auto"/>
              </w:rPr>
            </w:pPr>
          </w:p>
        </w:tc>
        <w:tc>
          <w:tcPr>
            <w:tcW w:w="2440" w:type="dxa"/>
            <w:vAlign w:val="bottom"/>
            <w:tcBorders>
              <w:top w:val="single" w:sz="8" w:color="303030"/>
            </w:tcBorders>
            <w:gridSpan w:val="9"/>
            <w:shd w:val="clear" w:color="auto" w:fill="E4E4E4"/>
          </w:tcPr>
          <w:p>
            <w:pPr>
              <w:ind w:left="120"/>
              <w:spacing w:after="0" w:line="160" w:lineRule="exact"/>
              <w:rPr>
                <w:sz w:val="20"/>
                <w:szCs w:val="20"/>
                <w:color w:val="auto"/>
              </w:rPr>
            </w:pPr>
            <w:r>
              <w:rPr>
                <w:rFonts w:ascii="Arial" w:cs="Arial" w:eastAsia="Arial" w:hAnsi="Arial"/>
                <w:sz w:val="18"/>
                <w:szCs w:val="18"/>
                <w:color w:val="303030"/>
                <w:w w:val="94"/>
              </w:rPr>
              <w:t>xley Act of 2002, filed herewith</w:t>
            </w:r>
          </w:p>
        </w:tc>
        <w:tc>
          <w:tcPr>
            <w:tcW w:w="60" w:type="dxa"/>
            <w:vAlign w:val="bottom"/>
            <w:tcBorders>
              <w:top w:val="single" w:sz="8" w:color="303030"/>
            </w:tcBorders>
            <w:shd w:val="clear" w:color="auto" w:fill="E4E4E4"/>
          </w:tcPr>
          <w:p>
            <w:pPr>
              <w:spacing w:after="0"/>
              <w:rPr>
                <w:sz w:val="13"/>
                <w:szCs w:val="13"/>
                <w:color w:val="auto"/>
              </w:rPr>
            </w:pPr>
          </w:p>
        </w:tc>
        <w:tc>
          <w:tcPr>
            <w:tcW w:w="620" w:type="dxa"/>
            <w:vAlign w:val="bottom"/>
            <w:tcBorders>
              <w:top w:val="single" w:sz="8" w:color="303030"/>
            </w:tcBorders>
            <w:shd w:val="clear" w:color="auto" w:fill="E4E4E4"/>
          </w:tcPr>
          <w:p>
            <w:pPr>
              <w:spacing w:after="0"/>
              <w:rPr>
                <w:sz w:val="13"/>
                <w:szCs w:val="13"/>
                <w:color w:val="auto"/>
              </w:rPr>
            </w:pPr>
          </w:p>
        </w:tc>
        <w:tc>
          <w:tcPr>
            <w:tcW w:w="260" w:type="dxa"/>
            <w:vAlign w:val="bottom"/>
            <w:tcBorders>
              <w:top w:val="single" w:sz="8" w:color="303030"/>
            </w:tcBorders>
            <w:shd w:val="clear" w:color="auto" w:fill="E4E4E4"/>
          </w:tcPr>
          <w:p>
            <w:pPr>
              <w:spacing w:after="0"/>
              <w:rPr>
                <w:sz w:val="13"/>
                <w:szCs w:val="13"/>
                <w:color w:val="auto"/>
              </w:rPr>
            </w:pPr>
          </w:p>
        </w:tc>
        <w:tc>
          <w:tcPr>
            <w:tcW w:w="580" w:type="dxa"/>
            <w:vAlign w:val="bottom"/>
            <w:tcBorders>
              <w:top w:val="single" w:sz="8" w:color="303030"/>
            </w:tcBorders>
            <w:shd w:val="clear" w:color="auto" w:fill="E4E4E4"/>
          </w:tcPr>
          <w:p>
            <w:pPr>
              <w:spacing w:after="0"/>
              <w:rPr>
                <w:sz w:val="13"/>
                <w:szCs w:val="13"/>
                <w:color w:val="auto"/>
              </w:rPr>
            </w:pPr>
          </w:p>
        </w:tc>
        <w:tc>
          <w:tcPr>
            <w:tcW w:w="780" w:type="dxa"/>
            <w:vAlign w:val="bottom"/>
            <w:tcBorders>
              <w:top w:val="single" w:sz="8" w:color="303030"/>
            </w:tcBorders>
            <w:shd w:val="clear" w:color="auto" w:fill="E4E4E4"/>
          </w:tcPr>
          <w:p>
            <w:pPr>
              <w:spacing w:after="0"/>
              <w:rPr>
                <w:sz w:val="13"/>
                <w:szCs w:val="13"/>
                <w:color w:val="auto"/>
              </w:rPr>
            </w:pPr>
          </w:p>
        </w:tc>
        <w:tc>
          <w:tcPr>
            <w:tcW w:w="36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300" w:type="dxa"/>
            <w:vAlign w:val="bottom"/>
            <w:tcBorders>
              <w:top w:val="single" w:sz="8" w:color="303030"/>
            </w:tcBorders>
            <w:shd w:val="clear" w:color="auto" w:fill="E4E4E4"/>
          </w:tcPr>
          <w:p>
            <w:pPr>
              <w:spacing w:after="0"/>
              <w:rPr>
                <w:sz w:val="13"/>
                <w:szCs w:val="13"/>
                <w:color w:val="auto"/>
              </w:rPr>
            </w:pPr>
          </w:p>
        </w:tc>
        <w:tc>
          <w:tcPr>
            <w:tcW w:w="520" w:type="dxa"/>
            <w:vAlign w:val="bottom"/>
            <w:tcBorders>
              <w:top w:val="single" w:sz="8" w:color="303030"/>
            </w:tcBorders>
            <w:shd w:val="clear" w:color="auto" w:fill="E4E4E4"/>
          </w:tcPr>
          <w:p>
            <w:pPr>
              <w:spacing w:after="0"/>
              <w:rPr>
                <w:sz w:val="13"/>
                <w:szCs w:val="13"/>
                <w:color w:val="auto"/>
              </w:rPr>
            </w:pPr>
          </w:p>
        </w:tc>
        <w:tc>
          <w:tcPr>
            <w:tcW w:w="18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6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2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303030"/>
            </w:tcBorders>
            <w:shd w:val="clear" w:color="auto" w:fill="E4E4E4"/>
          </w:tcPr>
          <w:p>
            <w:pPr>
              <w:spacing w:after="0"/>
              <w:rPr>
                <w:sz w:val="13"/>
                <w:szCs w:val="13"/>
                <w:color w:val="auto"/>
              </w:rPr>
            </w:pPr>
          </w:p>
        </w:tc>
        <w:tc>
          <w:tcPr>
            <w:tcW w:w="40" w:type="dxa"/>
            <w:vAlign w:val="bottom"/>
            <w:tcBorders>
              <w:top w:val="single" w:sz="8" w:color="E4E4E4"/>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60" w:type="dxa"/>
            <w:vAlign w:val="bottom"/>
            <w:tcBorders>
              <w:top w:val="single" w:sz="8" w:color="E4E4E4"/>
            </w:tcBorders>
            <w:shd w:val="clear" w:color="auto" w:fill="E4E4E4"/>
          </w:tcPr>
          <w:p>
            <w:pPr>
              <w:spacing w:after="0"/>
              <w:rPr>
                <w:sz w:val="13"/>
                <w:szCs w:val="13"/>
                <w:color w:val="auto"/>
              </w:rPr>
            </w:pPr>
          </w:p>
        </w:tc>
        <w:tc>
          <w:tcPr>
            <w:tcW w:w="780" w:type="dxa"/>
            <w:vAlign w:val="bottom"/>
            <w:tcBorders>
              <w:top w:val="single" w:sz="8" w:color="E4E4E4"/>
            </w:tcBorders>
            <w:shd w:val="clear" w:color="auto" w:fill="E4E4E4"/>
          </w:tcPr>
          <w:p>
            <w:pPr>
              <w:spacing w:after="0"/>
              <w:rPr>
                <w:sz w:val="13"/>
                <w:szCs w:val="13"/>
                <w:color w:val="auto"/>
              </w:rPr>
            </w:pPr>
          </w:p>
        </w:tc>
        <w:tc>
          <w:tcPr>
            <w:tcW w:w="720" w:type="dxa"/>
            <w:vAlign w:val="bottom"/>
            <w:tcBorders>
              <w:top w:val="single" w:sz="8" w:color="E4E4E4"/>
            </w:tcBorders>
            <w:shd w:val="clear" w:color="auto" w:fill="E4E4E4"/>
          </w:tcPr>
          <w:p>
            <w:pPr>
              <w:spacing w:after="0"/>
              <w:rPr>
                <w:sz w:val="13"/>
                <w:szCs w:val="13"/>
                <w:color w:val="auto"/>
              </w:rPr>
            </w:pPr>
          </w:p>
        </w:tc>
        <w:tc>
          <w:tcPr>
            <w:tcW w:w="980" w:type="dxa"/>
            <w:vAlign w:val="bottom"/>
            <w:tcBorders>
              <w:top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520" w:type="dxa"/>
            <w:vAlign w:val="bottom"/>
            <w:tcBorders>
              <w:top w:val="single" w:sz="8" w:color="303030"/>
            </w:tcBorders>
            <w:shd w:val="clear" w:color="auto" w:fill="E4E4E4"/>
          </w:tcPr>
          <w:p>
            <w:pPr>
              <w:spacing w:after="0"/>
              <w:rPr>
                <w:sz w:val="4"/>
                <w:szCs w:val="4"/>
                <w:color w:val="auto"/>
              </w:rPr>
            </w:pPr>
          </w:p>
        </w:tc>
        <w:tc>
          <w:tcPr>
            <w:tcW w:w="2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303030"/>
            </w:tcBorders>
            <w:shd w:val="clear" w:color="auto" w:fill="E4E4E4"/>
          </w:tcPr>
          <w:p>
            <w:pPr>
              <w:spacing w:after="0"/>
              <w:rPr>
                <w:sz w:val="4"/>
                <w:szCs w:val="4"/>
                <w:color w:val="auto"/>
              </w:rPr>
            </w:pPr>
          </w:p>
        </w:tc>
        <w:tc>
          <w:tcPr>
            <w:tcW w:w="120" w:type="dxa"/>
            <w:vAlign w:val="bottom"/>
            <w:tcBorders>
              <w:top w:val="single" w:sz="8" w:color="303030"/>
            </w:tcBorders>
            <w:shd w:val="clear" w:color="auto" w:fill="E4E4E4"/>
          </w:tcPr>
          <w:p>
            <w:pPr>
              <w:spacing w:after="0"/>
              <w:rPr>
                <w:sz w:val="4"/>
                <w:szCs w:val="4"/>
                <w:color w:val="auto"/>
              </w:rPr>
            </w:pPr>
          </w:p>
        </w:tc>
        <w:tc>
          <w:tcPr>
            <w:tcW w:w="360" w:type="dxa"/>
            <w:vAlign w:val="bottom"/>
            <w:tcBorders>
              <w:top w:val="single" w:sz="8" w:color="303030"/>
            </w:tcBorders>
            <w:shd w:val="clear" w:color="auto" w:fill="E4E4E4"/>
          </w:tcPr>
          <w:p>
            <w:pPr>
              <w:spacing w:after="0"/>
              <w:rPr>
                <w:sz w:val="4"/>
                <w:szCs w:val="4"/>
                <w:color w:val="auto"/>
              </w:rPr>
            </w:pPr>
          </w:p>
        </w:tc>
        <w:tc>
          <w:tcPr>
            <w:tcW w:w="340" w:type="dxa"/>
            <w:vAlign w:val="bottom"/>
            <w:tcBorders>
              <w:top w:val="single" w:sz="8" w:color="303030"/>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2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58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520" w:type="dxa"/>
            <w:vAlign w:val="bottom"/>
            <w:tcBorders>
              <w:top w:val="single" w:sz="8" w:color="E4E4E4"/>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72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FEFEFE"/>
          </w:tcPr>
          <w:p>
            <w:pPr>
              <w:jc w:val="center"/>
              <w:spacing w:after="0"/>
              <w:rPr>
                <w:sz w:val="20"/>
                <w:szCs w:val="20"/>
                <w:color w:val="auto"/>
              </w:rPr>
            </w:pPr>
            <w:r>
              <w:rPr>
                <w:rFonts w:ascii="Arial" w:cs="Arial" w:eastAsia="Arial" w:hAnsi="Arial"/>
                <w:sz w:val="18"/>
                <w:szCs w:val="18"/>
                <w:color w:val="auto"/>
                <w:w w:val="85"/>
              </w:rPr>
              <w:t>32.2</w:t>
            </w:r>
          </w:p>
        </w:tc>
        <w:tc>
          <w:tcPr>
            <w:tcW w:w="3140" w:type="dxa"/>
            <w:vAlign w:val="bottom"/>
            <w:gridSpan w:val="12"/>
            <w:shd w:val="clear" w:color="auto" w:fill="FEFEFE"/>
          </w:tcPr>
          <w:p>
            <w:pPr>
              <w:spacing w:after="0"/>
              <w:rPr>
                <w:sz w:val="20"/>
                <w:szCs w:val="20"/>
                <w:color w:val="auto"/>
              </w:rPr>
            </w:pPr>
            <w:r>
              <w:rPr>
                <w:rFonts w:ascii="Arial" w:cs="Arial" w:eastAsia="Arial" w:hAnsi="Arial"/>
                <w:sz w:val="18"/>
                <w:szCs w:val="18"/>
                <w:color w:val="303030"/>
                <w:w w:val="95"/>
              </w:rPr>
              <w:t>Certification Statement of Chief Financial</w:t>
            </w:r>
          </w:p>
        </w:tc>
        <w:tc>
          <w:tcPr>
            <w:tcW w:w="1980" w:type="dxa"/>
            <w:vAlign w:val="bottom"/>
            <w:gridSpan w:val="4"/>
            <w:shd w:val="clear" w:color="auto" w:fill="FEFEFE"/>
          </w:tcPr>
          <w:p>
            <w:pPr>
              <w:ind w:left="60"/>
              <w:spacing w:after="0"/>
              <w:rPr>
                <w:sz w:val="20"/>
                <w:szCs w:val="20"/>
                <w:color w:val="auto"/>
              </w:rPr>
            </w:pPr>
            <w:r>
              <w:rPr>
                <w:rFonts w:ascii="Arial" w:cs="Arial" w:eastAsia="Arial" w:hAnsi="Arial"/>
                <w:sz w:val="18"/>
                <w:szCs w:val="18"/>
                <w:color w:val="303030"/>
                <w:w w:val="95"/>
              </w:rPr>
              <w:t>fficer pursuant to Section</w:t>
            </w:r>
          </w:p>
        </w:tc>
        <w:tc>
          <w:tcPr>
            <w:tcW w:w="1660" w:type="dxa"/>
            <w:vAlign w:val="bottom"/>
            <w:gridSpan w:val="12"/>
            <w:shd w:val="clear" w:color="auto" w:fill="FEFEFE"/>
          </w:tcPr>
          <w:p>
            <w:pPr>
              <w:ind w:left="40"/>
              <w:spacing w:after="0"/>
              <w:rPr>
                <w:sz w:val="20"/>
                <w:szCs w:val="20"/>
                <w:color w:val="auto"/>
              </w:rPr>
            </w:pPr>
            <w:r>
              <w:rPr>
                <w:rFonts w:ascii="Arial" w:cs="Arial" w:eastAsia="Arial" w:hAnsi="Arial"/>
                <w:sz w:val="18"/>
                <w:szCs w:val="18"/>
                <w:color w:val="303030"/>
              </w:rPr>
              <w:t>06 of the Sarbanes-</w:t>
            </w:r>
          </w:p>
        </w:tc>
        <w:tc>
          <w:tcPr>
            <w:tcW w:w="60" w:type="dxa"/>
            <w:vAlign w:val="bottom"/>
            <w:shd w:val="clear" w:color="auto" w:fill="FEFEFE"/>
          </w:tcPr>
          <w:p>
            <w:pPr>
              <w:spacing w:after="0"/>
              <w:rPr>
                <w:sz w:val="18"/>
                <w:szCs w:val="18"/>
                <w:color w:val="auto"/>
              </w:rPr>
            </w:pPr>
          </w:p>
        </w:tc>
        <w:tc>
          <w:tcPr>
            <w:tcW w:w="780" w:type="dxa"/>
            <w:vAlign w:val="bottom"/>
            <w:shd w:val="clear" w:color="auto" w:fill="FEFEFE"/>
          </w:tcPr>
          <w:p>
            <w:pPr>
              <w:spacing w:after="0"/>
              <w:rPr>
                <w:sz w:val="18"/>
                <w:szCs w:val="18"/>
                <w:color w:val="auto"/>
              </w:rPr>
            </w:pPr>
          </w:p>
        </w:tc>
        <w:tc>
          <w:tcPr>
            <w:tcW w:w="720" w:type="dxa"/>
            <w:vAlign w:val="bottom"/>
            <w:shd w:val="clear" w:color="auto" w:fill="FEFEFE"/>
          </w:tcPr>
          <w:p>
            <w:pPr>
              <w:spacing w:after="0"/>
              <w:rPr>
                <w:sz w:val="18"/>
                <w:szCs w:val="18"/>
                <w:color w:val="auto"/>
              </w:rPr>
            </w:pPr>
          </w:p>
        </w:tc>
        <w:tc>
          <w:tcPr>
            <w:tcW w:w="9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FEFEFE"/>
            </w:tcBorders>
            <w:shd w:val="clear" w:color="auto" w:fill="FEFEFE"/>
          </w:tcPr>
          <w:p>
            <w:pPr>
              <w:spacing w:after="0"/>
              <w:rPr>
                <w:sz w:val="18"/>
                <w:szCs w:val="18"/>
                <w:color w:val="auto"/>
              </w:rPr>
            </w:pPr>
          </w:p>
        </w:tc>
        <w:tc>
          <w:tcPr>
            <w:tcW w:w="20" w:type="dxa"/>
            <w:vAlign w:val="bottom"/>
            <w:tcBorders>
              <w:top w:val="single" w:sz="8" w:color="FEFEFE"/>
            </w:tcBorders>
            <w:shd w:val="clear" w:color="auto" w:fill="FEFEFE"/>
          </w:tcPr>
          <w:p>
            <w:pPr>
              <w:spacing w:after="0"/>
              <w:rPr>
                <w:sz w:val="18"/>
                <w:szCs w:val="18"/>
                <w:color w:val="auto"/>
              </w:rPr>
            </w:pPr>
          </w:p>
        </w:tc>
        <w:tc>
          <w:tcPr>
            <w:tcW w:w="2440" w:type="dxa"/>
            <w:vAlign w:val="bottom"/>
            <w:tcBorders>
              <w:top w:val="single" w:sz="8" w:color="303030"/>
            </w:tcBorders>
            <w:gridSpan w:val="9"/>
            <w:shd w:val="clear" w:color="auto" w:fill="FEFEFE"/>
          </w:tcPr>
          <w:p>
            <w:pPr>
              <w:ind w:left="120"/>
              <w:spacing w:after="0" w:line="160" w:lineRule="exact"/>
              <w:rPr>
                <w:sz w:val="20"/>
                <w:szCs w:val="20"/>
                <w:color w:val="auto"/>
              </w:rPr>
            </w:pPr>
            <w:r>
              <w:rPr>
                <w:rFonts w:ascii="Arial" w:cs="Arial" w:eastAsia="Arial" w:hAnsi="Arial"/>
                <w:sz w:val="18"/>
                <w:szCs w:val="18"/>
                <w:color w:val="303030"/>
                <w:w w:val="94"/>
              </w:rPr>
              <w:t>xley Act of 2002, filed herewith</w:t>
            </w:r>
          </w:p>
        </w:tc>
        <w:tc>
          <w:tcPr>
            <w:tcW w:w="60" w:type="dxa"/>
            <w:vAlign w:val="bottom"/>
            <w:tcBorders>
              <w:top w:val="single" w:sz="8" w:color="303030"/>
            </w:tcBorders>
            <w:shd w:val="clear" w:color="auto" w:fill="FEFEFE"/>
          </w:tcPr>
          <w:p>
            <w:pPr>
              <w:spacing w:after="0"/>
              <w:rPr>
                <w:sz w:val="18"/>
                <w:szCs w:val="18"/>
                <w:color w:val="auto"/>
              </w:rPr>
            </w:pPr>
          </w:p>
        </w:tc>
        <w:tc>
          <w:tcPr>
            <w:tcW w:w="620" w:type="dxa"/>
            <w:vAlign w:val="bottom"/>
            <w:tcBorders>
              <w:top w:val="single" w:sz="8" w:color="303030"/>
            </w:tcBorders>
            <w:shd w:val="clear" w:color="auto" w:fill="FEFEFE"/>
          </w:tcPr>
          <w:p>
            <w:pPr>
              <w:spacing w:after="0"/>
              <w:rPr>
                <w:sz w:val="18"/>
                <w:szCs w:val="18"/>
                <w:color w:val="auto"/>
              </w:rPr>
            </w:pPr>
          </w:p>
        </w:tc>
        <w:tc>
          <w:tcPr>
            <w:tcW w:w="260" w:type="dxa"/>
            <w:vAlign w:val="bottom"/>
            <w:tcBorders>
              <w:top w:val="single" w:sz="8" w:color="303030"/>
            </w:tcBorders>
            <w:shd w:val="clear" w:color="auto" w:fill="FEFEFE"/>
          </w:tcPr>
          <w:p>
            <w:pPr>
              <w:spacing w:after="0"/>
              <w:rPr>
                <w:sz w:val="18"/>
                <w:szCs w:val="18"/>
                <w:color w:val="auto"/>
              </w:rPr>
            </w:pPr>
          </w:p>
        </w:tc>
        <w:tc>
          <w:tcPr>
            <w:tcW w:w="580" w:type="dxa"/>
            <w:vAlign w:val="bottom"/>
            <w:tcBorders>
              <w:top w:val="single" w:sz="8" w:color="303030"/>
            </w:tcBorders>
            <w:shd w:val="clear" w:color="auto" w:fill="FEFEFE"/>
          </w:tcPr>
          <w:p>
            <w:pPr>
              <w:spacing w:after="0"/>
              <w:rPr>
                <w:sz w:val="18"/>
                <w:szCs w:val="18"/>
                <w:color w:val="auto"/>
              </w:rPr>
            </w:pPr>
          </w:p>
        </w:tc>
        <w:tc>
          <w:tcPr>
            <w:tcW w:w="780" w:type="dxa"/>
            <w:vAlign w:val="bottom"/>
            <w:tcBorders>
              <w:top w:val="single" w:sz="8" w:color="303030"/>
            </w:tcBorders>
            <w:shd w:val="clear" w:color="auto" w:fill="FEFEFE"/>
          </w:tcPr>
          <w:p>
            <w:pPr>
              <w:spacing w:after="0"/>
              <w:rPr>
                <w:sz w:val="18"/>
                <w:szCs w:val="18"/>
                <w:color w:val="auto"/>
              </w:rPr>
            </w:pPr>
          </w:p>
        </w:tc>
        <w:tc>
          <w:tcPr>
            <w:tcW w:w="360" w:type="dxa"/>
            <w:vAlign w:val="bottom"/>
            <w:tcBorders>
              <w:top w:val="single" w:sz="8" w:color="303030"/>
            </w:tcBorders>
            <w:shd w:val="clear" w:color="auto" w:fill="FEFEFE"/>
          </w:tcPr>
          <w:p>
            <w:pPr>
              <w:spacing w:after="0"/>
              <w:rPr>
                <w:sz w:val="18"/>
                <w:szCs w:val="18"/>
                <w:color w:val="auto"/>
              </w:rPr>
            </w:pPr>
          </w:p>
        </w:tc>
        <w:tc>
          <w:tcPr>
            <w:tcW w:w="300" w:type="dxa"/>
            <w:vAlign w:val="bottom"/>
            <w:tcBorders>
              <w:top w:val="single" w:sz="8" w:color="303030"/>
            </w:tcBorders>
            <w:shd w:val="clear" w:color="auto" w:fill="FEFEFE"/>
          </w:tcPr>
          <w:p>
            <w:pPr>
              <w:spacing w:after="0"/>
              <w:rPr>
                <w:sz w:val="18"/>
                <w:szCs w:val="18"/>
                <w:color w:val="auto"/>
              </w:rPr>
            </w:pPr>
          </w:p>
        </w:tc>
        <w:tc>
          <w:tcPr>
            <w:tcW w:w="300" w:type="dxa"/>
            <w:vAlign w:val="bottom"/>
            <w:tcBorders>
              <w:top w:val="single" w:sz="8" w:color="303030"/>
            </w:tcBorders>
            <w:shd w:val="clear" w:color="auto" w:fill="FEFEFE"/>
          </w:tcPr>
          <w:p>
            <w:pPr>
              <w:spacing w:after="0"/>
              <w:rPr>
                <w:sz w:val="18"/>
                <w:szCs w:val="18"/>
                <w:color w:val="auto"/>
              </w:rPr>
            </w:pPr>
          </w:p>
        </w:tc>
        <w:tc>
          <w:tcPr>
            <w:tcW w:w="520" w:type="dxa"/>
            <w:vAlign w:val="bottom"/>
            <w:tcBorders>
              <w:top w:val="single" w:sz="8" w:color="303030"/>
            </w:tcBorders>
            <w:shd w:val="clear" w:color="auto" w:fill="FEFEFE"/>
          </w:tcPr>
          <w:p>
            <w:pPr>
              <w:spacing w:after="0"/>
              <w:rPr>
                <w:sz w:val="18"/>
                <w:szCs w:val="18"/>
                <w:color w:val="auto"/>
              </w:rPr>
            </w:pPr>
          </w:p>
        </w:tc>
        <w:tc>
          <w:tcPr>
            <w:tcW w:w="180" w:type="dxa"/>
            <w:vAlign w:val="bottom"/>
            <w:tcBorders>
              <w:top w:val="single" w:sz="8" w:color="303030"/>
            </w:tcBorders>
            <w:shd w:val="clear" w:color="auto" w:fill="FEFEFE"/>
          </w:tcPr>
          <w:p>
            <w:pPr>
              <w:spacing w:after="0"/>
              <w:rPr>
                <w:sz w:val="18"/>
                <w:szCs w:val="18"/>
                <w:color w:val="auto"/>
              </w:rPr>
            </w:pPr>
          </w:p>
        </w:tc>
        <w:tc>
          <w:tcPr>
            <w:tcW w:w="20" w:type="dxa"/>
            <w:vAlign w:val="bottom"/>
            <w:tcBorders>
              <w:top w:val="single" w:sz="8" w:color="303030"/>
            </w:tcBorders>
            <w:shd w:val="clear" w:color="auto" w:fill="FEFEFE"/>
          </w:tcPr>
          <w:p>
            <w:pPr>
              <w:spacing w:after="0"/>
              <w:rPr>
                <w:sz w:val="18"/>
                <w:szCs w:val="18"/>
                <w:color w:val="auto"/>
              </w:rPr>
            </w:pPr>
          </w:p>
        </w:tc>
        <w:tc>
          <w:tcPr>
            <w:tcW w:w="20" w:type="dxa"/>
            <w:vAlign w:val="bottom"/>
            <w:tcBorders>
              <w:top w:val="single" w:sz="8" w:color="303030"/>
            </w:tcBorders>
            <w:shd w:val="clear" w:color="auto" w:fill="FEFEFE"/>
          </w:tcPr>
          <w:p>
            <w:pPr>
              <w:spacing w:after="0"/>
              <w:rPr>
                <w:sz w:val="18"/>
                <w:szCs w:val="18"/>
                <w:color w:val="auto"/>
              </w:rPr>
            </w:pPr>
          </w:p>
        </w:tc>
        <w:tc>
          <w:tcPr>
            <w:tcW w:w="60" w:type="dxa"/>
            <w:vAlign w:val="bottom"/>
            <w:tcBorders>
              <w:top w:val="single" w:sz="8" w:color="303030"/>
            </w:tcBorders>
            <w:shd w:val="clear" w:color="auto" w:fill="FEFEFE"/>
          </w:tcPr>
          <w:p>
            <w:pPr>
              <w:spacing w:after="0"/>
              <w:rPr>
                <w:sz w:val="18"/>
                <w:szCs w:val="18"/>
                <w:color w:val="auto"/>
              </w:rPr>
            </w:pPr>
          </w:p>
        </w:tc>
        <w:tc>
          <w:tcPr>
            <w:tcW w:w="20" w:type="dxa"/>
            <w:vAlign w:val="bottom"/>
            <w:tcBorders>
              <w:top w:val="single" w:sz="8" w:color="303030"/>
            </w:tcBorders>
            <w:shd w:val="clear" w:color="auto" w:fill="FEFEFE"/>
          </w:tcPr>
          <w:p>
            <w:pPr>
              <w:spacing w:after="0"/>
              <w:rPr>
                <w:sz w:val="18"/>
                <w:szCs w:val="18"/>
                <w:color w:val="auto"/>
              </w:rPr>
            </w:pPr>
          </w:p>
        </w:tc>
        <w:tc>
          <w:tcPr>
            <w:tcW w:w="20" w:type="dxa"/>
            <w:vAlign w:val="bottom"/>
            <w:tcBorders>
              <w:top w:val="single" w:sz="8" w:color="303030"/>
            </w:tcBorders>
            <w:shd w:val="clear" w:color="auto" w:fill="FEFEFE"/>
          </w:tcPr>
          <w:p>
            <w:pPr>
              <w:spacing w:after="0"/>
              <w:rPr>
                <w:sz w:val="18"/>
                <w:szCs w:val="18"/>
                <w:color w:val="auto"/>
              </w:rPr>
            </w:pPr>
          </w:p>
        </w:tc>
        <w:tc>
          <w:tcPr>
            <w:tcW w:w="40" w:type="dxa"/>
            <w:vAlign w:val="bottom"/>
            <w:tcBorders>
              <w:top w:val="single" w:sz="8" w:color="FEFEFE"/>
            </w:tcBorders>
            <w:shd w:val="clear" w:color="auto" w:fill="FEFEFE"/>
          </w:tcPr>
          <w:p>
            <w:pPr>
              <w:spacing w:after="0"/>
              <w:rPr>
                <w:sz w:val="18"/>
                <w:szCs w:val="18"/>
                <w:color w:val="auto"/>
              </w:rPr>
            </w:pPr>
          </w:p>
        </w:tc>
        <w:tc>
          <w:tcPr>
            <w:tcW w:w="4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FEFEFE"/>
            </w:tcBorders>
            <w:shd w:val="clear" w:color="auto" w:fill="FEFEFE"/>
          </w:tcPr>
          <w:p>
            <w:pPr>
              <w:spacing w:after="0"/>
              <w:rPr>
                <w:sz w:val="18"/>
                <w:szCs w:val="18"/>
                <w:color w:val="auto"/>
              </w:rPr>
            </w:pPr>
          </w:p>
        </w:tc>
        <w:tc>
          <w:tcPr>
            <w:tcW w:w="60" w:type="dxa"/>
            <w:vAlign w:val="bottom"/>
            <w:tcBorders>
              <w:top w:val="single" w:sz="8" w:color="FEFEFE"/>
            </w:tcBorders>
            <w:shd w:val="clear" w:color="auto" w:fill="FEFEFE"/>
          </w:tcPr>
          <w:p>
            <w:pPr>
              <w:spacing w:after="0"/>
              <w:rPr>
                <w:sz w:val="18"/>
                <w:szCs w:val="18"/>
                <w:color w:val="auto"/>
              </w:rPr>
            </w:pPr>
          </w:p>
        </w:tc>
        <w:tc>
          <w:tcPr>
            <w:tcW w:w="780" w:type="dxa"/>
            <w:vAlign w:val="bottom"/>
            <w:tcBorders>
              <w:top w:val="single" w:sz="8" w:color="FEFEFE"/>
            </w:tcBorders>
            <w:shd w:val="clear" w:color="auto" w:fill="FEFEFE"/>
          </w:tcPr>
          <w:p>
            <w:pPr>
              <w:spacing w:after="0"/>
              <w:rPr>
                <w:sz w:val="18"/>
                <w:szCs w:val="18"/>
                <w:color w:val="auto"/>
              </w:rPr>
            </w:pPr>
          </w:p>
        </w:tc>
        <w:tc>
          <w:tcPr>
            <w:tcW w:w="720" w:type="dxa"/>
            <w:vAlign w:val="bottom"/>
            <w:tcBorders>
              <w:top w:val="single" w:sz="8" w:color="FEFEFE"/>
            </w:tcBorders>
            <w:shd w:val="clear" w:color="auto" w:fill="FEFEFE"/>
          </w:tcPr>
          <w:p>
            <w:pPr>
              <w:spacing w:after="0"/>
              <w:rPr>
                <w:sz w:val="18"/>
                <w:szCs w:val="18"/>
                <w:color w:val="auto"/>
              </w:rPr>
            </w:pPr>
          </w:p>
        </w:tc>
        <w:tc>
          <w:tcPr>
            <w:tcW w:w="980" w:type="dxa"/>
            <w:vAlign w:val="bottom"/>
            <w:tcBorders>
              <w:top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FEFEFE"/>
              <w:bottom w:val="single" w:sz="8" w:color="E4E4E4"/>
            </w:tcBorders>
            <w:shd w:val="clear" w:color="auto" w:fill="E4E4E4"/>
          </w:tcPr>
          <w:p>
            <w:pPr>
              <w:jc w:val="right"/>
              <w:ind w:right="210"/>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FEFEFE"/>
              <w:bottom w:val="single" w:sz="8" w:color="E4E4E4"/>
            </w:tcBorders>
            <w:shd w:val="clear" w:color="auto" w:fill="E4E4E4"/>
          </w:tcPr>
          <w:p>
            <w:pPr>
              <w:spacing w:after="0"/>
              <w:rPr>
                <w:sz w:val="18"/>
                <w:szCs w:val="18"/>
                <w:color w:val="auto"/>
              </w:rPr>
            </w:pPr>
          </w:p>
        </w:tc>
        <w:tc>
          <w:tcPr>
            <w:tcW w:w="2420" w:type="dxa"/>
            <w:vAlign w:val="bottom"/>
            <w:tcBorders>
              <w:top w:val="single" w:sz="8" w:color="303030"/>
              <w:bottom w:val="single" w:sz="8" w:color="303030"/>
            </w:tcBorders>
            <w:gridSpan w:val="8"/>
            <w:shd w:val="clear" w:color="auto" w:fill="E4E4E4"/>
          </w:tcPr>
          <w:p>
            <w:pPr>
              <w:spacing w:after="0"/>
              <w:rPr>
                <w:sz w:val="20"/>
                <w:szCs w:val="20"/>
                <w:color w:val="auto"/>
              </w:rPr>
            </w:pPr>
            <w:r>
              <w:rPr>
                <w:rFonts w:ascii="Arial" w:cs="Arial" w:eastAsia="Arial" w:hAnsi="Arial"/>
                <w:sz w:val="18"/>
                <w:szCs w:val="18"/>
                <w:color w:val="303030"/>
                <w:w w:val="95"/>
              </w:rPr>
              <w:t>Policy for  ecovery of Executive</w:t>
            </w:r>
          </w:p>
        </w:tc>
        <w:tc>
          <w:tcPr>
            <w:tcW w:w="20" w:type="dxa"/>
            <w:vAlign w:val="bottom"/>
            <w:tcBorders>
              <w:top w:val="single" w:sz="8" w:color="FEFEFE"/>
              <w:bottom w:val="single" w:sz="8" w:color="303030"/>
            </w:tcBorders>
            <w:shd w:val="clear" w:color="auto" w:fill="E4E4E4"/>
          </w:tcPr>
          <w:p>
            <w:pPr>
              <w:spacing w:after="0"/>
              <w:rPr>
                <w:sz w:val="18"/>
                <w:szCs w:val="18"/>
                <w:color w:val="auto"/>
              </w:rPr>
            </w:pPr>
          </w:p>
        </w:tc>
        <w:tc>
          <w:tcPr>
            <w:tcW w:w="60" w:type="dxa"/>
            <w:vAlign w:val="bottom"/>
            <w:tcBorders>
              <w:top w:val="single" w:sz="8" w:color="FEFEFE"/>
              <w:bottom w:val="single" w:sz="8" w:color="303030"/>
            </w:tcBorders>
            <w:shd w:val="clear" w:color="auto" w:fill="E4E4E4"/>
          </w:tcPr>
          <w:p>
            <w:pPr>
              <w:spacing w:after="0"/>
              <w:rPr>
                <w:sz w:val="18"/>
                <w:szCs w:val="18"/>
                <w:color w:val="auto"/>
              </w:rPr>
            </w:pPr>
          </w:p>
        </w:tc>
        <w:tc>
          <w:tcPr>
            <w:tcW w:w="4260" w:type="dxa"/>
            <w:vAlign w:val="bottom"/>
            <w:tcBorders>
              <w:top w:val="single" w:sz="8" w:color="FEFEFE"/>
              <w:bottom w:val="single" w:sz="8" w:color="303030"/>
            </w:tcBorders>
            <w:gridSpan w:val="17"/>
            <w:shd w:val="clear" w:color="auto" w:fill="E4E4E4"/>
          </w:tcPr>
          <w:p>
            <w:pPr>
              <w:ind w:left="60"/>
              <w:spacing w:after="0"/>
              <w:rPr>
                <w:sz w:val="20"/>
                <w:szCs w:val="20"/>
                <w:color w:val="auto"/>
              </w:rPr>
            </w:pPr>
            <w:r>
              <w:rPr>
                <w:rFonts w:ascii="Arial" w:cs="Arial" w:eastAsia="Arial" w:hAnsi="Arial"/>
                <w:sz w:val="18"/>
                <w:szCs w:val="18"/>
                <w:color w:val="303030"/>
                <w:w w:val="92"/>
              </w:rPr>
              <w:t>fficer Incentive Compensation (Amended and  estated as</w:t>
            </w:r>
          </w:p>
        </w:tc>
        <w:tc>
          <w:tcPr>
            <w:tcW w:w="840" w:type="dxa"/>
            <w:vAlign w:val="bottom"/>
            <w:tcBorders>
              <w:top w:val="single" w:sz="8" w:color="FEFEFE"/>
              <w:bottom w:val="single" w:sz="8" w:color="E4E4E4"/>
            </w:tcBorders>
            <w:gridSpan w:val="2"/>
            <w:shd w:val="clear" w:color="auto" w:fill="E4E4E4"/>
          </w:tcPr>
          <w:p>
            <w:pPr>
              <w:jc w:val="center"/>
              <w:spacing w:after="0"/>
              <w:rPr>
                <w:sz w:val="20"/>
                <w:szCs w:val="20"/>
                <w:color w:val="auto"/>
              </w:rPr>
            </w:pPr>
            <w:r>
              <w:rPr>
                <w:rFonts w:ascii="Arial" w:cs="Arial" w:eastAsia="Arial" w:hAnsi="Arial"/>
                <w:sz w:val="18"/>
                <w:szCs w:val="18"/>
                <w:color w:val="auto"/>
                <w:w w:val="92"/>
              </w:rPr>
              <w:t>10-</w:t>
            </w:r>
          </w:p>
        </w:tc>
        <w:tc>
          <w:tcPr>
            <w:tcW w:w="720" w:type="dxa"/>
            <w:vAlign w:val="bottom"/>
            <w:tcBorders>
              <w:top w:val="single" w:sz="8" w:color="FEFEFE"/>
              <w:bottom w:val="single" w:sz="8" w:color="E4E4E4"/>
            </w:tcBorders>
            <w:shd w:val="clear" w:color="auto" w:fill="E4E4E4"/>
          </w:tcPr>
          <w:p>
            <w:pPr>
              <w:jc w:val="right"/>
              <w:ind w:right="190"/>
              <w:spacing w:after="0"/>
              <w:rPr>
                <w:sz w:val="20"/>
                <w:szCs w:val="20"/>
                <w:color w:val="auto"/>
              </w:rPr>
            </w:pPr>
            <w:r>
              <w:rPr>
                <w:rFonts w:ascii="Arial" w:cs="Arial" w:eastAsia="Arial" w:hAnsi="Arial"/>
                <w:sz w:val="18"/>
                <w:szCs w:val="18"/>
                <w:color w:val="auto"/>
              </w:rPr>
              <w:t>7</w:t>
            </w:r>
          </w:p>
        </w:tc>
        <w:tc>
          <w:tcPr>
            <w:tcW w:w="980" w:type="dxa"/>
            <w:vAlign w:val="bottom"/>
            <w:tcBorders>
              <w:top w:val="single" w:sz="8" w:color="FEFEFE"/>
              <w:bottom w:val="single" w:sz="8" w:color="E4E4E4"/>
            </w:tcBorders>
            <w:shd w:val="clear" w:color="auto" w:fill="E4E4E4"/>
          </w:tcPr>
          <w:p>
            <w:pPr>
              <w:jc w:val="center"/>
              <w:spacing w:after="0"/>
              <w:rPr>
                <w:sz w:val="20"/>
                <w:szCs w:val="20"/>
                <w:color w:val="auto"/>
              </w:rPr>
            </w:pPr>
            <w:r>
              <w:rPr>
                <w:rFonts w:ascii="Arial" w:cs="Arial" w:eastAsia="Arial" w:hAnsi="Arial"/>
                <w:sz w:val="18"/>
                <w:szCs w:val="18"/>
                <w:color w:val="auto"/>
                <w:w w:val="91"/>
              </w:rPr>
              <w:t>4 3 2024</w:t>
            </w:r>
          </w:p>
        </w:tc>
        <w:tc>
          <w:tcPr>
            <w:tcW w:w="0" w:type="dxa"/>
            <w:vAlign w:val="bottom"/>
          </w:tcPr>
          <w:p>
            <w:pPr>
              <w:spacing w:after="0"/>
              <w:rPr>
                <w:sz w:val="1"/>
                <w:szCs w:val="1"/>
                <w:color w:val="auto"/>
              </w:rPr>
            </w:pPr>
          </w:p>
        </w:tc>
      </w:tr>
      <w:tr>
        <w:trPr>
          <w:trHeight w:val="160"/>
        </w:trPr>
        <w:tc>
          <w:tcPr>
            <w:tcW w:w="7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line="160" w:lineRule="exact"/>
              <w:rPr>
                <w:sz w:val="20"/>
                <w:szCs w:val="20"/>
                <w:color w:val="auto"/>
              </w:rPr>
            </w:pPr>
            <w:r>
              <w:rPr>
                <w:rFonts w:ascii="Arial" w:cs="Arial" w:eastAsia="Arial" w:hAnsi="Arial"/>
                <w:sz w:val="18"/>
                <w:szCs w:val="18"/>
                <w:color w:val="303030"/>
                <w:w w:val="92"/>
              </w:rPr>
              <w:t>of</w:t>
            </w:r>
          </w:p>
        </w:tc>
        <w:tc>
          <w:tcPr>
            <w:tcW w:w="1560" w:type="dxa"/>
            <w:vAlign w:val="bottom"/>
            <w:gridSpan w:val="5"/>
            <w:shd w:val="clear" w:color="auto" w:fill="E4E4E4"/>
          </w:tcPr>
          <w:p>
            <w:pPr>
              <w:ind w:left="140"/>
              <w:spacing w:after="0" w:line="160" w:lineRule="exact"/>
              <w:rPr>
                <w:sz w:val="20"/>
                <w:szCs w:val="20"/>
                <w:color w:val="auto"/>
              </w:rPr>
            </w:pPr>
            <w:r>
              <w:rPr>
                <w:rFonts w:ascii="Arial" w:cs="Arial" w:eastAsia="Arial" w:hAnsi="Arial"/>
                <w:sz w:val="18"/>
                <w:szCs w:val="18"/>
                <w:color w:val="303030"/>
              </w:rPr>
              <w:t>ctober 2, 2023)</w:t>
            </w:r>
          </w:p>
        </w:tc>
        <w:tc>
          <w:tcPr>
            <w:tcW w:w="360" w:type="dxa"/>
            <w:vAlign w:val="bottom"/>
            <w:shd w:val="clear" w:color="auto" w:fill="E4E4E4"/>
          </w:tcPr>
          <w:p>
            <w:pPr>
              <w:spacing w:after="0"/>
              <w:rPr>
                <w:sz w:val="13"/>
                <w:szCs w:val="13"/>
                <w:color w:val="auto"/>
              </w:rPr>
            </w:pPr>
          </w:p>
        </w:tc>
        <w:tc>
          <w:tcPr>
            <w:tcW w:w="3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620" w:type="dxa"/>
            <w:vAlign w:val="bottom"/>
            <w:shd w:val="clear" w:color="auto" w:fill="E4E4E4"/>
          </w:tcPr>
          <w:p>
            <w:pPr>
              <w:spacing w:after="0"/>
              <w:rPr>
                <w:sz w:val="13"/>
                <w:szCs w:val="13"/>
                <w:color w:val="auto"/>
              </w:rPr>
            </w:pPr>
          </w:p>
        </w:tc>
        <w:tc>
          <w:tcPr>
            <w:tcW w:w="260" w:type="dxa"/>
            <w:vAlign w:val="bottom"/>
            <w:shd w:val="clear" w:color="auto" w:fill="E4E4E4"/>
          </w:tcPr>
          <w:p>
            <w:pPr>
              <w:spacing w:after="0"/>
              <w:rPr>
                <w:sz w:val="13"/>
                <w:szCs w:val="13"/>
                <w:color w:val="auto"/>
              </w:rPr>
            </w:pPr>
          </w:p>
        </w:tc>
        <w:tc>
          <w:tcPr>
            <w:tcW w:w="580" w:type="dxa"/>
            <w:vAlign w:val="bottom"/>
            <w:shd w:val="clear" w:color="auto" w:fill="E4E4E4"/>
          </w:tcPr>
          <w:p>
            <w:pPr>
              <w:spacing w:after="0"/>
              <w:rPr>
                <w:sz w:val="13"/>
                <w:szCs w:val="13"/>
                <w:color w:val="auto"/>
              </w:rPr>
            </w:pPr>
          </w:p>
        </w:tc>
        <w:tc>
          <w:tcPr>
            <w:tcW w:w="780" w:type="dxa"/>
            <w:vAlign w:val="bottom"/>
            <w:shd w:val="clear" w:color="auto" w:fill="E4E4E4"/>
          </w:tcPr>
          <w:p>
            <w:pPr>
              <w:spacing w:after="0"/>
              <w:rPr>
                <w:sz w:val="13"/>
                <w:szCs w:val="13"/>
                <w:color w:val="auto"/>
              </w:rPr>
            </w:pPr>
          </w:p>
        </w:tc>
        <w:tc>
          <w:tcPr>
            <w:tcW w:w="36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300" w:type="dxa"/>
            <w:vAlign w:val="bottom"/>
            <w:shd w:val="clear" w:color="auto" w:fill="E4E4E4"/>
          </w:tcPr>
          <w:p>
            <w:pPr>
              <w:spacing w:after="0"/>
              <w:rPr>
                <w:sz w:val="13"/>
                <w:szCs w:val="13"/>
                <w:color w:val="auto"/>
              </w:rPr>
            </w:pPr>
          </w:p>
        </w:tc>
        <w:tc>
          <w:tcPr>
            <w:tcW w:w="52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4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60" w:type="dxa"/>
            <w:vAlign w:val="bottom"/>
            <w:shd w:val="clear" w:color="auto" w:fill="E4E4E4"/>
          </w:tcPr>
          <w:p>
            <w:pPr>
              <w:spacing w:after="0"/>
              <w:rPr>
                <w:sz w:val="13"/>
                <w:szCs w:val="13"/>
                <w:color w:val="auto"/>
              </w:rPr>
            </w:pPr>
          </w:p>
        </w:tc>
        <w:tc>
          <w:tcPr>
            <w:tcW w:w="780" w:type="dxa"/>
            <w:vAlign w:val="bottom"/>
            <w:shd w:val="clear" w:color="auto" w:fill="E4E4E4"/>
          </w:tcPr>
          <w:p>
            <w:pPr>
              <w:spacing w:after="0"/>
              <w:rPr>
                <w:sz w:val="13"/>
                <w:szCs w:val="13"/>
                <w:color w:val="auto"/>
              </w:rPr>
            </w:pPr>
          </w:p>
        </w:tc>
        <w:tc>
          <w:tcPr>
            <w:tcW w:w="720" w:type="dxa"/>
            <w:vAlign w:val="bottom"/>
            <w:shd w:val="clear" w:color="auto" w:fill="E4E4E4"/>
          </w:tcPr>
          <w:p>
            <w:pPr>
              <w:spacing w:after="0"/>
              <w:rPr>
                <w:sz w:val="13"/>
                <w:szCs w:val="13"/>
                <w:color w:val="auto"/>
              </w:rPr>
            </w:pPr>
          </w:p>
        </w:tc>
        <w:tc>
          <w:tcPr>
            <w:tcW w:w="9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60" w:type="dxa"/>
            <w:vAlign w:val="bottom"/>
            <w:tcBorders>
              <w:top w:val="single" w:sz="8" w:color="303030"/>
            </w:tcBorders>
            <w:shd w:val="clear" w:color="auto" w:fill="E4E4E4"/>
          </w:tcPr>
          <w:p>
            <w:pPr>
              <w:spacing w:after="0"/>
              <w:rPr>
                <w:sz w:val="4"/>
                <w:szCs w:val="4"/>
                <w:color w:val="auto"/>
              </w:rPr>
            </w:pPr>
          </w:p>
        </w:tc>
        <w:tc>
          <w:tcPr>
            <w:tcW w:w="460" w:type="dxa"/>
            <w:vAlign w:val="bottom"/>
            <w:tcBorders>
              <w:top w:val="single" w:sz="8" w:color="303030"/>
            </w:tcBorders>
            <w:shd w:val="clear" w:color="auto" w:fill="E4E4E4"/>
          </w:tcPr>
          <w:p>
            <w:pPr>
              <w:spacing w:after="0"/>
              <w:rPr>
                <w:sz w:val="4"/>
                <w:szCs w:val="4"/>
                <w:color w:val="auto"/>
              </w:rPr>
            </w:pPr>
          </w:p>
        </w:tc>
        <w:tc>
          <w:tcPr>
            <w:tcW w:w="520" w:type="dxa"/>
            <w:vAlign w:val="bottom"/>
            <w:tcBorders>
              <w:top w:val="single" w:sz="8" w:color="303030"/>
            </w:tcBorders>
            <w:shd w:val="clear" w:color="auto" w:fill="E4E4E4"/>
          </w:tcPr>
          <w:p>
            <w:pPr>
              <w:spacing w:after="0"/>
              <w:rPr>
                <w:sz w:val="4"/>
                <w:szCs w:val="4"/>
                <w:color w:val="auto"/>
              </w:rPr>
            </w:pPr>
          </w:p>
        </w:tc>
        <w:tc>
          <w:tcPr>
            <w:tcW w:w="260" w:type="dxa"/>
            <w:vAlign w:val="bottom"/>
            <w:tcBorders>
              <w:top w:val="single" w:sz="8" w:color="303030"/>
            </w:tcBorders>
            <w:shd w:val="clear" w:color="auto" w:fill="E4E4E4"/>
          </w:tcPr>
          <w:p>
            <w:pPr>
              <w:spacing w:after="0"/>
              <w:rPr>
                <w:sz w:val="4"/>
                <w:szCs w:val="4"/>
                <w:color w:val="auto"/>
              </w:rPr>
            </w:pPr>
          </w:p>
        </w:tc>
        <w:tc>
          <w:tcPr>
            <w:tcW w:w="200" w:type="dxa"/>
            <w:vAlign w:val="bottom"/>
            <w:tcBorders>
              <w:top w:val="single" w:sz="8" w:color="E4E4E4"/>
            </w:tcBorders>
            <w:shd w:val="clear" w:color="auto" w:fill="E4E4E4"/>
          </w:tcPr>
          <w:p>
            <w:pPr>
              <w:spacing w:after="0"/>
              <w:rPr>
                <w:sz w:val="4"/>
                <w:szCs w:val="4"/>
                <w:color w:val="auto"/>
              </w:rPr>
            </w:pPr>
          </w:p>
        </w:tc>
        <w:tc>
          <w:tcPr>
            <w:tcW w:w="12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3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620" w:type="dxa"/>
            <w:vAlign w:val="bottom"/>
            <w:tcBorders>
              <w:top w:val="single" w:sz="8" w:color="E4E4E4"/>
            </w:tcBorders>
            <w:shd w:val="clear" w:color="auto" w:fill="E4E4E4"/>
          </w:tcPr>
          <w:p>
            <w:pPr>
              <w:spacing w:after="0"/>
              <w:rPr>
                <w:sz w:val="4"/>
                <w:szCs w:val="4"/>
                <w:color w:val="auto"/>
              </w:rPr>
            </w:pPr>
          </w:p>
        </w:tc>
        <w:tc>
          <w:tcPr>
            <w:tcW w:w="260" w:type="dxa"/>
            <w:vAlign w:val="bottom"/>
            <w:tcBorders>
              <w:top w:val="single" w:sz="8" w:color="E4E4E4"/>
            </w:tcBorders>
            <w:shd w:val="clear" w:color="auto" w:fill="E4E4E4"/>
          </w:tcPr>
          <w:p>
            <w:pPr>
              <w:spacing w:after="0"/>
              <w:rPr>
                <w:sz w:val="4"/>
                <w:szCs w:val="4"/>
                <w:color w:val="auto"/>
              </w:rPr>
            </w:pPr>
          </w:p>
        </w:tc>
        <w:tc>
          <w:tcPr>
            <w:tcW w:w="58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36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300" w:type="dxa"/>
            <w:vAlign w:val="bottom"/>
            <w:tcBorders>
              <w:top w:val="single" w:sz="8" w:color="E4E4E4"/>
            </w:tcBorders>
            <w:shd w:val="clear" w:color="auto" w:fill="E4E4E4"/>
          </w:tcPr>
          <w:p>
            <w:pPr>
              <w:spacing w:after="0"/>
              <w:rPr>
                <w:sz w:val="4"/>
                <w:szCs w:val="4"/>
                <w:color w:val="auto"/>
              </w:rPr>
            </w:pPr>
          </w:p>
        </w:tc>
        <w:tc>
          <w:tcPr>
            <w:tcW w:w="520" w:type="dxa"/>
            <w:vAlign w:val="bottom"/>
            <w:tcBorders>
              <w:top w:val="single" w:sz="8" w:color="E4E4E4"/>
            </w:tcBorders>
            <w:shd w:val="clear" w:color="auto" w:fill="E4E4E4"/>
          </w:tcPr>
          <w:p>
            <w:pPr>
              <w:spacing w:after="0"/>
              <w:rPr>
                <w:sz w:val="4"/>
                <w:szCs w:val="4"/>
                <w:color w:val="auto"/>
              </w:rPr>
            </w:pPr>
          </w:p>
        </w:tc>
        <w:tc>
          <w:tcPr>
            <w:tcW w:w="1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780" w:type="dxa"/>
            <w:vAlign w:val="bottom"/>
            <w:tcBorders>
              <w:top w:val="single" w:sz="8" w:color="E4E4E4"/>
            </w:tcBorders>
            <w:shd w:val="clear" w:color="auto" w:fill="E4E4E4"/>
          </w:tcPr>
          <w:p>
            <w:pPr>
              <w:spacing w:after="0"/>
              <w:rPr>
                <w:sz w:val="4"/>
                <w:szCs w:val="4"/>
                <w:color w:val="auto"/>
              </w:rPr>
            </w:pPr>
          </w:p>
        </w:tc>
        <w:tc>
          <w:tcPr>
            <w:tcW w:w="720" w:type="dxa"/>
            <w:vAlign w:val="bottom"/>
            <w:tcBorders>
              <w:top w:val="single" w:sz="8" w:color="E4E4E4"/>
            </w:tcBorders>
            <w:shd w:val="clear" w:color="auto" w:fill="E4E4E4"/>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60" w:type="dxa"/>
            <w:vAlign w:val="bottom"/>
            <w:shd w:val="clear" w:color="auto" w:fill="FEFEFE"/>
          </w:tcPr>
          <w:p>
            <w:pPr>
              <w:jc w:val="center"/>
              <w:spacing w:after="0" w:line="200" w:lineRule="exact"/>
              <w:rPr>
                <w:sz w:val="20"/>
                <w:szCs w:val="20"/>
                <w:color w:val="auto"/>
              </w:rPr>
            </w:pPr>
            <w:r>
              <w:rPr>
                <w:rFonts w:ascii="Arial" w:cs="Arial" w:eastAsia="Arial" w:hAnsi="Arial"/>
                <w:sz w:val="18"/>
                <w:szCs w:val="18"/>
                <w:color w:val="auto"/>
                <w:w w:val="86"/>
              </w:rPr>
              <w:t>101</w:t>
            </w:r>
          </w:p>
        </w:tc>
        <w:tc>
          <w:tcPr>
            <w:tcW w:w="4760" w:type="dxa"/>
            <w:vAlign w:val="bottom"/>
            <w:gridSpan w:val="15"/>
            <w:shd w:val="clear" w:color="auto" w:fill="FEFEFE"/>
          </w:tcPr>
          <w:p>
            <w:pPr>
              <w:spacing w:after="0" w:line="200" w:lineRule="exact"/>
              <w:rPr>
                <w:sz w:val="20"/>
                <w:szCs w:val="20"/>
                <w:color w:val="auto"/>
              </w:rPr>
            </w:pPr>
            <w:r>
              <w:rPr>
                <w:rFonts w:ascii="Arial" w:cs="Arial" w:eastAsia="Arial" w:hAnsi="Arial"/>
                <w:sz w:val="18"/>
                <w:szCs w:val="18"/>
                <w:color w:val="auto"/>
                <w:w w:val="93"/>
              </w:rPr>
              <w:t>The following materials from The TJX Companies, Inc.’s Annual</w:t>
            </w:r>
          </w:p>
        </w:tc>
        <w:tc>
          <w:tcPr>
            <w:tcW w:w="2020" w:type="dxa"/>
            <w:vAlign w:val="bottom"/>
            <w:gridSpan w:val="13"/>
            <w:shd w:val="clear" w:color="auto" w:fill="FEFEFE"/>
          </w:tcPr>
          <w:p>
            <w:pPr>
              <w:jc w:val="right"/>
              <w:ind w:right="180"/>
              <w:spacing w:after="0" w:line="200" w:lineRule="exact"/>
              <w:rPr>
                <w:sz w:val="20"/>
                <w:szCs w:val="20"/>
                <w:color w:val="auto"/>
              </w:rPr>
            </w:pPr>
            <w:r>
              <w:rPr>
                <w:rFonts w:ascii="Arial" w:cs="Arial" w:eastAsia="Arial" w:hAnsi="Arial"/>
                <w:sz w:val="18"/>
                <w:szCs w:val="18"/>
                <w:color w:val="auto"/>
              </w:rPr>
              <w:t>eport on Form 10-  for</w:t>
            </w:r>
          </w:p>
        </w:tc>
        <w:tc>
          <w:tcPr>
            <w:tcW w:w="60" w:type="dxa"/>
            <w:vAlign w:val="bottom"/>
            <w:shd w:val="clear" w:color="auto" w:fill="FEFEFE"/>
          </w:tcPr>
          <w:p>
            <w:pPr>
              <w:spacing w:after="0"/>
              <w:rPr>
                <w:sz w:val="17"/>
                <w:szCs w:val="17"/>
                <w:color w:val="auto"/>
              </w:rPr>
            </w:pPr>
          </w:p>
        </w:tc>
        <w:tc>
          <w:tcPr>
            <w:tcW w:w="780" w:type="dxa"/>
            <w:vAlign w:val="bottom"/>
            <w:shd w:val="clear" w:color="auto" w:fill="FEFEFE"/>
          </w:tcPr>
          <w:p>
            <w:pPr>
              <w:spacing w:after="0"/>
              <w:rPr>
                <w:sz w:val="17"/>
                <w:szCs w:val="17"/>
                <w:color w:val="auto"/>
              </w:rPr>
            </w:pPr>
          </w:p>
        </w:tc>
        <w:tc>
          <w:tcPr>
            <w:tcW w:w="720" w:type="dxa"/>
            <w:vAlign w:val="bottom"/>
            <w:shd w:val="clear" w:color="auto" w:fill="FEFEFE"/>
          </w:tcPr>
          <w:p>
            <w:pPr>
              <w:spacing w:after="0"/>
              <w:rPr>
                <w:sz w:val="17"/>
                <w:szCs w:val="17"/>
                <w:color w:val="auto"/>
              </w:rPr>
            </w:pPr>
          </w:p>
        </w:tc>
        <w:tc>
          <w:tcPr>
            <w:tcW w:w="98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FEFEFE"/>
          </w:tcPr>
          <w:p>
            <w:pPr>
              <w:spacing w:after="0"/>
              <w:rPr>
                <w:sz w:val="15"/>
                <w:szCs w:val="15"/>
                <w:color w:val="auto"/>
              </w:rPr>
            </w:pPr>
          </w:p>
        </w:tc>
        <w:tc>
          <w:tcPr>
            <w:tcW w:w="5720" w:type="dxa"/>
            <w:vAlign w:val="bottom"/>
            <w:gridSpan w:val="18"/>
            <w:shd w:val="clear" w:color="auto" w:fill="FEFEFE"/>
          </w:tcPr>
          <w:p>
            <w:pPr>
              <w:spacing w:after="0" w:line="180" w:lineRule="exact"/>
              <w:rPr>
                <w:sz w:val="20"/>
                <w:szCs w:val="20"/>
                <w:color w:val="auto"/>
              </w:rPr>
            </w:pPr>
            <w:r>
              <w:rPr>
                <w:rFonts w:ascii="Arial" w:cs="Arial" w:eastAsia="Arial" w:hAnsi="Arial"/>
                <w:sz w:val="18"/>
                <w:szCs w:val="18"/>
                <w:color w:val="auto"/>
                <w:w w:val="90"/>
              </w:rPr>
              <w:t>the fiscal year ended January 31, 2026, formatted in Inline Extensible Business</w:t>
            </w:r>
          </w:p>
        </w:tc>
        <w:tc>
          <w:tcPr>
            <w:tcW w:w="1060" w:type="dxa"/>
            <w:vAlign w:val="bottom"/>
            <w:gridSpan w:val="10"/>
            <w:shd w:val="clear" w:color="auto" w:fill="FEFEFE"/>
          </w:tcPr>
          <w:p>
            <w:pPr>
              <w:ind w:left="140"/>
              <w:spacing w:after="0" w:line="180" w:lineRule="exact"/>
              <w:rPr>
                <w:sz w:val="20"/>
                <w:szCs w:val="20"/>
                <w:color w:val="auto"/>
              </w:rPr>
            </w:pPr>
            <w:r>
              <w:rPr>
                <w:rFonts w:ascii="Arial" w:cs="Arial" w:eastAsia="Arial" w:hAnsi="Arial"/>
                <w:sz w:val="18"/>
                <w:szCs w:val="18"/>
                <w:color w:val="auto"/>
              </w:rPr>
              <w:t>eporting</w:t>
            </w:r>
          </w:p>
        </w:tc>
        <w:tc>
          <w:tcPr>
            <w:tcW w:w="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720" w:type="dxa"/>
            <w:vAlign w:val="bottom"/>
            <w:shd w:val="clear" w:color="auto" w:fill="FEFEFE"/>
          </w:tcPr>
          <w:p>
            <w:pPr>
              <w:spacing w:after="0"/>
              <w:rPr>
                <w:sz w:val="15"/>
                <w:szCs w:val="15"/>
                <w:color w:val="auto"/>
              </w:rPr>
            </w:pPr>
          </w:p>
        </w:tc>
        <w:tc>
          <w:tcPr>
            <w:tcW w:w="9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FEFEFE"/>
          </w:tcPr>
          <w:p>
            <w:pPr>
              <w:spacing w:after="0"/>
              <w:rPr>
                <w:sz w:val="15"/>
                <w:szCs w:val="15"/>
                <w:color w:val="auto"/>
              </w:rPr>
            </w:pPr>
          </w:p>
        </w:tc>
        <w:tc>
          <w:tcPr>
            <w:tcW w:w="1160" w:type="dxa"/>
            <w:vAlign w:val="bottom"/>
            <w:gridSpan w:val="4"/>
            <w:shd w:val="clear" w:color="auto" w:fill="FEFEFE"/>
          </w:tcPr>
          <w:p>
            <w:pPr>
              <w:spacing w:after="0" w:line="180" w:lineRule="exact"/>
              <w:rPr>
                <w:sz w:val="20"/>
                <w:szCs w:val="20"/>
                <w:color w:val="auto"/>
              </w:rPr>
            </w:pPr>
            <w:r>
              <w:rPr>
                <w:rFonts w:ascii="Arial" w:cs="Arial" w:eastAsia="Arial" w:hAnsi="Arial"/>
                <w:sz w:val="18"/>
                <w:szCs w:val="18"/>
                <w:color w:val="auto"/>
                <w:w w:val="95"/>
              </w:rPr>
              <w:t>Language (iXB</w:t>
            </w:r>
          </w:p>
        </w:tc>
        <w:tc>
          <w:tcPr>
            <w:tcW w:w="5620" w:type="dxa"/>
            <w:vAlign w:val="bottom"/>
            <w:gridSpan w:val="24"/>
            <w:shd w:val="clear" w:color="auto" w:fill="FEFEFE"/>
          </w:tcPr>
          <w:p>
            <w:pPr>
              <w:ind w:left="80"/>
              <w:spacing w:after="0" w:line="180" w:lineRule="exact"/>
              <w:rPr>
                <w:sz w:val="20"/>
                <w:szCs w:val="20"/>
                <w:color w:val="auto"/>
              </w:rPr>
            </w:pPr>
            <w:r>
              <w:rPr>
                <w:rFonts w:ascii="Arial" w:cs="Arial" w:eastAsia="Arial" w:hAnsi="Arial"/>
                <w:sz w:val="18"/>
                <w:szCs w:val="18"/>
                <w:color w:val="auto"/>
              </w:rPr>
              <w:t>L): (i) the Consolidated Statements of Income, (ii) the Consolidated</w:t>
            </w:r>
          </w:p>
        </w:tc>
        <w:tc>
          <w:tcPr>
            <w:tcW w:w="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720" w:type="dxa"/>
            <w:vAlign w:val="bottom"/>
            <w:shd w:val="clear" w:color="auto" w:fill="FEFEFE"/>
          </w:tcPr>
          <w:p>
            <w:pPr>
              <w:spacing w:after="0"/>
              <w:rPr>
                <w:sz w:val="15"/>
                <w:szCs w:val="15"/>
                <w:color w:val="auto"/>
              </w:rPr>
            </w:pPr>
          </w:p>
        </w:tc>
        <w:tc>
          <w:tcPr>
            <w:tcW w:w="9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FEFEFE"/>
          </w:tcPr>
          <w:p>
            <w:pPr>
              <w:spacing w:after="0"/>
              <w:rPr>
                <w:sz w:val="15"/>
                <w:szCs w:val="15"/>
                <w:color w:val="auto"/>
              </w:rPr>
            </w:pPr>
          </w:p>
        </w:tc>
        <w:tc>
          <w:tcPr>
            <w:tcW w:w="6780" w:type="dxa"/>
            <w:vAlign w:val="bottom"/>
            <w:gridSpan w:val="28"/>
            <w:shd w:val="clear" w:color="auto" w:fill="FEFEFE"/>
          </w:tcPr>
          <w:p>
            <w:pPr>
              <w:spacing w:after="0" w:line="180" w:lineRule="exact"/>
              <w:rPr>
                <w:sz w:val="20"/>
                <w:szCs w:val="20"/>
                <w:color w:val="auto"/>
              </w:rPr>
            </w:pPr>
            <w:r>
              <w:rPr>
                <w:rFonts w:ascii="Arial" w:cs="Arial" w:eastAsia="Arial" w:hAnsi="Arial"/>
                <w:sz w:val="18"/>
                <w:szCs w:val="18"/>
                <w:color w:val="auto"/>
                <w:w w:val="99"/>
              </w:rPr>
              <w:t>Statements of Comprehensive Income, (iii) the Consolidated Balance Sheets, (iv) the</w:t>
            </w:r>
          </w:p>
        </w:tc>
        <w:tc>
          <w:tcPr>
            <w:tcW w:w="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720" w:type="dxa"/>
            <w:vAlign w:val="bottom"/>
            <w:shd w:val="clear" w:color="auto" w:fill="FEFEFE"/>
          </w:tcPr>
          <w:p>
            <w:pPr>
              <w:spacing w:after="0"/>
              <w:rPr>
                <w:sz w:val="15"/>
                <w:szCs w:val="15"/>
                <w:color w:val="auto"/>
              </w:rPr>
            </w:pPr>
          </w:p>
        </w:tc>
        <w:tc>
          <w:tcPr>
            <w:tcW w:w="9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FEFEFE"/>
          </w:tcPr>
          <w:p>
            <w:pPr>
              <w:spacing w:after="0"/>
              <w:rPr>
                <w:sz w:val="15"/>
                <w:szCs w:val="15"/>
                <w:color w:val="auto"/>
              </w:rPr>
            </w:pPr>
          </w:p>
        </w:tc>
        <w:tc>
          <w:tcPr>
            <w:tcW w:w="6780" w:type="dxa"/>
            <w:vAlign w:val="bottom"/>
            <w:gridSpan w:val="28"/>
            <w:shd w:val="clear" w:color="auto" w:fill="FEFEFE"/>
          </w:tcPr>
          <w:p>
            <w:pPr>
              <w:spacing w:after="0" w:line="180" w:lineRule="exact"/>
              <w:rPr>
                <w:sz w:val="20"/>
                <w:szCs w:val="20"/>
                <w:color w:val="auto"/>
              </w:rPr>
            </w:pPr>
            <w:r>
              <w:rPr>
                <w:rFonts w:ascii="Arial" w:cs="Arial" w:eastAsia="Arial" w:hAnsi="Arial"/>
                <w:sz w:val="18"/>
                <w:szCs w:val="18"/>
                <w:color w:val="auto"/>
                <w:w w:val="93"/>
              </w:rPr>
              <w:t>Consolidated Statements of Cash Flows, (v) the Consolidated Statements of Shareholders’</w:t>
            </w:r>
          </w:p>
        </w:tc>
        <w:tc>
          <w:tcPr>
            <w:tcW w:w="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720" w:type="dxa"/>
            <w:vAlign w:val="bottom"/>
            <w:shd w:val="clear" w:color="auto" w:fill="FEFEFE"/>
          </w:tcPr>
          <w:p>
            <w:pPr>
              <w:spacing w:after="0"/>
              <w:rPr>
                <w:sz w:val="15"/>
                <w:szCs w:val="15"/>
                <w:color w:val="auto"/>
              </w:rPr>
            </w:pPr>
          </w:p>
        </w:tc>
        <w:tc>
          <w:tcPr>
            <w:tcW w:w="9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60" w:type="dxa"/>
            <w:vAlign w:val="bottom"/>
            <w:tcBorders>
              <w:bottom w:val="single" w:sz="8" w:color="FEFEFE"/>
            </w:tcBorders>
            <w:shd w:val="clear" w:color="auto" w:fill="FEFEFE"/>
          </w:tcPr>
          <w:p>
            <w:pPr>
              <w:spacing w:after="0"/>
              <w:rPr>
                <w:sz w:val="21"/>
                <w:szCs w:val="21"/>
                <w:color w:val="auto"/>
              </w:rPr>
            </w:pPr>
          </w:p>
        </w:tc>
        <w:tc>
          <w:tcPr>
            <w:tcW w:w="180" w:type="dxa"/>
            <w:vAlign w:val="bottom"/>
            <w:tcBorders>
              <w:bottom w:val="single" w:sz="8" w:color="FEFEFE"/>
            </w:tcBorders>
            <w:gridSpan w:val="2"/>
            <w:shd w:val="clear" w:color="auto" w:fill="FEFEFE"/>
          </w:tcPr>
          <w:p>
            <w:pPr>
              <w:spacing w:after="0"/>
              <w:rPr>
                <w:sz w:val="20"/>
                <w:szCs w:val="20"/>
                <w:color w:val="auto"/>
              </w:rPr>
            </w:pPr>
            <w:r>
              <w:rPr>
                <w:rFonts w:ascii="Arial" w:cs="Arial" w:eastAsia="Arial" w:hAnsi="Arial"/>
                <w:sz w:val="18"/>
                <w:szCs w:val="18"/>
                <w:color w:val="auto"/>
              </w:rPr>
              <w:t>E</w:t>
            </w:r>
          </w:p>
        </w:tc>
        <w:tc>
          <w:tcPr>
            <w:tcW w:w="4580" w:type="dxa"/>
            <w:vAlign w:val="bottom"/>
            <w:tcBorders>
              <w:bottom w:val="single" w:sz="8" w:color="FEFEFE"/>
            </w:tcBorders>
            <w:gridSpan w:val="13"/>
            <w:shd w:val="clear" w:color="auto" w:fill="FEFEFE"/>
          </w:tcPr>
          <w:p>
            <w:pPr>
              <w:ind w:left="20"/>
              <w:spacing w:after="0"/>
              <w:rPr>
                <w:sz w:val="20"/>
                <w:szCs w:val="20"/>
                <w:color w:val="auto"/>
              </w:rPr>
            </w:pPr>
            <w:r>
              <w:rPr>
                <w:rFonts w:ascii="Arial" w:cs="Arial" w:eastAsia="Arial" w:hAnsi="Arial"/>
                <w:sz w:val="18"/>
                <w:szCs w:val="18"/>
                <w:color w:val="auto"/>
              </w:rPr>
              <w:t>uity, and (vi) Notes to Consolidated Financial Statements</w:t>
            </w:r>
          </w:p>
        </w:tc>
        <w:tc>
          <w:tcPr>
            <w:tcW w:w="360" w:type="dxa"/>
            <w:vAlign w:val="bottom"/>
            <w:tcBorders>
              <w:bottom w:val="single" w:sz="8" w:color="FEFEFE"/>
            </w:tcBorders>
            <w:shd w:val="clear" w:color="auto" w:fill="FEFEFE"/>
          </w:tcPr>
          <w:p>
            <w:pPr>
              <w:spacing w:after="0"/>
              <w:rPr>
                <w:sz w:val="21"/>
                <w:szCs w:val="21"/>
                <w:color w:val="auto"/>
              </w:rPr>
            </w:pPr>
          </w:p>
        </w:tc>
        <w:tc>
          <w:tcPr>
            <w:tcW w:w="300" w:type="dxa"/>
            <w:vAlign w:val="bottom"/>
            <w:tcBorders>
              <w:bottom w:val="single" w:sz="8" w:color="FEFEFE"/>
            </w:tcBorders>
            <w:shd w:val="clear" w:color="auto" w:fill="FEFEFE"/>
          </w:tcPr>
          <w:p>
            <w:pPr>
              <w:spacing w:after="0"/>
              <w:rPr>
                <w:sz w:val="21"/>
                <w:szCs w:val="21"/>
                <w:color w:val="auto"/>
              </w:rPr>
            </w:pPr>
          </w:p>
        </w:tc>
        <w:tc>
          <w:tcPr>
            <w:tcW w:w="300" w:type="dxa"/>
            <w:vAlign w:val="bottom"/>
            <w:tcBorders>
              <w:bottom w:val="single" w:sz="8" w:color="FEFEFE"/>
            </w:tcBorders>
            <w:shd w:val="clear" w:color="auto" w:fill="FEFEFE"/>
          </w:tcPr>
          <w:p>
            <w:pPr>
              <w:spacing w:after="0"/>
              <w:rPr>
                <w:sz w:val="21"/>
                <w:szCs w:val="21"/>
                <w:color w:val="auto"/>
              </w:rPr>
            </w:pPr>
          </w:p>
        </w:tc>
        <w:tc>
          <w:tcPr>
            <w:tcW w:w="520" w:type="dxa"/>
            <w:vAlign w:val="bottom"/>
            <w:tcBorders>
              <w:bottom w:val="single" w:sz="8" w:color="FEFEFE"/>
            </w:tcBorders>
            <w:shd w:val="clear" w:color="auto" w:fill="FEFEFE"/>
          </w:tcPr>
          <w:p>
            <w:pPr>
              <w:spacing w:after="0"/>
              <w:rPr>
                <w:sz w:val="21"/>
                <w:szCs w:val="21"/>
                <w:color w:val="auto"/>
              </w:rPr>
            </w:pPr>
          </w:p>
        </w:tc>
        <w:tc>
          <w:tcPr>
            <w:tcW w:w="1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6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140" w:type="dxa"/>
            <w:vAlign w:val="bottom"/>
            <w:tcBorders>
              <w:bottom w:val="single" w:sz="8" w:color="FEFEFE"/>
            </w:tcBorders>
            <w:shd w:val="clear" w:color="auto" w:fill="FEFEFE"/>
          </w:tcPr>
          <w:p>
            <w:pPr>
              <w:spacing w:after="0"/>
              <w:rPr>
                <w:sz w:val="21"/>
                <w:szCs w:val="21"/>
                <w:color w:val="auto"/>
              </w:rPr>
            </w:pPr>
          </w:p>
        </w:tc>
        <w:tc>
          <w:tcPr>
            <w:tcW w:w="60" w:type="dxa"/>
            <w:vAlign w:val="bottom"/>
            <w:tcBorders>
              <w:bottom w:val="single" w:sz="8" w:color="FEFEFE"/>
            </w:tcBorders>
            <w:shd w:val="clear" w:color="auto" w:fill="FEFEFE"/>
          </w:tcPr>
          <w:p>
            <w:pPr>
              <w:spacing w:after="0"/>
              <w:rPr>
                <w:sz w:val="21"/>
                <w:szCs w:val="21"/>
                <w:color w:val="auto"/>
              </w:rPr>
            </w:pPr>
          </w:p>
        </w:tc>
        <w:tc>
          <w:tcPr>
            <w:tcW w:w="780" w:type="dxa"/>
            <w:vAlign w:val="bottom"/>
            <w:tcBorders>
              <w:bottom w:val="single" w:sz="8" w:color="FEFEFE"/>
            </w:tcBorders>
            <w:shd w:val="clear" w:color="auto" w:fill="FEFEFE"/>
          </w:tcPr>
          <w:p>
            <w:pPr>
              <w:spacing w:after="0"/>
              <w:rPr>
                <w:sz w:val="21"/>
                <w:szCs w:val="21"/>
                <w:color w:val="auto"/>
              </w:rPr>
            </w:pPr>
          </w:p>
        </w:tc>
        <w:tc>
          <w:tcPr>
            <w:tcW w:w="720" w:type="dxa"/>
            <w:vAlign w:val="bottom"/>
            <w:tcBorders>
              <w:bottom w:val="single" w:sz="8" w:color="FEFEFE"/>
            </w:tcBorders>
            <w:shd w:val="clear" w:color="auto" w:fill="FEFEFE"/>
          </w:tcPr>
          <w:p>
            <w:pPr>
              <w:spacing w:after="0"/>
              <w:rPr>
                <w:sz w:val="21"/>
                <w:szCs w:val="21"/>
                <w:color w:val="auto"/>
              </w:rPr>
            </w:pPr>
          </w:p>
        </w:tc>
        <w:tc>
          <w:tcPr>
            <w:tcW w:w="980" w:type="dxa"/>
            <w:vAlign w:val="bottom"/>
            <w:tcBorders>
              <w:bottom w:val="single" w:sz="8" w:color="FEFEFE"/>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60" w:type="dxa"/>
            <w:vAlign w:val="bottom"/>
            <w:shd w:val="clear" w:color="auto" w:fill="E4E4E4"/>
          </w:tcPr>
          <w:p>
            <w:pPr>
              <w:jc w:val="center"/>
              <w:spacing w:after="0" w:line="200" w:lineRule="exact"/>
              <w:rPr>
                <w:sz w:val="20"/>
                <w:szCs w:val="20"/>
                <w:color w:val="auto"/>
              </w:rPr>
            </w:pPr>
            <w:r>
              <w:rPr>
                <w:rFonts w:ascii="Arial" w:cs="Arial" w:eastAsia="Arial" w:hAnsi="Arial"/>
                <w:sz w:val="18"/>
                <w:szCs w:val="18"/>
                <w:color w:val="auto"/>
                <w:w w:val="86"/>
              </w:rPr>
              <w:t>104</w:t>
            </w:r>
          </w:p>
        </w:tc>
        <w:tc>
          <w:tcPr>
            <w:tcW w:w="5720" w:type="dxa"/>
            <w:vAlign w:val="bottom"/>
            <w:gridSpan w:val="18"/>
            <w:shd w:val="clear" w:color="auto" w:fill="E4E4E4"/>
          </w:tcPr>
          <w:p>
            <w:pPr>
              <w:spacing w:after="0" w:line="200" w:lineRule="exact"/>
              <w:rPr>
                <w:sz w:val="20"/>
                <w:szCs w:val="20"/>
                <w:color w:val="auto"/>
              </w:rPr>
            </w:pPr>
            <w:r>
              <w:rPr>
                <w:rFonts w:ascii="Arial" w:cs="Arial" w:eastAsia="Arial" w:hAnsi="Arial"/>
                <w:sz w:val="18"/>
                <w:szCs w:val="18"/>
                <w:color w:val="auto"/>
                <w:w w:val="94"/>
              </w:rPr>
              <w:t>The cover page from The TJX Companies, Inc. s Annual  eport on Form 10-</w:t>
            </w:r>
          </w:p>
        </w:tc>
        <w:tc>
          <w:tcPr>
            <w:tcW w:w="1060" w:type="dxa"/>
            <w:vAlign w:val="bottom"/>
            <w:gridSpan w:val="10"/>
            <w:shd w:val="clear" w:color="auto" w:fill="E4E4E4"/>
          </w:tcPr>
          <w:p>
            <w:pPr>
              <w:ind w:left="20"/>
              <w:spacing w:after="0" w:line="200" w:lineRule="exact"/>
              <w:rPr>
                <w:sz w:val="20"/>
                <w:szCs w:val="20"/>
                <w:color w:val="auto"/>
              </w:rPr>
            </w:pPr>
            <w:r>
              <w:rPr>
                <w:rFonts w:ascii="Arial" w:cs="Arial" w:eastAsia="Arial" w:hAnsi="Arial"/>
                <w:sz w:val="18"/>
                <w:szCs w:val="18"/>
                <w:color w:val="auto"/>
              </w:rPr>
              <w:t>for the fiscal</w:t>
            </w:r>
          </w:p>
        </w:tc>
        <w:tc>
          <w:tcPr>
            <w:tcW w:w="60" w:type="dxa"/>
            <w:vAlign w:val="bottom"/>
            <w:shd w:val="clear" w:color="auto" w:fill="E4E4E4"/>
          </w:tcPr>
          <w:p>
            <w:pPr>
              <w:spacing w:after="0"/>
              <w:rPr>
                <w:sz w:val="17"/>
                <w:szCs w:val="17"/>
                <w:color w:val="auto"/>
              </w:rPr>
            </w:pPr>
          </w:p>
        </w:tc>
        <w:tc>
          <w:tcPr>
            <w:tcW w:w="78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60" w:type="dxa"/>
            <w:vAlign w:val="bottom"/>
            <w:tcBorders>
              <w:bottom w:val="single" w:sz="8" w:color="E4E4E4"/>
            </w:tcBorders>
            <w:shd w:val="clear" w:color="auto" w:fill="E4E4E4"/>
          </w:tcPr>
          <w:p>
            <w:pPr>
              <w:spacing w:after="0"/>
              <w:rPr>
                <w:sz w:val="20"/>
                <w:szCs w:val="20"/>
                <w:color w:val="auto"/>
              </w:rPr>
            </w:pPr>
          </w:p>
        </w:tc>
        <w:tc>
          <w:tcPr>
            <w:tcW w:w="3400" w:type="dxa"/>
            <w:vAlign w:val="bottom"/>
            <w:tcBorders>
              <w:bottom w:val="single" w:sz="8" w:color="E4E4E4"/>
            </w:tcBorders>
            <w:gridSpan w:val="13"/>
            <w:shd w:val="clear" w:color="auto" w:fill="E4E4E4"/>
          </w:tcPr>
          <w:p>
            <w:pPr>
              <w:spacing w:after="0"/>
              <w:rPr>
                <w:sz w:val="20"/>
                <w:szCs w:val="20"/>
                <w:color w:val="auto"/>
              </w:rPr>
            </w:pPr>
            <w:r>
              <w:rPr>
                <w:rFonts w:ascii="Arial" w:cs="Arial" w:eastAsia="Arial" w:hAnsi="Arial"/>
                <w:sz w:val="18"/>
                <w:szCs w:val="18"/>
                <w:color w:val="auto"/>
                <w:w w:val="90"/>
              </w:rPr>
              <w:t>year ended January 31, 2026, formatted in iXB</w:t>
            </w:r>
          </w:p>
        </w:tc>
        <w:tc>
          <w:tcPr>
            <w:tcW w:w="2320" w:type="dxa"/>
            <w:vAlign w:val="bottom"/>
            <w:tcBorders>
              <w:bottom w:val="single" w:sz="8" w:color="E4E4E4"/>
            </w:tcBorders>
            <w:gridSpan w:val="5"/>
            <w:shd w:val="clear" w:color="auto" w:fill="E4E4E4"/>
          </w:tcPr>
          <w:p>
            <w:pPr>
              <w:jc w:val="center"/>
              <w:ind w:right="140"/>
              <w:spacing w:after="0"/>
              <w:rPr>
                <w:sz w:val="20"/>
                <w:szCs w:val="20"/>
                <w:color w:val="auto"/>
              </w:rPr>
            </w:pPr>
            <w:r>
              <w:rPr>
                <w:rFonts w:ascii="Arial" w:cs="Arial" w:eastAsia="Arial" w:hAnsi="Arial"/>
                <w:sz w:val="18"/>
                <w:szCs w:val="18"/>
                <w:color w:val="auto"/>
                <w:w w:val="95"/>
              </w:rPr>
              <w:t>L (included in Exhibit 101)</w:t>
            </w:r>
          </w:p>
        </w:tc>
        <w:tc>
          <w:tcPr>
            <w:tcW w:w="5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left="350"/>
        <w:spacing w:after="0"/>
        <w:rPr>
          <w:sz w:val="20"/>
          <w:szCs w:val="20"/>
          <w:color w:val="auto"/>
        </w:rPr>
      </w:pPr>
      <w:r>
        <w:rPr>
          <w:rFonts w:ascii="Arial" w:cs="Arial" w:eastAsia="Arial" w:hAnsi="Arial"/>
          <w:sz w:val="18"/>
          <w:szCs w:val="18"/>
          <w:color w:val="auto"/>
        </w:rPr>
        <w:t>anagement contract or compensatory plan or arrangement.</w:t>
      </w:r>
    </w:p>
    <w:p>
      <w:pPr>
        <w:spacing w:after="0" w:line="129" w:lineRule="exact"/>
        <w:rPr>
          <w:sz w:val="20"/>
          <w:szCs w:val="20"/>
          <w:color w:val="auto"/>
        </w:rPr>
      </w:pPr>
    </w:p>
    <w:p>
      <w:pPr>
        <w:ind w:left="10" w:right="360" w:firstLine="225"/>
        <w:spacing w:after="0" w:line="314" w:lineRule="auto"/>
        <w:rPr>
          <w:sz w:val="20"/>
          <w:szCs w:val="20"/>
          <w:color w:val="auto"/>
        </w:rPr>
      </w:pPr>
      <w:r>
        <w:rPr>
          <w:rFonts w:ascii="Arial" w:cs="Arial" w:eastAsia="Arial" w:hAnsi="Arial"/>
          <w:sz w:val="17"/>
          <w:szCs w:val="17"/>
          <w:color w:val="auto"/>
        </w:rPr>
        <w:t>Schedules and certain portions of this exhibit are omitted pursuant to Item 601 of egulation S- . The Company agrees to furnish a supplemental copy of any omitted schedule or exhibit to the Securities and Exchange Commission upon re uest.</w:t>
      </w:r>
    </w:p>
    <w:p>
      <w:pPr>
        <w:spacing w:after="0" w:line="41" w:lineRule="exact"/>
        <w:rPr>
          <w:sz w:val="20"/>
          <w:szCs w:val="20"/>
          <w:color w:val="auto"/>
        </w:rPr>
      </w:pPr>
    </w:p>
    <w:p>
      <w:pPr>
        <w:ind w:left="730" w:hanging="730"/>
        <w:spacing w:after="0"/>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Paper filing.</w:t>
      </w:r>
    </w:p>
    <w:p>
      <w:pPr>
        <w:spacing w:after="0" w:line="129" w:lineRule="exact"/>
        <w:rPr>
          <w:sz w:val="20"/>
          <w:szCs w:val="20"/>
          <w:color w:val="auto"/>
        </w:rPr>
      </w:pPr>
    </w:p>
    <w:p>
      <w:pPr>
        <w:ind w:left="130"/>
        <w:spacing w:after="0"/>
        <w:rPr>
          <w:sz w:val="20"/>
          <w:szCs w:val="20"/>
          <w:color w:val="auto"/>
        </w:rPr>
      </w:pPr>
      <w:r>
        <w:rPr>
          <w:rFonts w:ascii="Arial" w:cs="Arial" w:eastAsia="Arial" w:hAnsi="Arial"/>
          <w:sz w:val="18"/>
          <w:szCs w:val="18"/>
          <w:color w:val="auto"/>
        </w:rPr>
        <w:t>nless otherwise indicated, exhibits incorporated by reference were filed under Commission File Number 001-04 08.</w:t>
      </w:r>
    </w:p>
    <w:p>
      <w:pPr>
        <w:spacing w:after="0" w:line="101" w:lineRule="exact"/>
        <w:rPr>
          <w:sz w:val="20"/>
          <w:szCs w:val="20"/>
          <w:color w:val="auto"/>
        </w:rPr>
      </w:pPr>
    </w:p>
    <w:p>
      <w:pPr>
        <w:ind w:left="10"/>
        <w:spacing w:after="0"/>
        <w:tabs>
          <w:tab w:leader="none" w:pos="689" w:val="left"/>
          <w:tab w:leader="none" w:pos="2309" w:val="left"/>
        </w:tabs>
        <w:rPr>
          <w:sz w:val="20"/>
          <w:szCs w:val="20"/>
          <w:color w:val="auto"/>
        </w:rPr>
      </w:pPr>
      <w:r>
        <w:rPr>
          <w:rFonts w:ascii="Arial" w:cs="Arial" w:eastAsia="Arial" w:hAnsi="Arial"/>
          <w:sz w:val="24"/>
          <w:szCs w:val="24"/>
          <w:color w:val="auto"/>
        </w:rPr>
        <w:t>I</w:t>
      </w:r>
      <w:r>
        <w:rPr>
          <w:sz w:val="20"/>
          <w:szCs w:val="20"/>
          <w:color w:val="auto"/>
        </w:rPr>
        <w:tab/>
      </w:r>
      <w:r>
        <w:rPr>
          <w:rFonts w:ascii="Arial" w:cs="Arial" w:eastAsia="Arial" w:hAnsi="Arial"/>
          <w:sz w:val="24"/>
          <w:szCs w:val="24"/>
          <w:color w:val="auto"/>
        </w:rPr>
        <w:t>16. Form 10</w:t>
      </w:r>
      <w:r>
        <w:rPr>
          <w:sz w:val="20"/>
          <w:szCs w:val="20"/>
          <w:color w:val="auto"/>
        </w:rPr>
        <w:tab/>
      </w:r>
      <w:r>
        <w:rPr>
          <w:rFonts w:ascii="Arial" w:cs="Arial" w:eastAsia="Arial" w:hAnsi="Arial"/>
          <w:sz w:val="23"/>
          <w:szCs w:val="23"/>
          <w:color w:val="auto"/>
        </w:rPr>
        <w:t>Summary</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20"/>
          <w:szCs w:val="20"/>
          <w:color w:val="auto"/>
        </w:rPr>
        <w:t>Not applicable.</w:t>
      </w:r>
    </w:p>
    <w:p>
      <w:pPr>
        <w:sectPr>
          <w:pgSz w:w="12240" w:h="15841" w:orient="portrait"/>
          <w:cols w:equalWidth="0" w:num="1">
            <w:col w:w="10090"/>
          </w:cols>
          <w:pgMar w:left="990" w:top="867" w:right="11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69"/>
        <w:spacing w:after="0"/>
        <w:rPr>
          <w:sz w:val="20"/>
          <w:szCs w:val="20"/>
          <w:color w:val="auto"/>
        </w:rPr>
      </w:pPr>
      <w:r>
        <w:rPr>
          <w:rFonts w:ascii="Arial" w:cs="Arial" w:eastAsia="Arial" w:hAnsi="Arial"/>
          <w:sz w:val="17"/>
          <w:szCs w:val="17"/>
          <w:color w:val="auto"/>
        </w:rPr>
        <w:t>45</w:t>
      </w:r>
    </w:p>
    <w:p>
      <w:pPr>
        <w:sectPr>
          <w:pgSz w:w="12240" w:h="15841" w:orient="portrait"/>
          <w:cols w:equalWidth="0" w:num="1">
            <w:col w:w="10090"/>
          </w:cols>
          <w:pgMar w:left="990" w:top="867" w:right="1161" w:bottom="0" w:gutter="0" w:footer="0" w:header="0"/>
          <w:type w:val="continuous"/>
        </w:sectPr>
      </w:pPr>
    </w:p>
    <w:bookmarkStart w:id="53" w:name="page54"/>
    <w:bookmarkEnd w:id="53"/>
    <w:p>
      <w:pPr>
        <w:ind w:left="4400"/>
        <w:spacing w:after="0"/>
        <w:tabs>
          <w:tab w:leader="none" w:pos="57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SI  N</w:t>
      </w:r>
      <w:r>
        <w:rPr>
          <w:sz w:val="20"/>
          <w:szCs w:val="20"/>
          <w:color w:val="auto"/>
        </w:rPr>
        <w:tab/>
      </w:r>
      <w:r>
        <w:rPr>
          <w:rFonts w:ascii="Arial" w:cs="Arial" w:eastAsia="Arial" w:hAnsi="Arial"/>
          <w:sz w:val="17"/>
          <w:szCs w:val="17"/>
          <w:color w:val="auto"/>
        </w:rPr>
        <w:t>S</w:t>
      </w:r>
    </w:p>
    <w:p>
      <w:pPr>
        <w:spacing w:after="0" w:line="145"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Pursuant to the re uirements of Section 13 or 15(d) of the Securities Exchange Act of 1 34, the egistrant has duly caused this report to be signed on its behalf by the undersigned, thereunto duly authori ed.</w:t>
      </w:r>
    </w:p>
    <w:p>
      <w:pPr>
        <w:spacing w:after="0" w:line="133" w:lineRule="exact"/>
        <w:rPr>
          <w:sz w:val="20"/>
          <w:szCs w:val="20"/>
          <w:color w:val="auto"/>
        </w:rPr>
      </w:pPr>
    </w:p>
    <w:p>
      <w:pPr>
        <w:ind w:left="5300"/>
        <w:spacing w:after="0"/>
        <w:tabs>
          <w:tab w:leader="none" w:pos="6560" w:val="left"/>
        </w:tabs>
        <w:rPr>
          <w:sz w:val="20"/>
          <w:szCs w:val="20"/>
          <w:color w:val="auto"/>
        </w:rPr>
      </w:pPr>
      <w:r>
        <w:rPr>
          <w:rFonts w:ascii="Arial" w:cs="Arial" w:eastAsia="Arial" w:hAnsi="Arial"/>
          <w:sz w:val="20"/>
          <w:szCs w:val="20"/>
          <w:color w:val="auto"/>
        </w:rPr>
        <w:t>T  E TJX C</w:t>
      </w:r>
      <w:r>
        <w:rPr>
          <w:sz w:val="20"/>
          <w:szCs w:val="20"/>
          <w:color w:val="auto"/>
        </w:rPr>
        <w:tab/>
      </w:r>
      <w:r>
        <w:rPr>
          <w:rFonts w:ascii="Arial" w:cs="Arial" w:eastAsia="Arial" w:hAnsi="Arial"/>
          <w:sz w:val="19"/>
          <w:szCs w:val="19"/>
          <w:color w:val="auto"/>
        </w:rPr>
        <w:t>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bottom w:val="single" w:sz="8" w:color="auto"/>
            </w:tcBorders>
          </w:tcPr>
          <w:p>
            <w:pPr>
              <w:jc w:val="center"/>
              <w:ind w:left="60"/>
              <w:spacing w:after="0"/>
              <w:rPr>
                <w:sz w:val="20"/>
                <w:szCs w:val="20"/>
                <w:color w:val="auto"/>
              </w:rPr>
            </w:pPr>
            <w:r>
              <w:rPr>
                <w:rFonts w:ascii="Arial" w:cs="Arial" w:eastAsia="Arial" w:hAnsi="Arial"/>
                <w:sz w:val="20"/>
                <w:szCs w:val="20"/>
                <w:color w:val="auto"/>
              </w:rPr>
              <w:t>s J</w:t>
            </w:r>
          </w:p>
        </w:tc>
        <w:tc>
          <w:tcPr>
            <w:tcW w:w="37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N  LIN  E</w:t>
            </w:r>
          </w:p>
        </w:tc>
      </w:tr>
      <w:tr>
        <w:trPr>
          <w:trHeight w:val="264"/>
        </w:trPr>
        <w:tc>
          <w:tcPr>
            <w:tcW w:w="820" w:type="dxa"/>
            <w:vAlign w:val="bottom"/>
          </w:tcPr>
          <w:p>
            <w:pPr>
              <w:ind w:left="80"/>
              <w:spacing w:after="0"/>
              <w:rPr>
                <w:sz w:val="20"/>
                <w:szCs w:val="20"/>
                <w:color w:val="auto"/>
              </w:rPr>
            </w:pPr>
            <w:r>
              <w:rPr>
                <w:rFonts w:ascii="Arial" w:cs="Arial" w:eastAsia="Arial" w:hAnsi="Arial"/>
                <w:sz w:val="20"/>
                <w:szCs w:val="20"/>
                <w:color w:val="auto"/>
              </w:rPr>
              <w:t>Dated:</w:t>
            </w:r>
          </w:p>
        </w:tc>
        <w:tc>
          <w:tcPr>
            <w:tcW w:w="4400" w:type="dxa"/>
            <w:vAlign w:val="bottom"/>
          </w:tcPr>
          <w:p>
            <w:pPr>
              <w:ind w:left="180"/>
              <w:spacing w:after="0"/>
              <w:rPr>
                <w:sz w:val="20"/>
                <w:szCs w:val="20"/>
                <w:color w:val="auto"/>
              </w:rPr>
            </w:pPr>
            <w:r>
              <w:rPr>
                <w:rFonts w:ascii="Arial" w:cs="Arial" w:eastAsia="Arial" w:hAnsi="Arial"/>
                <w:sz w:val="20"/>
                <w:szCs w:val="20"/>
                <w:color w:val="auto"/>
              </w:rPr>
              <w:t>arch 31, 2026</w:t>
            </w:r>
          </w:p>
        </w:tc>
        <w:tc>
          <w:tcPr>
            <w:tcW w:w="340" w:type="dxa"/>
            <w:vAlign w:val="bottom"/>
          </w:tcPr>
          <w:p>
            <w:pPr>
              <w:spacing w:after="0"/>
              <w:rPr>
                <w:sz w:val="22"/>
                <w:szCs w:val="22"/>
                <w:color w:val="auto"/>
              </w:rPr>
            </w:pPr>
          </w:p>
        </w:tc>
        <w:tc>
          <w:tcPr>
            <w:tcW w:w="740" w:type="dxa"/>
            <w:vAlign w:val="bottom"/>
          </w:tcPr>
          <w:p>
            <w:pPr>
              <w:jc w:val="center"/>
              <w:ind w:left="100"/>
              <w:spacing w:after="0"/>
              <w:rPr>
                <w:sz w:val="20"/>
                <w:szCs w:val="20"/>
                <w:color w:val="auto"/>
              </w:rPr>
            </w:pPr>
            <w:r>
              <w:rPr>
                <w:rFonts w:ascii="Arial" w:cs="Arial" w:eastAsia="Arial" w:hAnsi="Arial"/>
                <w:sz w:val="20"/>
                <w:szCs w:val="20"/>
                <w:color w:val="auto"/>
                <w:w w:val="87"/>
              </w:rPr>
              <w:t>John</w:t>
            </w:r>
          </w:p>
        </w:tc>
        <w:tc>
          <w:tcPr>
            <w:tcW w:w="3740" w:type="dxa"/>
            <w:vAlign w:val="bottom"/>
          </w:tcPr>
          <w:p>
            <w:pPr>
              <w:ind w:left="100"/>
              <w:spacing w:after="0"/>
              <w:rPr>
                <w:sz w:val="20"/>
                <w:szCs w:val="20"/>
                <w:color w:val="auto"/>
              </w:rPr>
            </w:pPr>
            <w:r>
              <w:rPr>
                <w:rFonts w:ascii="Arial" w:cs="Arial" w:eastAsia="Arial" w:hAnsi="Arial"/>
                <w:sz w:val="20"/>
                <w:szCs w:val="20"/>
                <w:color w:val="auto"/>
              </w:rPr>
              <w:t>linger, Chief Financial  fficer</w:t>
            </w:r>
          </w:p>
        </w:tc>
      </w:tr>
      <w:tr>
        <w:trPr>
          <w:trHeight w:val="415"/>
        </w:trPr>
        <w:tc>
          <w:tcPr>
            <w:tcW w:w="5220" w:type="dxa"/>
            <w:vAlign w:val="bottom"/>
            <w:gridSpan w:val="2"/>
          </w:tcPr>
          <w:p>
            <w:pPr>
              <w:spacing w:after="0"/>
              <w:rPr>
                <w:sz w:val="20"/>
                <w:szCs w:val="20"/>
                <w:color w:val="auto"/>
              </w:rPr>
            </w:pPr>
            <w:r>
              <w:rPr>
                <w:rFonts w:ascii="Arial" w:cs="Arial" w:eastAsia="Arial" w:hAnsi="Arial"/>
                <w:sz w:val="20"/>
                <w:szCs w:val="20"/>
                <w:color w:val="auto"/>
                <w:w w:val="91"/>
              </w:rPr>
              <w:t>Pursuant to the re uirements of the Securities Exchange Act of 1</w:t>
            </w:r>
          </w:p>
        </w:tc>
        <w:tc>
          <w:tcPr>
            <w:tcW w:w="4820" w:type="dxa"/>
            <w:vAlign w:val="bottom"/>
            <w:gridSpan w:val="3"/>
          </w:tcPr>
          <w:p>
            <w:pPr>
              <w:ind w:left="60"/>
              <w:spacing w:after="0"/>
              <w:rPr>
                <w:sz w:val="20"/>
                <w:szCs w:val="20"/>
                <w:color w:val="auto"/>
              </w:rPr>
            </w:pPr>
            <w:r>
              <w:rPr>
                <w:rFonts w:ascii="Arial" w:cs="Arial" w:eastAsia="Arial" w:hAnsi="Arial"/>
                <w:sz w:val="20"/>
                <w:szCs w:val="20"/>
                <w:color w:val="auto"/>
                <w:w w:val="99"/>
              </w:rPr>
              <w:t>34, this report has been signed below by the following</w:t>
            </w:r>
          </w:p>
        </w:tc>
      </w:tr>
    </w:tbl>
    <w:p>
      <w:pPr>
        <w:spacing w:after="0"/>
        <w:tabs>
          <w:tab w:leader="none" w:pos="2080" w:val="left"/>
        </w:tabs>
        <w:rPr>
          <w:sz w:val="20"/>
          <w:szCs w:val="20"/>
          <w:color w:val="auto"/>
        </w:rPr>
      </w:pPr>
      <w:r>
        <w:rPr>
          <w:rFonts w:ascii="Arial" w:cs="Arial" w:eastAsia="Arial" w:hAnsi="Arial"/>
          <w:sz w:val="20"/>
          <w:szCs w:val="20"/>
          <w:color w:val="auto"/>
        </w:rPr>
        <w:t>persons on behalf of the</w:t>
      </w:r>
      <w:r>
        <w:rPr>
          <w:sz w:val="20"/>
          <w:szCs w:val="20"/>
          <w:color w:val="auto"/>
        </w:rPr>
        <w:tab/>
      </w:r>
      <w:r>
        <w:rPr>
          <w:rFonts w:ascii="Arial" w:cs="Arial" w:eastAsia="Arial" w:hAnsi="Arial"/>
          <w:sz w:val="17"/>
          <w:szCs w:val="17"/>
          <w:color w:val="auto"/>
        </w:rPr>
        <w:t>egistrant and in the capacities and on the date indicated.</w:t>
      </w:r>
    </w:p>
    <w:p>
      <w:pPr>
        <w:sectPr>
          <w:pgSz w:w="12240" w:h="15841" w:orient="portrait"/>
          <w:cols w:equalWidth="0" w:num="1">
            <w:col w:w="10240"/>
          </w:cols>
          <w:pgMar w:left="1000" w:top="778" w:right="1001" w:bottom="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E</w:t>
            </w: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NIE</w:t>
            </w:r>
          </w:p>
        </w:tc>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w:t>
            </w:r>
          </w:p>
        </w:tc>
        <w:tc>
          <w:tcPr>
            <w:tcW w:w="34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AN</w:t>
            </w:r>
          </w:p>
        </w:tc>
      </w:tr>
      <w:tr>
        <w:trPr>
          <w:trHeight w:val="204"/>
        </w:trPr>
        <w:tc>
          <w:tcPr>
            <w:tcW w:w="640" w:type="dxa"/>
            <w:vAlign w:val="bottom"/>
            <w:gridSpan w:val="2"/>
          </w:tcPr>
          <w:p>
            <w:pPr>
              <w:ind w:left="40"/>
              <w:spacing w:after="0" w:line="204" w:lineRule="exact"/>
              <w:rPr>
                <w:sz w:val="20"/>
                <w:szCs w:val="20"/>
                <w:color w:val="auto"/>
              </w:rPr>
            </w:pPr>
            <w:r>
              <w:rPr>
                <w:rFonts w:ascii="Arial" w:cs="Arial" w:eastAsia="Arial" w:hAnsi="Arial"/>
                <w:sz w:val="20"/>
                <w:szCs w:val="20"/>
                <w:color w:val="auto"/>
              </w:rPr>
              <w:t>Ernie</w:t>
            </w:r>
          </w:p>
        </w:tc>
        <w:tc>
          <w:tcPr>
            <w:tcW w:w="4220" w:type="dxa"/>
            <w:vAlign w:val="bottom"/>
            <w:gridSpan w:val="3"/>
          </w:tcPr>
          <w:p>
            <w:pPr>
              <w:ind w:left="40"/>
              <w:spacing w:after="0" w:line="204" w:lineRule="exact"/>
              <w:rPr>
                <w:sz w:val="20"/>
                <w:szCs w:val="20"/>
                <w:color w:val="auto"/>
              </w:rPr>
            </w:pPr>
            <w:r>
              <w:rPr>
                <w:rFonts w:ascii="Arial" w:cs="Arial" w:eastAsia="Arial" w:hAnsi="Arial"/>
                <w:sz w:val="20"/>
                <w:szCs w:val="20"/>
                <w:color w:val="auto"/>
              </w:rPr>
              <w:t>errman, Chief Executive  fficer, President and</w:t>
            </w:r>
          </w:p>
        </w:tc>
      </w:tr>
      <w:tr>
        <w:trPr>
          <w:trHeight w:val="261"/>
        </w:trPr>
        <w:tc>
          <w:tcPr>
            <w:tcW w:w="4860" w:type="dxa"/>
            <w:vAlign w:val="bottom"/>
            <w:gridSpan w:val="5"/>
          </w:tcPr>
          <w:p>
            <w:pPr>
              <w:ind w:left="40"/>
              <w:spacing w:after="0"/>
              <w:rPr>
                <w:sz w:val="20"/>
                <w:szCs w:val="20"/>
                <w:color w:val="auto"/>
              </w:rPr>
            </w:pPr>
            <w:r>
              <w:rPr>
                <w:rFonts w:ascii="Arial" w:cs="Arial" w:eastAsia="Arial" w:hAnsi="Arial"/>
                <w:sz w:val="20"/>
                <w:szCs w:val="20"/>
                <w:color w:val="auto"/>
              </w:rPr>
              <w:t>Director (Principal Executive  fficer)</w:t>
            </w:r>
          </w:p>
        </w:tc>
      </w:tr>
      <w:tr>
        <w:trPr>
          <w:trHeight w:val="610"/>
        </w:trPr>
        <w:tc>
          <w:tcPr>
            <w:tcW w:w="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J  S</w:t>
            </w: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B. AL</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A</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E</w:t>
            </w:r>
          </w:p>
        </w:tc>
      </w:tr>
      <w:tr>
        <w:trPr>
          <w:trHeight w:val="264"/>
        </w:trPr>
        <w:tc>
          <w:tcPr>
            <w:tcW w:w="420" w:type="dxa"/>
            <w:vAlign w:val="bottom"/>
          </w:tcPr>
          <w:p>
            <w:pPr>
              <w:ind w:left="40"/>
              <w:spacing w:after="0"/>
              <w:rPr>
                <w:sz w:val="20"/>
                <w:szCs w:val="20"/>
                <w:color w:val="auto"/>
              </w:rPr>
            </w:pPr>
            <w:r>
              <w:rPr>
                <w:rFonts w:ascii="Arial" w:cs="Arial" w:eastAsia="Arial" w:hAnsi="Arial"/>
                <w:sz w:val="20"/>
                <w:szCs w:val="20"/>
                <w:color w:val="auto"/>
              </w:rPr>
              <w:t>Jos</w:t>
            </w:r>
          </w:p>
        </w:tc>
        <w:tc>
          <w:tcPr>
            <w:tcW w:w="4440" w:type="dxa"/>
            <w:vAlign w:val="bottom"/>
            <w:gridSpan w:val="4"/>
          </w:tcPr>
          <w:p>
            <w:pPr>
              <w:ind w:left="20"/>
              <w:spacing w:after="0"/>
              <w:rPr>
                <w:sz w:val="20"/>
                <w:szCs w:val="20"/>
                <w:color w:val="auto"/>
              </w:rPr>
            </w:pPr>
            <w:r>
              <w:rPr>
                <w:rFonts w:ascii="Arial" w:cs="Arial" w:eastAsia="Arial" w:hAnsi="Arial"/>
                <w:sz w:val="20"/>
                <w:szCs w:val="20"/>
                <w:color w:val="auto"/>
              </w:rPr>
              <w:t>B. Alvare , Director</w:t>
            </w:r>
          </w:p>
        </w:tc>
      </w:tr>
      <w:tr>
        <w:trPr>
          <w:trHeight w:val="616"/>
        </w:trPr>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ALAN</w:t>
            </w:r>
          </w:p>
        </w:tc>
        <w:tc>
          <w:tcPr>
            <w:tcW w:w="4220" w:type="dxa"/>
            <w:vAlign w:val="bottom"/>
            <w:tcBorders>
              <w:bottom w:val="single" w:sz="8" w:color="auto"/>
            </w:tcBorders>
            <w:gridSpan w:val="3"/>
          </w:tcPr>
          <w:p>
            <w:pPr>
              <w:ind w:left="180"/>
              <w:spacing w:after="0"/>
              <w:rPr>
                <w:sz w:val="20"/>
                <w:szCs w:val="20"/>
                <w:color w:val="auto"/>
              </w:rPr>
            </w:pPr>
            <w:r>
              <w:rPr>
                <w:rFonts w:ascii="Arial" w:cs="Arial" w:eastAsia="Arial" w:hAnsi="Arial"/>
                <w:sz w:val="20"/>
                <w:szCs w:val="20"/>
                <w:color w:val="auto"/>
              </w:rPr>
              <w:t>. BENNETT</w:t>
            </w:r>
          </w:p>
        </w:tc>
      </w:tr>
      <w:tr>
        <w:trPr>
          <w:trHeight w:val="264"/>
        </w:trPr>
        <w:tc>
          <w:tcPr>
            <w:tcW w:w="640" w:type="dxa"/>
            <w:vAlign w:val="bottom"/>
            <w:gridSpan w:val="2"/>
          </w:tcPr>
          <w:p>
            <w:pPr>
              <w:ind w:left="40"/>
              <w:spacing w:after="0"/>
              <w:rPr>
                <w:sz w:val="20"/>
                <w:szCs w:val="20"/>
                <w:color w:val="auto"/>
              </w:rPr>
            </w:pPr>
            <w:r>
              <w:rPr>
                <w:rFonts w:ascii="Arial" w:cs="Arial" w:eastAsia="Arial" w:hAnsi="Arial"/>
                <w:sz w:val="20"/>
                <w:szCs w:val="20"/>
                <w:color w:val="auto"/>
              </w:rPr>
              <w:t>Alan</w:t>
            </w:r>
          </w:p>
        </w:tc>
        <w:tc>
          <w:tcPr>
            <w:tcW w:w="4220" w:type="dxa"/>
            <w:vAlign w:val="bottom"/>
            <w:gridSpan w:val="3"/>
          </w:tcPr>
          <w:p>
            <w:pPr>
              <w:ind w:left="20"/>
              <w:spacing w:after="0"/>
              <w:rPr>
                <w:sz w:val="20"/>
                <w:szCs w:val="20"/>
                <w:color w:val="auto"/>
              </w:rPr>
            </w:pPr>
            <w:r>
              <w:rPr>
                <w:rFonts w:ascii="Arial" w:cs="Arial" w:eastAsia="Arial" w:hAnsi="Arial"/>
                <w:sz w:val="20"/>
                <w:szCs w:val="20"/>
                <w:color w:val="auto"/>
              </w:rPr>
              <w:t>. Bennett, Director</w:t>
            </w:r>
          </w:p>
        </w:tc>
      </w:tr>
      <w:tr>
        <w:trPr>
          <w:trHeight w:val="616"/>
        </w:trPr>
        <w:tc>
          <w:tcPr>
            <w:tcW w:w="64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SE</w:t>
            </w:r>
          </w:p>
        </w:tc>
        <w:tc>
          <w:tcPr>
            <w:tcW w:w="422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A  Y T. BE   E  Y</w:t>
            </w:r>
          </w:p>
        </w:tc>
      </w:tr>
      <w:tr>
        <w:trPr>
          <w:trHeight w:val="264"/>
        </w:trPr>
        <w:tc>
          <w:tcPr>
            <w:tcW w:w="4860" w:type="dxa"/>
            <w:vAlign w:val="bottom"/>
            <w:gridSpan w:val="5"/>
          </w:tcPr>
          <w:p>
            <w:pPr>
              <w:ind w:left="180"/>
              <w:spacing w:after="0"/>
              <w:rPr>
                <w:sz w:val="20"/>
                <w:szCs w:val="20"/>
                <w:color w:val="auto"/>
              </w:rPr>
            </w:pPr>
            <w:r>
              <w:rPr>
                <w:rFonts w:ascii="Arial" w:cs="Arial" w:eastAsia="Arial" w:hAnsi="Arial"/>
                <w:sz w:val="20"/>
                <w:szCs w:val="20"/>
                <w:color w:val="auto"/>
              </w:rPr>
              <w:t>osemary T. Berkery, Director</w:t>
            </w:r>
          </w:p>
        </w:tc>
      </w:tr>
      <w:tr>
        <w:trPr>
          <w:trHeight w:val="616"/>
        </w:trPr>
        <w:tc>
          <w:tcPr>
            <w:tcW w:w="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DA</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20"/>
                <w:szCs w:val="20"/>
                <w:color w:val="auto"/>
              </w:rPr>
              <w:t>ID T. C  IN</w:t>
            </w:r>
          </w:p>
        </w:tc>
        <w:tc>
          <w:tcPr>
            <w:tcW w:w="3400" w:type="dxa"/>
            <w:vAlign w:val="bottom"/>
            <w:tcBorders>
              <w:bottom w:val="single" w:sz="8" w:color="auto"/>
            </w:tcBorders>
          </w:tcPr>
          <w:p>
            <w:pPr>
              <w:spacing w:after="0"/>
              <w:rPr>
                <w:sz w:val="24"/>
                <w:szCs w:val="24"/>
                <w:color w:val="auto"/>
              </w:rPr>
            </w:pPr>
          </w:p>
        </w:tc>
      </w:tr>
      <w:tr>
        <w:trPr>
          <w:trHeight w:val="264"/>
        </w:trPr>
        <w:tc>
          <w:tcPr>
            <w:tcW w:w="4860" w:type="dxa"/>
            <w:vAlign w:val="bottom"/>
            <w:gridSpan w:val="5"/>
          </w:tcPr>
          <w:p>
            <w:pPr>
              <w:ind w:left="40"/>
              <w:spacing w:after="0"/>
              <w:rPr>
                <w:sz w:val="20"/>
                <w:szCs w:val="20"/>
                <w:color w:val="auto"/>
              </w:rPr>
            </w:pPr>
            <w:r>
              <w:rPr>
                <w:rFonts w:ascii="Arial" w:cs="Arial" w:eastAsia="Arial" w:hAnsi="Arial"/>
                <w:sz w:val="20"/>
                <w:szCs w:val="20"/>
                <w:color w:val="auto"/>
              </w:rPr>
              <w:t>David T. Ching, Director</w:t>
            </w:r>
          </w:p>
        </w:tc>
      </w:tr>
      <w:tr>
        <w:trPr>
          <w:trHeight w:val="616"/>
        </w:trPr>
        <w:tc>
          <w:tcPr>
            <w:tcW w:w="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w:t>
            </w:r>
          </w:p>
        </w:tc>
        <w:tc>
          <w:tcPr>
            <w:tcW w:w="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D</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IN</w:t>
            </w:r>
          </w:p>
        </w:tc>
      </w:tr>
      <w:tr>
        <w:trPr>
          <w:trHeight w:val="264"/>
        </w:trPr>
        <w:tc>
          <w:tcPr>
            <w:tcW w:w="420" w:type="dxa"/>
            <w:vAlign w:val="bottom"/>
          </w:tcPr>
          <w:p>
            <w:pPr>
              <w:ind w:left="40"/>
              <w:spacing w:after="0"/>
              <w:rPr>
                <w:sz w:val="20"/>
                <w:szCs w:val="20"/>
                <w:color w:val="auto"/>
              </w:rPr>
            </w:pPr>
            <w:r>
              <w:rPr>
                <w:rFonts w:ascii="Arial" w:cs="Arial" w:eastAsia="Arial" w:hAnsi="Arial"/>
                <w:sz w:val="20"/>
                <w:szCs w:val="20"/>
                <w:color w:val="auto"/>
              </w:rPr>
              <w:t>C.</w:t>
            </w:r>
          </w:p>
        </w:tc>
        <w:tc>
          <w:tcPr>
            <w:tcW w:w="220" w:type="dxa"/>
            <w:vAlign w:val="bottom"/>
          </w:tcPr>
          <w:p>
            <w:pPr>
              <w:spacing w:after="0"/>
              <w:rPr>
                <w:sz w:val="20"/>
                <w:szCs w:val="20"/>
                <w:color w:val="auto"/>
              </w:rPr>
            </w:pPr>
            <w:r>
              <w:rPr>
                <w:rFonts w:ascii="Arial" w:cs="Arial" w:eastAsia="Arial" w:hAnsi="Arial"/>
                <w:sz w:val="20"/>
                <w:szCs w:val="20"/>
                <w:color w:val="auto"/>
                <w:w w:val="94"/>
              </w:rPr>
              <w:t>im</w:t>
            </w:r>
          </w:p>
        </w:tc>
        <w:tc>
          <w:tcPr>
            <w:tcW w:w="4220" w:type="dxa"/>
            <w:vAlign w:val="bottom"/>
            <w:gridSpan w:val="3"/>
          </w:tcPr>
          <w:p>
            <w:pPr>
              <w:ind w:left="180"/>
              <w:spacing w:after="0"/>
              <w:rPr>
                <w:sz w:val="20"/>
                <w:szCs w:val="20"/>
                <w:color w:val="auto"/>
              </w:rPr>
            </w:pPr>
            <w:r>
              <w:rPr>
                <w:rFonts w:ascii="Arial" w:cs="Arial" w:eastAsia="Arial" w:hAnsi="Arial"/>
                <w:sz w:val="20"/>
                <w:szCs w:val="20"/>
                <w:color w:val="auto"/>
              </w:rPr>
              <w:t>oodwin, Director</w:t>
            </w: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120"/>
        <w:spacing w:after="0"/>
        <w:tabs>
          <w:tab w:leader="none" w:pos="640" w:val="left"/>
          <w:tab w:leader="none" w:pos="980" w:val="left"/>
        </w:tabs>
        <w:rPr>
          <w:sz w:val="20"/>
          <w:szCs w:val="20"/>
          <w:color w:val="auto"/>
        </w:rPr>
      </w:pPr>
      <w:r>
        <w:rPr>
          <w:rFonts w:ascii="Arial" w:cs="Arial" w:eastAsia="Arial" w:hAnsi="Arial"/>
          <w:sz w:val="20"/>
          <w:szCs w:val="20"/>
          <w:color w:val="auto"/>
        </w:rPr>
        <w:t>s J</w:t>
        <w:tab/>
        <w:t>N</w:t>
        <w:tab/>
        <w:t>LIN  E</w:t>
      </w:r>
    </w:p>
    <w:p>
      <w:pPr>
        <w:spacing w:after="0" w:line="70" w:lineRule="exact"/>
        <w:rPr>
          <w:sz w:val="20"/>
          <w:szCs w:val="20"/>
          <w:color w:val="auto"/>
        </w:rPr>
      </w:pPr>
    </w:p>
    <w:p>
      <w:pPr>
        <w:ind w:left="60" w:right="1660"/>
        <w:spacing w:after="0" w:line="266" w:lineRule="auto"/>
        <w:rPr>
          <w:sz w:val="20"/>
          <w:szCs w:val="20"/>
          <w:color w:val="auto"/>
        </w:rPr>
      </w:pPr>
      <w:r>
        <w:rPr>
          <w:rFonts w:ascii="Arial" w:cs="Arial" w:eastAsia="Arial" w:hAnsi="Arial"/>
          <w:sz w:val="19"/>
          <w:szCs w:val="19"/>
          <w:color w:val="auto"/>
        </w:rPr>
        <w:t>John linger, Chief Financial fficer (Principal Financial and Accounting fficer)</w:t>
      </w:r>
    </w:p>
    <w:p>
      <w:pPr>
        <w:spacing w:after="0" w:line="31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20"/>
          <w:szCs w:val="20"/>
          <w:color w:val="auto"/>
        </w:rPr>
        <w:t>A</w:t>
        <w:tab/>
        <w:t>Y B. LANE</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20"/>
          <w:szCs w:val="20"/>
          <w:color w:val="auto"/>
        </w:rPr>
        <w:t>Amy B. Lane, Director</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CA</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L</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EY</w:t>
            </w:r>
          </w:p>
        </w:tc>
        <w:tc>
          <w:tcPr>
            <w:tcW w:w="36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IT</w:t>
            </w:r>
          </w:p>
        </w:tc>
      </w:tr>
      <w:tr>
        <w:trPr>
          <w:trHeight w:val="264"/>
        </w:trPr>
        <w:tc>
          <w:tcPr>
            <w:tcW w:w="560" w:type="dxa"/>
            <w:vAlign w:val="bottom"/>
          </w:tcPr>
          <w:p>
            <w:pPr>
              <w:ind w:left="60"/>
              <w:spacing w:after="0"/>
              <w:rPr>
                <w:sz w:val="20"/>
                <w:szCs w:val="20"/>
                <w:color w:val="auto"/>
              </w:rPr>
            </w:pPr>
            <w:r>
              <w:rPr>
                <w:rFonts w:ascii="Arial" w:cs="Arial" w:eastAsia="Arial" w:hAnsi="Arial"/>
                <w:sz w:val="20"/>
                <w:szCs w:val="20"/>
                <w:color w:val="auto"/>
              </w:rPr>
              <w:t>Carol</w:t>
            </w:r>
          </w:p>
        </w:tc>
        <w:tc>
          <w:tcPr>
            <w:tcW w:w="4740" w:type="dxa"/>
            <w:vAlign w:val="bottom"/>
            <w:gridSpan w:val="3"/>
          </w:tcPr>
          <w:p>
            <w:pPr>
              <w:ind w:left="160"/>
              <w:spacing w:after="0"/>
              <w:rPr>
                <w:sz w:val="20"/>
                <w:szCs w:val="20"/>
                <w:color w:val="auto"/>
              </w:rPr>
            </w:pPr>
            <w:r>
              <w:rPr>
                <w:rFonts w:ascii="Arial" w:cs="Arial" w:eastAsia="Arial" w:hAnsi="Arial"/>
                <w:sz w:val="20"/>
                <w:szCs w:val="20"/>
                <w:color w:val="auto"/>
                <w:w w:val="94"/>
              </w:rPr>
              <w:t>eyrowit , Executive Chairman of the Board of Directors</w:t>
            </w:r>
          </w:p>
        </w:tc>
      </w:tr>
      <w:tr>
        <w:trPr>
          <w:trHeight w:val="616"/>
        </w:trPr>
        <w:tc>
          <w:tcPr>
            <w:tcW w:w="5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JAC</w:t>
            </w: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YN L. NE</w:t>
            </w:r>
          </w:p>
        </w:tc>
        <w:tc>
          <w:tcPr>
            <w:tcW w:w="36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E</w:t>
            </w:r>
          </w:p>
        </w:tc>
      </w:tr>
      <w:tr>
        <w:trPr>
          <w:trHeight w:val="264"/>
        </w:trPr>
        <w:tc>
          <w:tcPr>
            <w:tcW w:w="5300" w:type="dxa"/>
            <w:vAlign w:val="bottom"/>
            <w:gridSpan w:val="4"/>
          </w:tcPr>
          <w:p>
            <w:pPr>
              <w:ind w:left="60"/>
              <w:spacing w:after="0"/>
              <w:rPr>
                <w:sz w:val="20"/>
                <w:szCs w:val="20"/>
                <w:color w:val="auto"/>
              </w:rPr>
            </w:pPr>
            <w:r>
              <w:rPr>
                <w:rFonts w:ascii="Arial" w:cs="Arial" w:eastAsia="Arial" w:hAnsi="Arial"/>
                <w:sz w:val="20"/>
                <w:szCs w:val="20"/>
                <w:color w:val="auto"/>
              </w:rPr>
              <w:t>Jackwyn L. Nemerov, Director</w:t>
            </w:r>
          </w:p>
        </w:tc>
      </w:tr>
      <w:tr>
        <w:trPr>
          <w:trHeight w:val="616"/>
        </w:trPr>
        <w:tc>
          <w:tcPr>
            <w:tcW w:w="5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C  A</w:t>
            </w: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LES F.   A</w:t>
            </w:r>
          </w:p>
        </w:tc>
        <w:tc>
          <w:tcPr>
            <w:tcW w:w="36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NE  , J  .</w:t>
            </w:r>
          </w:p>
        </w:tc>
      </w:tr>
      <w:tr>
        <w:trPr>
          <w:trHeight w:val="264"/>
        </w:trPr>
        <w:tc>
          <w:tcPr>
            <w:tcW w:w="920" w:type="dxa"/>
            <w:vAlign w:val="bottom"/>
            <w:gridSpan w:val="2"/>
          </w:tcPr>
          <w:p>
            <w:pPr>
              <w:ind w:left="60"/>
              <w:spacing w:after="0"/>
              <w:rPr>
                <w:sz w:val="20"/>
                <w:szCs w:val="20"/>
                <w:color w:val="auto"/>
              </w:rPr>
            </w:pPr>
            <w:r>
              <w:rPr>
                <w:rFonts w:ascii="Arial" w:cs="Arial" w:eastAsia="Arial" w:hAnsi="Arial"/>
                <w:sz w:val="20"/>
                <w:szCs w:val="20"/>
                <w:color w:val="auto"/>
                <w:w w:val="91"/>
              </w:rPr>
              <w:t>Charles F.</w:t>
            </w:r>
          </w:p>
        </w:tc>
        <w:tc>
          <w:tcPr>
            <w:tcW w:w="4380" w:type="dxa"/>
            <w:vAlign w:val="bottom"/>
            <w:gridSpan w:val="2"/>
          </w:tcPr>
          <w:p>
            <w:pPr>
              <w:ind w:left="200"/>
              <w:spacing w:after="0"/>
              <w:rPr>
                <w:sz w:val="20"/>
                <w:szCs w:val="20"/>
                <w:color w:val="auto"/>
              </w:rPr>
            </w:pPr>
            <w:r>
              <w:rPr>
                <w:rFonts w:ascii="Arial" w:cs="Arial" w:eastAsia="Arial" w:hAnsi="Arial"/>
                <w:sz w:val="20"/>
                <w:szCs w:val="20"/>
                <w:color w:val="auto"/>
              </w:rPr>
              <w:t>agner, Jr., Director</w:t>
            </w:r>
          </w:p>
        </w:tc>
      </w:tr>
    </w:tbl>
    <w:p>
      <w:pPr>
        <w:spacing w:after="0" w:line="1100" w:lineRule="exact"/>
        <w:rPr>
          <w:sz w:val="20"/>
          <w:szCs w:val="20"/>
          <w:color w:val="auto"/>
        </w:rPr>
      </w:pPr>
    </w:p>
    <w:p>
      <w:pPr>
        <w:sectPr>
          <w:pgSz w:w="12240" w:h="15841" w:orient="portrait"/>
          <w:cols w:equalWidth="0" w:num="2">
            <w:col w:w="4860" w:space="60"/>
            <w:col w:w="5320"/>
          </w:cols>
          <w:pgMar w:left="1000" w:top="778" w:right="100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20" w:type="dxa"/>
            <w:vAlign w:val="bottom"/>
          </w:tcPr>
          <w:p>
            <w:pPr>
              <w:spacing w:after="0"/>
              <w:rPr>
                <w:sz w:val="22"/>
                <w:szCs w:val="22"/>
                <w:color w:val="auto"/>
              </w:rPr>
            </w:pPr>
          </w:p>
        </w:tc>
        <w:tc>
          <w:tcPr>
            <w:tcW w:w="5220" w:type="dxa"/>
            <w:vAlign w:val="bottom"/>
          </w:tcPr>
          <w:p>
            <w:pPr>
              <w:ind w:left="4880"/>
              <w:spacing w:after="0"/>
              <w:rPr>
                <w:sz w:val="20"/>
                <w:szCs w:val="20"/>
                <w:color w:val="auto"/>
              </w:rPr>
            </w:pPr>
            <w:r>
              <w:rPr>
                <w:rFonts w:ascii="Arial" w:cs="Arial" w:eastAsia="Arial" w:hAnsi="Arial"/>
                <w:sz w:val="20"/>
                <w:szCs w:val="20"/>
                <w:color w:val="auto"/>
              </w:rPr>
              <w:t>BY</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w:t>
            </w:r>
          </w:p>
        </w:tc>
        <w:tc>
          <w:tcPr>
            <w:tcW w:w="37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N  LIN  E</w:t>
            </w:r>
          </w:p>
        </w:tc>
      </w:tr>
      <w:tr>
        <w:trPr>
          <w:trHeight w:val="204"/>
        </w:trPr>
        <w:tc>
          <w:tcPr>
            <w:tcW w:w="720" w:type="dxa"/>
            <w:vAlign w:val="bottom"/>
          </w:tcPr>
          <w:p>
            <w:pPr>
              <w:spacing w:after="0" w:line="204" w:lineRule="exact"/>
              <w:rPr>
                <w:sz w:val="20"/>
                <w:szCs w:val="20"/>
                <w:color w:val="auto"/>
              </w:rPr>
            </w:pPr>
            <w:r>
              <w:rPr>
                <w:rFonts w:ascii="Arial" w:cs="Arial" w:eastAsia="Arial" w:hAnsi="Arial"/>
                <w:sz w:val="20"/>
                <w:szCs w:val="20"/>
                <w:color w:val="auto"/>
              </w:rPr>
              <w:t>Dated:</w:t>
            </w:r>
          </w:p>
        </w:tc>
        <w:tc>
          <w:tcPr>
            <w:tcW w:w="5220" w:type="dxa"/>
            <w:vAlign w:val="bottom"/>
          </w:tcPr>
          <w:p>
            <w:pPr>
              <w:ind w:left="160"/>
              <w:spacing w:after="0" w:line="204" w:lineRule="exact"/>
              <w:rPr>
                <w:sz w:val="20"/>
                <w:szCs w:val="20"/>
                <w:color w:val="auto"/>
              </w:rPr>
            </w:pPr>
            <w:r>
              <w:rPr>
                <w:rFonts w:ascii="Arial" w:cs="Arial" w:eastAsia="Arial" w:hAnsi="Arial"/>
                <w:sz w:val="20"/>
                <w:szCs w:val="20"/>
                <w:color w:val="auto"/>
              </w:rPr>
              <w:t>arch 31, 2026</w:t>
            </w:r>
          </w:p>
        </w:tc>
        <w:tc>
          <w:tcPr>
            <w:tcW w:w="520" w:type="dxa"/>
            <w:vAlign w:val="bottom"/>
          </w:tcPr>
          <w:p>
            <w:pPr>
              <w:ind w:left="40"/>
              <w:spacing w:after="0" w:line="204" w:lineRule="exact"/>
              <w:rPr>
                <w:sz w:val="20"/>
                <w:szCs w:val="20"/>
                <w:color w:val="auto"/>
              </w:rPr>
            </w:pPr>
            <w:r>
              <w:rPr>
                <w:rFonts w:ascii="Arial" w:cs="Arial" w:eastAsia="Arial" w:hAnsi="Arial"/>
                <w:sz w:val="20"/>
                <w:szCs w:val="20"/>
                <w:color w:val="auto"/>
              </w:rPr>
              <w:t>John</w:t>
            </w:r>
          </w:p>
        </w:tc>
        <w:tc>
          <w:tcPr>
            <w:tcW w:w="3740" w:type="dxa"/>
            <w:vAlign w:val="bottom"/>
          </w:tcPr>
          <w:p>
            <w:pPr>
              <w:ind w:left="100"/>
              <w:spacing w:after="0" w:line="204" w:lineRule="exact"/>
              <w:rPr>
                <w:sz w:val="20"/>
                <w:szCs w:val="20"/>
                <w:color w:val="auto"/>
              </w:rPr>
            </w:pPr>
            <w:r>
              <w:rPr>
                <w:rFonts w:ascii="Arial" w:cs="Arial" w:eastAsia="Arial" w:hAnsi="Arial"/>
                <w:sz w:val="20"/>
                <w:szCs w:val="20"/>
                <w:color w:val="auto"/>
              </w:rPr>
              <w:t>linger,</w:t>
            </w:r>
          </w:p>
        </w:tc>
      </w:tr>
      <w:tr>
        <w:trPr>
          <w:trHeight w:val="261"/>
        </w:trPr>
        <w:tc>
          <w:tcPr>
            <w:tcW w:w="7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260" w:type="dxa"/>
            <w:vAlign w:val="bottom"/>
            <w:gridSpan w:val="2"/>
          </w:tcPr>
          <w:p>
            <w:pPr>
              <w:ind w:left="40"/>
              <w:spacing w:after="0"/>
              <w:rPr>
                <w:sz w:val="20"/>
                <w:szCs w:val="20"/>
                <w:color w:val="auto"/>
              </w:rPr>
            </w:pPr>
            <w:r>
              <w:rPr>
                <w:rFonts w:ascii="Arial" w:cs="Arial" w:eastAsia="Arial" w:hAnsi="Arial"/>
                <w:sz w:val="20"/>
                <w:szCs w:val="20"/>
                <w:color w:val="auto"/>
              </w:rPr>
              <w:t>as attorney-in-fact</w:t>
            </w:r>
          </w:p>
        </w:tc>
      </w:tr>
    </w:tbl>
    <w:p>
      <w:pPr>
        <w:spacing w:after="0" w:line="200" w:lineRule="exact"/>
        <w:rPr>
          <w:sz w:val="20"/>
          <w:szCs w:val="20"/>
          <w:color w:val="auto"/>
        </w:rPr>
      </w:pPr>
    </w:p>
    <w:p>
      <w:pPr>
        <w:sectPr>
          <w:pgSz w:w="12240" w:h="15841" w:orient="portrait"/>
          <w:cols w:equalWidth="0" w:num="1">
            <w:col w:w="10240"/>
          </w:cols>
          <w:pgMar w:left="1000" w:top="778" w:right="100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2240" w:h="15841" w:orient="portrait"/>
          <w:cols w:equalWidth="0" w:num="1">
            <w:col w:w="10240"/>
          </w:cols>
          <w:pgMar w:left="1000" w:top="778" w:right="1001" w:bottom="0" w:gutter="0" w:footer="0" w:header="0"/>
          <w:type w:val="continuous"/>
        </w:sectPr>
      </w:pPr>
    </w:p>
    <w:bookmarkStart w:id="54" w:name="page55"/>
    <w:bookmarkEnd w:id="54"/>
    <w:p>
      <w:pPr>
        <w:ind w:left="160"/>
        <w:spacing w:after="0"/>
        <w:tabs>
          <w:tab w:leader="none" w:pos="600" w:val="left"/>
          <w:tab w:leader="none" w:pos="94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he</w:t>
        <w:tab/>
        <w:t>J</w:t>
      </w:r>
      <w:r>
        <w:rPr>
          <w:sz w:val="20"/>
          <w:szCs w:val="20"/>
          <w:color w:val="auto"/>
        </w:rPr>
        <w:tab/>
      </w:r>
      <w:r>
        <w:rPr>
          <w:rFonts w:ascii="Arial" w:cs="Arial" w:eastAsia="Arial" w:hAnsi="Arial"/>
          <w:sz w:val="22"/>
          <w:szCs w:val="22"/>
          <w:color w:val="auto"/>
        </w:rPr>
        <w:t>Companies, Inc.</w:t>
      </w:r>
    </w:p>
    <w:p>
      <w:pPr>
        <w:spacing w:after="0" w:line="139" w:lineRule="exact"/>
        <w:rPr>
          <w:sz w:val="20"/>
          <w:szCs w:val="20"/>
          <w:color w:val="auto"/>
        </w:rPr>
      </w:pPr>
    </w:p>
    <w:p>
      <w:pPr>
        <w:spacing w:after="0"/>
        <w:tabs>
          <w:tab w:leader="none" w:pos="880" w:val="left"/>
          <w:tab w:leader="none" w:pos="2940" w:val="left"/>
          <w:tab w:leader="none" w:pos="4240" w:val="left"/>
          <w:tab w:leader="none" w:pos="5320" w:val="left"/>
        </w:tabs>
        <w:rPr>
          <w:sz w:val="20"/>
          <w:szCs w:val="20"/>
          <w:color w:val="auto"/>
        </w:rPr>
      </w:pPr>
      <w:r>
        <w:rPr>
          <w:rFonts w:ascii="Arial" w:cs="Arial" w:eastAsia="Arial" w:hAnsi="Arial"/>
          <w:sz w:val="22"/>
          <w:szCs w:val="22"/>
          <w:color w:val="auto"/>
        </w:rPr>
        <w:t>IN</w:t>
      </w:r>
      <w:r>
        <w:rPr>
          <w:sz w:val="20"/>
          <w:szCs w:val="20"/>
          <w:color w:val="auto"/>
        </w:rPr>
        <w:tab/>
      </w:r>
      <w:r>
        <w:rPr>
          <w:rFonts w:ascii="Arial" w:cs="Arial" w:eastAsia="Arial" w:hAnsi="Arial"/>
          <w:sz w:val="22"/>
          <w:szCs w:val="22"/>
          <w:color w:val="auto"/>
        </w:rPr>
        <w:t>O CONSO I</w:t>
      </w:r>
      <w:r>
        <w:rPr>
          <w:sz w:val="20"/>
          <w:szCs w:val="20"/>
          <w:color w:val="auto"/>
        </w:rPr>
        <w:tab/>
      </w:r>
      <w:r>
        <w:rPr>
          <w:rFonts w:ascii="Arial" w:cs="Arial" w:eastAsia="Arial" w:hAnsi="Arial"/>
          <w:sz w:val="22"/>
          <w:szCs w:val="22"/>
          <w:color w:val="auto"/>
        </w:rPr>
        <w:t>FIN  NCI</w:t>
        <w:tab/>
        <w:t>S</w:t>
      </w:r>
      <w:r>
        <w:rPr>
          <w:sz w:val="20"/>
          <w:szCs w:val="20"/>
          <w:color w:val="auto"/>
        </w:rPr>
        <w:tab/>
      </w:r>
      <w:r>
        <w:rPr>
          <w:rFonts w:ascii="Arial" w:cs="Arial" w:eastAsia="Arial" w:hAnsi="Arial"/>
          <w:sz w:val="22"/>
          <w:szCs w:val="22"/>
          <w:color w:val="auto"/>
        </w:rPr>
        <w:t>N 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Years Ended January 31, 2026, February 1, 2025 and February 3, 2024.</w:t>
      </w:r>
    </w:p>
    <w:p>
      <w:pPr>
        <w:spacing w:after="0" w:line="200" w:lineRule="exact"/>
        <w:rPr>
          <w:sz w:val="20"/>
          <w:szCs w:val="20"/>
          <w:color w:val="auto"/>
        </w:rPr>
      </w:pPr>
    </w:p>
    <w:p>
      <w:pPr>
        <w:spacing w:after="0" w:line="256" w:lineRule="exact"/>
        <w:rPr>
          <w:sz w:val="20"/>
          <w:szCs w:val="20"/>
          <w:color w:val="auto"/>
        </w:rPr>
      </w:pPr>
    </w:p>
    <w:p>
      <w:pPr>
        <w:ind w:left="180"/>
        <w:spacing w:after="0"/>
        <w:tabs>
          <w:tab w:leader="none" w:pos="2000" w:val="left"/>
        </w:tabs>
        <w:rPr>
          <w:sz w:val="20"/>
          <w:szCs w:val="20"/>
          <w:color w:val="auto"/>
        </w:rPr>
      </w:pPr>
      <w:r>
        <w:rPr>
          <w:rFonts w:ascii="Arial" w:cs="Arial" w:eastAsia="Arial" w:hAnsi="Arial"/>
          <w:sz w:val="20"/>
          <w:szCs w:val="20"/>
          <w:color w:val="303030"/>
        </w:rPr>
        <w:t>eport of Independent</w:t>
      </w:r>
      <w:r>
        <w:rPr>
          <w:sz w:val="20"/>
          <w:szCs w:val="20"/>
          <w:color w:val="auto"/>
        </w:rPr>
        <w:tab/>
      </w:r>
      <w:r>
        <w:rPr>
          <w:rFonts w:ascii="Arial" w:cs="Arial" w:eastAsia="Arial" w:hAnsi="Arial"/>
          <w:sz w:val="18"/>
          <w:szCs w:val="18"/>
          <w:color w:val="303030"/>
        </w:rPr>
        <w:t>egistered Public Accounting Firm (PCA  B ID 238)</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Consolidated Financial Statements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303030"/>
        </w:rPr>
        <w:t>Consolidated Statements of Income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303030"/>
        </w:rPr>
        <w:t>Consolidated Statements of Comprehensive Income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303030"/>
        </w:rPr>
        <w:t>Consolidated Balance Sheets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303030"/>
        </w:rPr>
        <w:t>Consolidated Statements of Cash Flows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303030"/>
        </w:rPr>
        <w:t>Consolidated Statements of Shareholders’ E uity</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Notes to Consolidated Financial Statements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Financial Statement Schedule</w:t>
      </w:r>
    </w:p>
    <w:p>
      <w:pPr>
        <w:spacing w:after="0" w:line="76" w:lineRule="exact"/>
        <w:rPr>
          <w:sz w:val="20"/>
          <w:szCs w:val="20"/>
          <w:color w:val="auto"/>
        </w:rPr>
      </w:pPr>
    </w:p>
    <w:p>
      <w:pPr>
        <w:ind w:left="260"/>
        <w:spacing w:after="0"/>
        <w:tabs>
          <w:tab w:leader="none" w:pos="1500" w:val="left"/>
          <w:tab w:leader="none" w:pos="2680" w:val="left"/>
        </w:tabs>
        <w:rPr>
          <w:sz w:val="20"/>
          <w:szCs w:val="20"/>
          <w:color w:val="auto"/>
        </w:rPr>
      </w:pPr>
      <w:r>
        <w:rPr>
          <w:rFonts w:ascii="Arial" w:cs="Arial" w:eastAsia="Arial" w:hAnsi="Arial"/>
          <w:sz w:val="20"/>
          <w:szCs w:val="20"/>
          <w:u w:val="single" w:color="auto"/>
          <w:color w:val="303030"/>
        </w:rPr>
        <w:t>Schedule II</w:t>
      </w:r>
      <w:r>
        <w:rPr>
          <w:sz w:val="20"/>
          <w:szCs w:val="20"/>
          <w:color w:val="auto"/>
        </w:rPr>
        <w:tab/>
      </w:r>
      <w:r>
        <w:rPr>
          <w:rFonts w:ascii="Arial" w:cs="Arial" w:eastAsia="Arial" w:hAnsi="Arial"/>
          <w:sz w:val="20"/>
          <w:szCs w:val="20"/>
          <w:u w:val="single" w:color="auto"/>
          <w:color w:val="303030"/>
        </w:rPr>
        <w:t>aluation and</w:t>
      </w:r>
      <w:r>
        <w:rPr>
          <w:sz w:val="20"/>
          <w:szCs w:val="20"/>
          <w:color w:val="auto"/>
        </w:rPr>
        <w:tab/>
      </w:r>
      <w:r>
        <w:rPr>
          <w:rFonts w:ascii="Arial" w:cs="Arial" w:eastAsia="Arial" w:hAnsi="Arial"/>
          <w:sz w:val="19"/>
          <w:szCs w:val="19"/>
          <w:u w:val="single" w:color="auto"/>
          <w:color w:val="303030"/>
        </w:rPr>
        <w:t>ualifying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3030"/>
        </w:rPr>
        <w:t>F-8</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3030"/>
        </w:rPr>
        <w:t>F-</w:t>
      </w:r>
    </w:p>
    <w:p>
      <w:pPr>
        <w:spacing w:after="0" w:line="385"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303030"/>
        </w:rPr>
        <w:t>42</w:t>
      </w:r>
    </w:p>
    <w:p>
      <w:pPr>
        <w:spacing w:after="0" w:line="221" w:lineRule="exact"/>
        <w:rPr>
          <w:sz w:val="20"/>
          <w:szCs w:val="20"/>
          <w:color w:val="auto"/>
        </w:rPr>
      </w:pPr>
    </w:p>
    <w:p>
      <w:pPr>
        <w:sectPr>
          <w:pgSz w:w="12240" w:h="15841" w:orient="portrait"/>
          <w:cols w:equalWidth="0" w:num="2">
            <w:col w:w="9180" w:space="720"/>
            <w:col w:w="280"/>
          </w:cols>
          <w:pgMar w:left="1000" w:top="1011" w:right="10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2240" w:h="15841" w:orient="portrait"/>
          <w:cols w:equalWidth="0" w:num="1">
            <w:col w:w="10180"/>
          </w:cols>
          <w:pgMar w:left="1000" w:top="1011" w:right="1061" w:bottom="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Franklin Gothic Book" w:cs="Franklin Gothic Book" w:eastAsia="Franklin Gothic Book" w:hAnsi="Franklin Gothic Book"/>
          <w:sz w:val="20"/>
          <w:szCs w:val="20"/>
          <w:color w:val="auto"/>
        </w:rPr>
        <w:t>[THIS PAGE INTENTIONALLY LEFT BLANK]</w:t>
      </w:r>
    </w:p>
    <w:p>
      <w:pPr>
        <w:sectPr>
          <w:pgSz w:w="12240" w:h="15841" w:orient="portrait"/>
          <w:cols w:equalWidth="0" w:num="1">
            <w:col w:w="9361"/>
          </w:cols>
          <w:pgMar w:left="1440" w:top="1440" w:right="1440" w:bottom="1440" w:gutter="0" w:footer="0" w:header="0"/>
        </w:sectPr>
      </w:pPr>
    </w:p>
    <w:bookmarkStart w:id="56" w:name="page57"/>
    <w:bookmarkEnd w:id="56"/>
    <w:p>
      <w:pPr>
        <w:ind w:left="160"/>
        <w:spacing w:after="0"/>
        <w:tabs>
          <w:tab w:leader="none" w:pos="2540" w:val="left"/>
          <w:tab w:leader="none" w:pos="3660" w:val="left"/>
          <w:tab w:leader="none" w:pos="440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eport of Independent</w:t>
        <w:tab/>
        <w:t>egistered</w:t>
        <w:tab/>
        <w:t>ublic</w:t>
        <w:tab/>
        <w:t>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The TJX Companies, Inc.</w:t>
      </w:r>
    </w:p>
    <w:p>
      <w:pPr>
        <w:spacing w:after="0" w:line="122" w:lineRule="exact"/>
        <w:rPr>
          <w:sz w:val="20"/>
          <w:szCs w:val="20"/>
          <w:color w:val="auto"/>
        </w:rPr>
      </w:pPr>
    </w:p>
    <w:p>
      <w:pPr>
        <w:spacing w:after="0"/>
        <w:tabs>
          <w:tab w:leader="none" w:pos="1480" w:val="left"/>
          <w:tab w:leader="none" w:pos="2320" w:val="left"/>
          <w:tab w:leader="none" w:pos="5460" w:val="left"/>
          <w:tab w:leader="none" w:pos="6320" w:val="left"/>
        </w:tabs>
        <w:rPr>
          <w:sz w:val="20"/>
          <w:szCs w:val="20"/>
          <w:color w:val="auto"/>
        </w:rPr>
      </w:pPr>
      <w:r>
        <w:rPr>
          <w:rFonts w:ascii="Arial" w:cs="Arial" w:eastAsia="Arial" w:hAnsi="Arial"/>
          <w:sz w:val="20"/>
          <w:szCs w:val="20"/>
          <w:i w:val="1"/>
          <w:iCs w:val="1"/>
          <w:color w:val="auto"/>
        </w:rPr>
        <w:t>O inions on t e</w:t>
        <w:tab/>
        <w:t>inancial</w:t>
        <w:tab/>
        <w:t>tate  ents and nternal Control o er</w:t>
        <w:tab/>
        <w:t>inancial</w:t>
        <w:tab/>
        <w:t>e orting</w:t>
      </w:r>
    </w:p>
    <w:p>
      <w:pPr>
        <w:spacing w:after="0" w:line="138"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color w:val="auto"/>
        </w:rPr>
        <w:t>e have audited the accompanying consolidated balance sheets of The TJX Companies, Inc. and its subsidiaries (the Company ) as of January 31, 2026 and February 1, 2025, and the related consolidated statements of income, of comprehensive income, of shareholders e uity and of cash flows for each of the three years in the period ended January 31, 2026, including the related notes and schedule of valuation and ualifying accounts for each of the three years in the period ended January 31, 2026 appearing under Item 15(a) (collectively referred to as the consolidated financial statements ). e also have audited the</w:t>
      </w:r>
    </w:p>
    <w:p>
      <w:pPr>
        <w:spacing w:after="0" w:line="3" w:lineRule="exact"/>
        <w:rPr>
          <w:sz w:val="20"/>
          <w:szCs w:val="20"/>
          <w:color w:val="auto"/>
        </w:rPr>
      </w:pPr>
    </w:p>
    <w:p>
      <w:pPr>
        <w:ind w:left="60" w:right="280" w:hanging="66"/>
        <w:spacing w:after="0" w:line="314" w:lineRule="auto"/>
        <w:rPr>
          <w:sz w:val="20"/>
          <w:szCs w:val="20"/>
          <w:color w:val="auto"/>
        </w:rPr>
      </w:pPr>
      <w:r>
        <w:rPr>
          <w:rFonts w:ascii="Arial" w:cs="Arial" w:eastAsia="Arial" w:hAnsi="Arial"/>
          <w:sz w:val="19"/>
          <w:szCs w:val="19"/>
          <w:color w:val="auto"/>
        </w:rPr>
        <w:t xml:space="preserve">Company s internal control over financial reporting as of January 31, 2026, based on criteria established in </w:t>
      </w:r>
      <w:r>
        <w:rPr>
          <w:rFonts w:ascii="Arial" w:cs="Arial" w:eastAsia="Arial" w:hAnsi="Arial"/>
          <w:sz w:val="19"/>
          <w:szCs w:val="19"/>
          <w:i w:val="1"/>
          <w:iCs w:val="1"/>
          <w:color w:val="auto"/>
        </w:rPr>
        <w:t>nternal C ntr 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ntegrated ra e r </w:t>
      </w:r>
      <w:r>
        <w:rPr>
          <w:rFonts w:ascii="Arial" w:cs="Arial" w:eastAsia="Arial" w:hAnsi="Arial"/>
          <w:sz w:val="19"/>
          <w:szCs w:val="19"/>
          <w:color w:val="auto"/>
        </w:rPr>
        <w:t>(2013) issued by the Committee of Sponsoring rgani ations of the Treadway Commission (C S ).</w:t>
      </w:r>
    </w:p>
    <w:p>
      <w:pPr>
        <w:spacing w:after="0" w:line="3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w:t>
      </w:r>
    </w:p>
    <w:p>
      <w:pPr>
        <w:spacing w:after="0" w:line="1" w:lineRule="exact"/>
        <w:rPr>
          <w:sz w:val="20"/>
          <w:szCs w:val="20"/>
          <w:color w:val="auto"/>
        </w:rPr>
      </w:pPr>
    </w:p>
    <w:p>
      <w:pPr>
        <w:ind w:right="80" w:firstLine="145"/>
        <w:spacing w:after="0" w:line="266" w:lineRule="auto"/>
        <w:rPr>
          <w:sz w:val="20"/>
          <w:szCs w:val="20"/>
          <w:color w:val="auto"/>
        </w:rPr>
      </w:pPr>
      <w:r>
        <w:rPr>
          <w:rFonts w:ascii="Arial" w:cs="Arial" w:eastAsia="Arial" w:hAnsi="Arial"/>
          <w:sz w:val="20"/>
          <w:szCs w:val="20"/>
          <w:color w:val="auto"/>
        </w:rPr>
        <w:t xml:space="preserve">nited States of America. Also in our opinion, the Company maintained, in all material respects, effective internal control over financial reporting as of January 31, 2026, based on criteria established in </w:t>
      </w:r>
      <w:r>
        <w:rPr>
          <w:rFonts w:ascii="Arial" w:cs="Arial" w:eastAsia="Arial" w:hAnsi="Arial"/>
          <w:sz w:val="20"/>
          <w:szCs w:val="20"/>
          <w:i w:val="1"/>
          <w:iCs w:val="1"/>
          <w:color w:val="auto"/>
        </w:rPr>
        <w:t>nternal C ntr l ntegrated ra e r</w:t>
      </w:r>
      <w:r>
        <w:rPr>
          <w:rFonts w:ascii="Arial" w:cs="Arial" w:eastAsia="Arial" w:hAnsi="Arial"/>
          <w:sz w:val="20"/>
          <w:szCs w:val="20"/>
          <w:color w:val="auto"/>
        </w:rPr>
        <w:t xml:space="preserve"> (2013) issued by the C S .</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asis for O inions</w:t>
      </w:r>
    </w:p>
    <w:p>
      <w:pPr>
        <w:spacing w:after="0" w:line="13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Company s management is responsible for these consolidated financial statements, for maintaining effective internal control over financial reporting, and for its assessment of the effectiveness of internal control over financial reporting, included in anagement’s Annual eport on Internal Control ver Financial eporting appearing under Item A. ur responsibility is to express opinions on the Company’s consolidated financial statements and on the Company s internal control over financial</w:t>
      </w:r>
    </w:p>
    <w:p>
      <w:pPr>
        <w:spacing w:after="0" w:line="1" w:lineRule="exact"/>
        <w:rPr>
          <w:sz w:val="20"/>
          <w:szCs w:val="20"/>
          <w:color w:val="auto"/>
        </w:rPr>
      </w:pPr>
    </w:p>
    <w:p>
      <w:pPr>
        <w:ind w:right="240"/>
        <w:spacing w:after="0" w:line="309" w:lineRule="auto"/>
        <w:rPr>
          <w:sz w:val="20"/>
          <w:szCs w:val="20"/>
          <w:color w:val="auto"/>
        </w:rPr>
      </w:pPr>
      <w:r>
        <w:rPr>
          <w:rFonts w:ascii="Arial" w:cs="Arial" w:eastAsia="Arial" w:hAnsi="Arial"/>
          <w:sz w:val="18"/>
          <w:szCs w:val="18"/>
          <w:color w:val="auto"/>
        </w:rPr>
        <w:t>reporting based on our audits. e are a public accounting firm registered with the Public Company Accounting versight Board ( nited States) (PCA B) and are re uired to be independent with respect to the Company in accordance with the .S. federal securities laws and the applicable rules and regulations of the Securities and Exchange Commission and the PCA B.</w:t>
      </w:r>
    </w:p>
    <w:p>
      <w:pPr>
        <w:spacing w:after="0" w:line="41" w:lineRule="exact"/>
        <w:rPr>
          <w:sz w:val="20"/>
          <w:szCs w:val="20"/>
          <w:color w:val="auto"/>
        </w:rPr>
      </w:pPr>
    </w:p>
    <w:p>
      <w:pPr>
        <w:ind w:right="20" w:firstLine="189"/>
        <w:spacing w:after="0" w:line="261" w:lineRule="auto"/>
        <w:rPr>
          <w:sz w:val="20"/>
          <w:szCs w:val="20"/>
          <w:color w:val="auto"/>
        </w:rPr>
      </w:pPr>
      <w:r>
        <w:rPr>
          <w:rFonts w:ascii="Arial" w:cs="Arial" w:eastAsia="Arial" w:hAnsi="Arial"/>
          <w:sz w:val="20"/>
          <w:szCs w:val="20"/>
          <w:color w:val="auto"/>
        </w:rPr>
        <w:t>e conducted our audits in accordance with the standards of the PCA B. Those standards re 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0" w:lineRule="exact"/>
        <w:rPr>
          <w:sz w:val="20"/>
          <w:szCs w:val="20"/>
          <w:color w:val="auto"/>
        </w:rPr>
      </w:pPr>
    </w:p>
    <w:p>
      <w:pPr>
        <w:ind w:right="100" w:firstLine="145"/>
        <w:spacing w:after="0" w:line="286" w:lineRule="auto"/>
        <w:rPr>
          <w:sz w:val="20"/>
          <w:szCs w:val="20"/>
          <w:color w:val="auto"/>
        </w:rPr>
      </w:pPr>
      <w:r>
        <w:rPr>
          <w:rFonts w:ascii="Arial" w:cs="Arial" w:eastAsia="Arial" w:hAnsi="Arial"/>
          <w:sz w:val="18"/>
          <w:szCs w:val="18"/>
          <w:color w:val="auto"/>
        </w:rPr>
        <w:t>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ur audits also included evaluating the accounting principles used and significant estimates made by management, as well as evaluating the overall presentation of the consolidated financial statements. 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ur audits also included performing such other procedures as we considered necessary in the circumstances. e believe that our audits provide a reasonable basis for our opinions.</w:t>
      </w:r>
    </w:p>
    <w:p>
      <w:pPr>
        <w:spacing w:after="0" w:line="52" w:lineRule="exact"/>
        <w:rPr>
          <w:sz w:val="20"/>
          <w:szCs w:val="20"/>
          <w:color w:val="auto"/>
        </w:rPr>
      </w:pPr>
    </w:p>
    <w:p>
      <w:pPr>
        <w:ind w:left="140"/>
        <w:spacing w:after="0"/>
        <w:tabs>
          <w:tab w:leader="none" w:pos="4380" w:val="left"/>
          <w:tab w:leader="none" w:pos="5240" w:val="left"/>
        </w:tabs>
        <w:rPr>
          <w:sz w:val="20"/>
          <w:szCs w:val="20"/>
          <w:color w:val="auto"/>
        </w:rPr>
      </w:pPr>
      <w:r>
        <w:rPr>
          <w:rFonts w:ascii="Arial" w:cs="Arial" w:eastAsia="Arial" w:hAnsi="Arial"/>
          <w:sz w:val="20"/>
          <w:szCs w:val="20"/>
          <w:i w:val="1"/>
          <w:iCs w:val="1"/>
          <w:color w:val="auto"/>
        </w:rPr>
        <w:t>efinition and Li  itations of nternal Control o er</w:t>
        <w:tab/>
        <w:t>inancial</w:t>
        <w:tab/>
        <w:t>e orting</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 ations of management and directors of the company and (iii) provide reasonable assurance regarding prevention or timely detection of unauthori ed ac uisition, use, or disposition of the company’s assets that could have a material effect on the financial statements.</w:t>
      </w:r>
    </w:p>
    <w:p>
      <w:pPr>
        <w:spacing w:after="0" w:line="60" w:lineRule="exact"/>
        <w:rPr>
          <w:sz w:val="20"/>
          <w:szCs w:val="20"/>
          <w:color w:val="auto"/>
        </w:rPr>
      </w:pPr>
    </w:p>
    <w:p>
      <w:pPr>
        <w:jc w:val="both"/>
        <w:ind w:right="460"/>
        <w:spacing w:after="0" w:line="30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 uate because of changes in conditions, or that the degree of compliance with the policies or procedures may deteriorate.</w:t>
      </w:r>
    </w:p>
    <w:p>
      <w:pPr>
        <w:sectPr>
          <w:pgSz w:w="12240" w:h="15841" w:orient="portrait"/>
          <w:cols w:equalWidth="0" w:num="1">
            <w:col w:w="10240"/>
          </w:cols>
          <w:pgMar w:left="1000" w:top="771"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2240" w:h="15841" w:orient="portrait"/>
          <w:cols w:equalWidth="0" w:num="1">
            <w:col w:w="10240"/>
          </w:cols>
          <w:pgMar w:left="1000" w:top="771" w:right="1001" w:bottom="0" w:gutter="0" w:footer="0" w:header="0"/>
          <w:type w:val="continuous"/>
        </w:sectPr>
      </w:pPr>
    </w:p>
    <w:bookmarkStart w:id="57" w:name="page58"/>
    <w:bookmarkEnd w:id="57"/>
    <w:p>
      <w:pPr>
        <w:spacing w:after="0"/>
        <w:tabs>
          <w:tab w:leader="none" w:pos="780" w:val="left"/>
          <w:tab w:leader="none" w:pos="1320" w:val="left"/>
        </w:tabs>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Critical</w:t>
        <w:tab/>
        <w:t>udit</w:t>
      </w:r>
      <w:r>
        <w:rPr>
          <w:sz w:val="20"/>
          <w:szCs w:val="20"/>
          <w:color w:val="auto"/>
        </w:rPr>
        <w:tab/>
      </w:r>
      <w:r>
        <w:rPr>
          <w:rFonts w:ascii="Arial" w:cs="Arial" w:eastAsia="Arial" w:hAnsi="Arial"/>
          <w:sz w:val="18"/>
          <w:szCs w:val="18"/>
          <w:i w:val="1"/>
          <w:iCs w:val="1"/>
          <w:color w:val="auto"/>
        </w:rPr>
        <w:t>atters</w:t>
      </w:r>
    </w:p>
    <w:p>
      <w:pPr>
        <w:spacing w:after="0" w:line="138"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 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6" w:lineRule="exact"/>
        <w:rPr>
          <w:sz w:val="20"/>
          <w:szCs w:val="20"/>
          <w:color w:val="auto"/>
        </w:rPr>
      </w:pPr>
    </w:p>
    <w:p>
      <w:pPr>
        <w:ind w:left="60"/>
        <w:spacing w:after="0"/>
        <w:tabs>
          <w:tab w:leader="none" w:pos="480" w:val="left"/>
          <w:tab w:leader="none" w:pos="720" w:val="left"/>
          <w:tab w:leader="none" w:pos="1080" w:val="left"/>
        </w:tabs>
        <w:rPr>
          <w:sz w:val="20"/>
          <w:szCs w:val="20"/>
          <w:color w:val="auto"/>
        </w:rPr>
      </w:pPr>
      <w:r>
        <w:rPr>
          <w:rFonts w:ascii="Arial" w:cs="Arial" w:eastAsia="Arial" w:hAnsi="Arial"/>
          <w:sz w:val="20"/>
          <w:szCs w:val="20"/>
          <w:i w:val="1"/>
          <w:iCs w:val="1"/>
          <w:color w:val="auto"/>
        </w:rPr>
        <w:t>nc</w:t>
        <w:tab/>
        <w:t>e</w:t>
        <w:tab/>
        <w:t>a</w:t>
        <w:tab/>
        <w:t>r visi n</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As described in Note to the consolidated financial statements, the Company recorded a provision for income taxes of $1.8 billion for the year ended January 31, 2026 and has a deferred tax liability net of deferred tax assets of $121 million, including a valuation allowance of $58 million, as of January 31, 2026. The Company is subject to taxation in the nited States, as well as multiple state, local and foreign jurisdictions. The use of estimates and judgments, as well as the interpretation and application of complex tax laws is re uired by management to determine its provision for income taxes.</w:t>
      </w:r>
    </w:p>
    <w:p>
      <w:pPr>
        <w:spacing w:after="0" w:line="68"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The principal considerations for our determination that performing procedures relating to the provision for income taxes is a critical audit matter are (i) the significant judgment by management when determining the provision for income taxes, which led to (ii) a high degree of auditor judgment, subjectivity, and effort in performing procedures relating to the provision for income taxes.</w:t>
      </w:r>
    </w:p>
    <w:p>
      <w:pPr>
        <w:spacing w:after="0" w:line="80"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provision for income taxes. These procedures also included, among others, testing the provision for income taxes, including the rate reconciliation, current and deferred tax provision, and the application of tax laws and regulations.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7600" w:firstLine="46"/>
        <w:spacing w:after="0" w:line="375" w:lineRule="auto"/>
        <w:tabs>
          <w:tab w:leader="none" w:pos="239" w:val="left"/>
        </w:tabs>
        <w:numPr>
          <w:ilvl w:val="0"/>
          <w:numId w:val="9"/>
        </w:numPr>
        <w:rPr>
          <w:rFonts w:ascii="Arial" w:cs="Arial" w:eastAsia="Arial" w:hAnsi="Arial"/>
          <w:sz w:val="20"/>
          <w:szCs w:val="20"/>
          <w:color w:val="auto"/>
        </w:rPr>
      </w:pPr>
      <w:r>
        <w:rPr>
          <w:rFonts w:ascii="Arial" w:cs="Arial" w:eastAsia="Arial" w:hAnsi="Arial"/>
          <w:sz w:val="20"/>
          <w:szCs w:val="20"/>
          <w:color w:val="auto"/>
        </w:rPr>
        <w:t>PricewaterhouseCoopers LLP Boston, assachusetts</w:t>
      </w:r>
    </w:p>
    <w:p>
      <w:pPr>
        <w:spacing w:after="0" w:line="1" w:lineRule="exact"/>
        <w:rPr>
          <w:rFonts w:ascii="Arial" w:cs="Arial" w:eastAsia="Arial" w:hAnsi="Arial"/>
          <w:sz w:val="20"/>
          <w:szCs w:val="20"/>
          <w:color w:val="auto"/>
        </w:rPr>
      </w:pPr>
    </w:p>
    <w:p>
      <w:pPr>
        <w:ind w:left="160"/>
        <w:spacing w:after="0"/>
        <w:rPr>
          <w:rFonts w:ascii="Arial" w:cs="Arial" w:eastAsia="Arial" w:hAnsi="Arial"/>
          <w:sz w:val="20"/>
          <w:szCs w:val="20"/>
          <w:color w:val="auto"/>
        </w:rPr>
      </w:pPr>
      <w:r>
        <w:rPr>
          <w:rFonts w:ascii="Arial" w:cs="Arial" w:eastAsia="Arial" w:hAnsi="Arial"/>
          <w:sz w:val="20"/>
          <w:szCs w:val="20"/>
          <w:color w:val="auto"/>
        </w:rPr>
        <w:t>arch 31, 2026</w:t>
      </w: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 have served as the Company’s auditor since 1 62.</w:t>
      </w:r>
    </w:p>
    <w:p>
      <w:pPr>
        <w:sectPr>
          <w:pgSz w:w="12240" w:h="15841" w:orient="portrait"/>
          <w:cols w:equalWidth="0" w:num="1">
            <w:col w:w="10220"/>
          </w:cols>
          <w:pgMar w:left="1000" w:top="784"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2240" w:h="15841" w:orient="portrait"/>
          <w:cols w:equalWidth="0" w:num="1">
            <w:col w:w="10220"/>
          </w:cols>
          <w:pgMar w:left="1000" w:top="784" w:right="1021" w:bottom="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40"/>
        </w:trPr>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4"/>
          </w:tcPr>
          <w:p>
            <w:pPr>
              <w:jc w:val="right"/>
              <w:ind w:right="260"/>
              <w:spacing w:after="0"/>
              <w:rPr>
                <w:sz w:val="20"/>
                <w:szCs w:val="20"/>
                <w:color w:val="auto"/>
              </w:rPr>
            </w:pPr>
            <w:r>
              <w:rPr>
                <w:rFonts w:ascii="Arial" w:cs="Arial" w:eastAsia="Arial" w:hAnsi="Arial"/>
                <w:sz w:val="20"/>
                <w:szCs w:val="20"/>
                <w:color w:val="auto"/>
              </w:rPr>
              <w:t>T  E TJX C   PANIES, INC.</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0"/>
        </w:trPr>
        <w:tc>
          <w:tcPr>
            <w:tcW w:w="30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C</w:t>
            </w:r>
          </w:p>
        </w:tc>
        <w:tc>
          <w:tcPr>
            <w:tcW w:w="2100" w:type="dxa"/>
            <w:vAlign w:val="bottom"/>
          </w:tcPr>
          <w:p>
            <w:pPr>
              <w:ind w:left="60"/>
              <w:spacing w:after="0"/>
              <w:rPr>
                <w:sz w:val="20"/>
                <w:szCs w:val="20"/>
                <w:color w:val="auto"/>
              </w:rPr>
            </w:pPr>
            <w:r>
              <w:rPr>
                <w:rFonts w:ascii="Arial" w:cs="Arial" w:eastAsia="Arial" w:hAnsi="Arial"/>
                <w:sz w:val="20"/>
                <w:szCs w:val="20"/>
                <w:color w:val="auto"/>
              </w:rPr>
              <w:t>NS  LIDATED STATE</w:t>
            </w:r>
          </w:p>
        </w:tc>
        <w:tc>
          <w:tcPr>
            <w:tcW w:w="600" w:type="dxa"/>
            <w:vAlign w:val="bottom"/>
          </w:tcPr>
          <w:p>
            <w:pPr>
              <w:ind w:left="80"/>
              <w:spacing w:after="0"/>
              <w:rPr>
                <w:sz w:val="20"/>
                <w:szCs w:val="20"/>
                <w:color w:val="auto"/>
              </w:rPr>
            </w:pPr>
            <w:r>
              <w:rPr>
                <w:rFonts w:ascii="Arial" w:cs="Arial" w:eastAsia="Arial" w:hAnsi="Arial"/>
                <w:sz w:val="20"/>
                <w:szCs w:val="20"/>
                <w:color w:val="auto"/>
                <w:w w:val="93"/>
              </w:rPr>
              <w:t>ENTS</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F INC</w:t>
            </w:r>
          </w:p>
        </w:tc>
        <w:tc>
          <w:tcPr>
            <w:tcW w:w="820" w:type="dxa"/>
            <w:vAlign w:val="bottom"/>
          </w:tcPr>
          <w:p>
            <w:pPr>
              <w:jc w:val="right"/>
              <w:ind w:right="300"/>
              <w:spacing w:after="0"/>
              <w:rPr>
                <w:sz w:val="20"/>
                <w:szCs w:val="20"/>
                <w:color w:val="auto"/>
              </w:rPr>
            </w:pPr>
            <w:r>
              <w:rPr>
                <w:rFonts w:ascii="Arial" w:cs="Arial" w:eastAsia="Arial" w:hAnsi="Arial"/>
                <w:sz w:val="20"/>
                <w:szCs w:val="20"/>
                <w:color w:val="auto"/>
              </w:rPr>
              <w:t>E</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61"/>
        </w:trPr>
        <w:tc>
          <w:tcPr>
            <w:tcW w:w="30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IN</w:t>
            </w:r>
          </w:p>
        </w:tc>
        <w:tc>
          <w:tcPr>
            <w:tcW w:w="2100" w:type="dxa"/>
            <w:vAlign w:val="bottom"/>
          </w:tcPr>
          <w:p>
            <w:pPr>
              <w:ind w:left="140"/>
              <w:spacing w:after="0"/>
              <w:rPr>
                <w:sz w:val="20"/>
                <w:szCs w:val="20"/>
                <w:color w:val="auto"/>
              </w:rPr>
            </w:pPr>
            <w:r>
              <w:rPr>
                <w:rFonts w:ascii="Arial" w:cs="Arial" w:eastAsia="Arial" w:hAnsi="Arial"/>
                <w:sz w:val="20"/>
                <w:szCs w:val="20"/>
                <w:color w:val="auto"/>
              </w:rPr>
              <w:t>ILLI  NS EXCEPT PE</w:t>
            </w:r>
          </w:p>
        </w:tc>
        <w:tc>
          <w:tcPr>
            <w:tcW w:w="600" w:type="dxa"/>
            <w:vAlign w:val="bottom"/>
          </w:tcPr>
          <w:p>
            <w:pPr>
              <w:ind w:left="100"/>
              <w:spacing w:after="0"/>
              <w:rPr>
                <w:sz w:val="20"/>
                <w:szCs w:val="20"/>
                <w:color w:val="auto"/>
              </w:rPr>
            </w:pPr>
            <w:r>
              <w:rPr>
                <w:rFonts w:ascii="Arial" w:cs="Arial" w:eastAsia="Arial" w:hAnsi="Arial"/>
                <w:sz w:val="20"/>
                <w:szCs w:val="20"/>
                <w:color w:val="auto"/>
              </w:rPr>
              <w:t>S  A</w:t>
            </w:r>
          </w:p>
        </w:tc>
        <w:tc>
          <w:tcPr>
            <w:tcW w:w="700" w:type="dxa"/>
            <w:vAlign w:val="bottom"/>
            <w:gridSpan w:val="2"/>
          </w:tcPr>
          <w:p>
            <w:pPr>
              <w:jc w:val="right"/>
              <w:ind w:right="260"/>
              <w:spacing w:after="0"/>
              <w:rPr>
                <w:sz w:val="20"/>
                <w:szCs w:val="20"/>
                <w:color w:val="auto"/>
              </w:rPr>
            </w:pPr>
            <w:r>
              <w:rPr>
                <w:rFonts w:ascii="Arial" w:cs="Arial" w:eastAsia="Arial" w:hAnsi="Arial"/>
                <w:sz w:val="20"/>
                <w:szCs w:val="20"/>
                <w:color w:val="auto"/>
                <w:w w:val="99"/>
              </w:rPr>
              <w:t>E A</w:t>
            </w:r>
          </w:p>
        </w:tc>
        <w:tc>
          <w:tcPr>
            <w:tcW w:w="820" w:type="dxa"/>
            <w:vAlign w:val="bottom"/>
          </w:tcPr>
          <w:p>
            <w:pPr>
              <w:jc w:val="right"/>
              <w:ind w:right="220"/>
              <w:spacing w:after="0"/>
              <w:rPr>
                <w:sz w:val="20"/>
                <w:szCs w:val="20"/>
                <w:color w:val="auto"/>
              </w:rPr>
            </w:pPr>
            <w:r>
              <w:rPr>
                <w:rFonts w:ascii="Arial" w:cs="Arial" w:eastAsia="Arial" w:hAnsi="Arial"/>
                <w:sz w:val="20"/>
                <w:szCs w:val="20"/>
                <w:color w:val="auto"/>
              </w:rPr>
              <w:t>NTS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547"/>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212"/>
        </w:trPr>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January 31,</w:t>
            </w:r>
          </w:p>
        </w:tc>
        <w:tc>
          <w:tcPr>
            <w:tcW w:w="24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1,</w:t>
            </w:r>
          </w:p>
        </w:tc>
        <w:tc>
          <w:tcPr>
            <w:tcW w:w="160" w:type="dxa"/>
            <w:vAlign w:val="bottom"/>
          </w:tcPr>
          <w:p>
            <w:pPr>
              <w:spacing w:after="0"/>
              <w:rPr>
                <w:sz w:val="18"/>
                <w:szCs w:val="18"/>
                <w:color w:val="auto"/>
              </w:rPr>
            </w:pPr>
          </w:p>
        </w:tc>
        <w:tc>
          <w:tcPr>
            <w:tcW w:w="1160" w:type="dxa"/>
            <w:vAlign w:val="bottom"/>
            <w:gridSpan w:val="2"/>
          </w:tcPr>
          <w:p>
            <w:pPr>
              <w:jc w:val="center"/>
              <w:ind w:right="8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3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w w:val="94"/>
              </w:rPr>
              <w:t>2026</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left="40"/>
              <w:spacing w:after="0"/>
              <w:rPr>
                <w:sz w:val="20"/>
                <w:szCs w:val="20"/>
                <w:color w:val="auto"/>
              </w:rPr>
            </w:pPr>
            <w:r>
              <w:rPr>
                <w:rFonts w:ascii="Arial" w:cs="Arial" w:eastAsia="Arial" w:hAnsi="Arial"/>
                <w:sz w:val="20"/>
                <w:szCs w:val="20"/>
                <w:color w:val="auto"/>
                <w:w w:val="89"/>
              </w:rPr>
              <w:t>2024</w:t>
            </w:r>
          </w:p>
        </w:tc>
        <w:tc>
          <w:tcPr>
            <w:tcW w:w="300" w:type="dxa"/>
            <w:vAlign w:val="bottom"/>
            <w:tcBorders>
              <w:bottom w:val="single" w:sz="8" w:color="auto"/>
            </w:tcBorders>
          </w:tcPr>
          <w:p>
            <w:pPr>
              <w:spacing w:after="0"/>
              <w:rPr>
                <w:sz w:val="22"/>
                <w:szCs w:val="22"/>
                <w:color w:val="auto"/>
              </w:rPr>
            </w:pPr>
          </w:p>
        </w:tc>
      </w:tr>
      <w:tr>
        <w:trPr>
          <w:trHeight w:val="284"/>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20"/>
                <w:szCs w:val="20"/>
                <w:color w:val="auto"/>
                <w:w w:val="91"/>
              </w:rPr>
              <w:t>(53 weeks)</w:t>
            </w:r>
          </w:p>
        </w:tc>
      </w:tr>
      <w:tr>
        <w:trPr>
          <w:trHeight w:val="296"/>
        </w:trPr>
        <w:tc>
          <w:tcPr>
            <w:tcW w:w="30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shd w:val="clear" w:color="auto" w:fill="E4E4E4"/>
          </w:tcPr>
          <w:p>
            <w:pPr>
              <w:spacing w:after="0"/>
              <w:rPr>
                <w:sz w:val="24"/>
                <w:szCs w:val="24"/>
                <w:color w:val="auto"/>
              </w:rPr>
            </w:pPr>
          </w:p>
        </w:tc>
        <w:tc>
          <w:tcPr>
            <w:tcW w:w="2100" w:type="dxa"/>
            <w:vAlign w:val="bottom"/>
            <w:tcBorders>
              <w:bottom w:val="single" w:sz="8" w:color="auto"/>
            </w:tcBorders>
            <w:shd w:val="clear" w:color="auto" w:fill="E4E4E4"/>
          </w:tcPr>
          <w:p>
            <w:pPr>
              <w:spacing w:after="0"/>
              <w:rPr>
                <w:sz w:val="24"/>
                <w:szCs w:val="24"/>
                <w:color w:val="auto"/>
              </w:rPr>
            </w:pPr>
          </w:p>
        </w:tc>
        <w:tc>
          <w:tcPr>
            <w:tcW w:w="60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gridSpan w:val="2"/>
            <w:shd w:val="clear" w:color="auto" w:fill="E4E4E4"/>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60,372</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56,360</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54,217</w:t>
            </w:r>
          </w:p>
        </w:tc>
      </w:tr>
      <w:tr>
        <w:trPr>
          <w:trHeight w:val="284"/>
        </w:trPr>
        <w:tc>
          <w:tcPr>
            <w:tcW w:w="5420" w:type="dxa"/>
            <w:vAlign w:val="bottom"/>
            <w:gridSpan w:val="3"/>
            <w:shd w:val="clear" w:color="auto" w:fill="FEFEFE"/>
          </w:tcPr>
          <w:p>
            <w:pPr>
              <w:ind w:left="40"/>
              <w:spacing w:after="0"/>
              <w:rPr>
                <w:sz w:val="20"/>
                <w:szCs w:val="20"/>
                <w:color w:val="auto"/>
              </w:rPr>
            </w:pPr>
            <w:r>
              <w:rPr>
                <w:rFonts w:ascii="Arial" w:cs="Arial" w:eastAsia="Arial" w:hAnsi="Arial"/>
                <w:sz w:val="20"/>
                <w:szCs w:val="20"/>
                <w:color w:val="auto"/>
              </w:rPr>
              <w:t>Cost of sales, including buying and occupancy costs</w:t>
            </w:r>
          </w:p>
        </w:tc>
        <w:tc>
          <w:tcPr>
            <w:tcW w:w="600" w:type="dxa"/>
            <w:vAlign w:val="bottom"/>
            <w:shd w:val="clear" w:color="auto" w:fill="FEFEFE"/>
          </w:tcPr>
          <w:p>
            <w:pPr>
              <w:spacing w:after="0"/>
              <w:rPr>
                <w:sz w:val="24"/>
                <w:szCs w:val="24"/>
                <w:color w:val="auto"/>
              </w:rPr>
            </w:pPr>
          </w:p>
        </w:tc>
        <w:tc>
          <w:tcPr>
            <w:tcW w:w="280" w:type="dxa"/>
            <w:vAlign w:val="bottom"/>
            <w:shd w:val="clear" w:color="auto" w:fill="FEFEFE"/>
          </w:tcPr>
          <w:p>
            <w:pPr>
              <w:spacing w:after="0"/>
              <w:rPr>
                <w:sz w:val="24"/>
                <w:szCs w:val="24"/>
                <w:color w:val="auto"/>
              </w:rPr>
            </w:pPr>
          </w:p>
        </w:tc>
        <w:tc>
          <w:tcPr>
            <w:tcW w:w="42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41,679</w:t>
            </w:r>
          </w:p>
        </w:tc>
        <w:tc>
          <w:tcPr>
            <w:tcW w:w="2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3 ,112</w:t>
            </w:r>
          </w:p>
        </w:tc>
        <w:tc>
          <w:tcPr>
            <w:tcW w:w="160" w:type="dxa"/>
            <w:vAlign w:val="bottom"/>
            <w:shd w:val="clear" w:color="auto" w:fill="FEFEFE"/>
          </w:tcPr>
          <w:p>
            <w:pPr>
              <w:spacing w:after="0"/>
              <w:rPr>
                <w:sz w:val="24"/>
                <w:szCs w:val="24"/>
                <w:color w:val="auto"/>
              </w:rPr>
            </w:pPr>
          </w:p>
        </w:tc>
        <w:tc>
          <w:tcPr>
            <w:tcW w:w="860" w:type="dxa"/>
            <w:vAlign w:val="bottom"/>
            <w:shd w:val="clear" w:color="auto" w:fill="FEFEFE"/>
          </w:tcPr>
          <w:p>
            <w:pPr>
              <w:ind w:left="520"/>
              <w:spacing w:after="0"/>
              <w:rPr>
                <w:sz w:val="20"/>
                <w:szCs w:val="20"/>
                <w:color w:val="auto"/>
              </w:rPr>
            </w:pPr>
            <w:r>
              <w:rPr>
                <w:rFonts w:ascii="Arial" w:cs="Arial" w:eastAsia="Arial" w:hAnsi="Arial"/>
                <w:sz w:val="20"/>
                <w:szCs w:val="20"/>
                <w:color w:val="auto"/>
              </w:rPr>
              <w:t>37,</w:t>
            </w:r>
          </w:p>
        </w:tc>
        <w:tc>
          <w:tcPr>
            <w:tcW w:w="30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0"/>
              </w:rPr>
              <w:t>51</w:t>
            </w:r>
          </w:p>
        </w:tc>
      </w:tr>
      <w:tr>
        <w:trPr>
          <w:trHeight w:val="306"/>
        </w:trPr>
        <w:tc>
          <w:tcPr>
            <w:tcW w:w="542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Selling, general and administrative expenses</w:t>
            </w:r>
          </w:p>
        </w:tc>
        <w:tc>
          <w:tcPr>
            <w:tcW w:w="60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42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11,515</w:t>
            </w:r>
          </w:p>
        </w:tc>
        <w:tc>
          <w:tcPr>
            <w:tcW w:w="2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10, 46</w:t>
            </w:r>
          </w:p>
        </w:tc>
        <w:tc>
          <w:tcPr>
            <w:tcW w:w="160" w:type="dxa"/>
            <w:vAlign w:val="bottom"/>
            <w:shd w:val="clear" w:color="auto" w:fill="E4E4E4"/>
          </w:tcPr>
          <w:p>
            <w:pPr>
              <w:spacing w:after="0"/>
              <w:rPr>
                <w:sz w:val="24"/>
                <w:szCs w:val="24"/>
                <w:color w:val="auto"/>
              </w:rPr>
            </w:pPr>
          </w:p>
        </w:tc>
        <w:tc>
          <w:tcPr>
            <w:tcW w:w="1160" w:type="dxa"/>
            <w:vAlign w:val="bottom"/>
            <w:gridSpan w:val="2"/>
            <w:shd w:val="clear" w:color="auto" w:fill="E4E4E4"/>
          </w:tcPr>
          <w:p>
            <w:pPr>
              <w:ind w:left="520"/>
              <w:spacing w:after="0"/>
              <w:rPr>
                <w:sz w:val="20"/>
                <w:szCs w:val="20"/>
                <w:color w:val="auto"/>
              </w:rPr>
            </w:pPr>
            <w:r>
              <w:rPr>
                <w:rFonts w:ascii="Arial" w:cs="Arial" w:eastAsia="Arial" w:hAnsi="Arial"/>
                <w:sz w:val="20"/>
                <w:szCs w:val="20"/>
                <w:color w:val="auto"/>
              </w:rPr>
              <w:t>10,46</w:t>
            </w:r>
          </w:p>
        </w:tc>
      </w:tr>
      <w:tr>
        <w:trPr>
          <w:trHeight w:val="290"/>
        </w:trPr>
        <w:tc>
          <w:tcPr>
            <w:tcW w:w="30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Interest (income) expense, net</w:t>
            </w:r>
          </w:p>
        </w:tc>
        <w:tc>
          <w:tcPr>
            <w:tcW w:w="300" w:type="dxa"/>
            <w:vAlign w:val="bottom"/>
            <w:tcBorders>
              <w:bottom w:val="single" w:sz="8" w:color="auto"/>
            </w:tcBorders>
            <w:shd w:val="clear" w:color="auto" w:fill="FEFEFE"/>
          </w:tcPr>
          <w:p>
            <w:pPr>
              <w:spacing w:after="0"/>
              <w:rPr>
                <w:sz w:val="24"/>
                <w:szCs w:val="24"/>
                <w:color w:val="auto"/>
              </w:rPr>
            </w:pPr>
          </w:p>
        </w:tc>
        <w:tc>
          <w:tcPr>
            <w:tcW w:w="2100" w:type="dxa"/>
            <w:vAlign w:val="bottom"/>
            <w:tcBorders>
              <w:bottom w:val="single" w:sz="8" w:color="auto"/>
            </w:tcBorders>
            <w:shd w:val="clear" w:color="auto" w:fill="FEFEFE"/>
          </w:tcPr>
          <w:p>
            <w:pPr>
              <w:spacing w:after="0"/>
              <w:rPr>
                <w:sz w:val="24"/>
                <w:szCs w:val="24"/>
                <w:color w:val="auto"/>
              </w:rPr>
            </w:pPr>
          </w:p>
        </w:tc>
        <w:tc>
          <w:tcPr>
            <w:tcW w:w="60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42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121</w:t>
            </w:r>
          </w:p>
        </w:tc>
        <w:tc>
          <w:tcPr>
            <w:tcW w:w="2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(181)</w:t>
            </w:r>
          </w:p>
        </w:tc>
        <w:tc>
          <w:tcPr>
            <w:tcW w:w="1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(170)</w:t>
            </w:r>
          </w:p>
        </w:tc>
      </w:tr>
      <w:tr>
        <w:trPr>
          <w:trHeight w:val="290"/>
        </w:trPr>
        <w:tc>
          <w:tcPr>
            <w:tcW w:w="3020" w:type="dxa"/>
            <w:vAlign w:val="bottom"/>
            <w:shd w:val="clear" w:color="auto" w:fill="E4E4E4"/>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shd w:val="clear" w:color="auto" w:fill="E4E4E4"/>
          </w:tcPr>
          <w:p>
            <w:pPr>
              <w:spacing w:after="0"/>
              <w:rPr>
                <w:sz w:val="24"/>
                <w:szCs w:val="24"/>
                <w:color w:val="auto"/>
              </w:rPr>
            </w:pPr>
          </w:p>
        </w:tc>
        <w:tc>
          <w:tcPr>
            <w:tcW w:w="2100" w:type="dxa"/>
            <w:vAlign w:val="bottom"/>
            <w:shd w:val="clear" w:color="auto" w:fill="E4E4E4"/>
          </w:tcPr>
          <w:p>
            <w:pPr>
              <w:spacing w:after="0"/>
              <w:rPr>
                <w:sz w:val="24"/>
                <w:szCs w:val="24"/>
                <w:color w:val="auto"/>
              </w:rPr>
            </w:pPr>
          </w:p>
        </w:tc>
        <w:tc>
          <w:tcPr>
            <w:tcW w:w="60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42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7,299</w:t>
            </w:r>
          </w:p>
        </w:tc>
        <w:tc>
          <w:tcPr>
            <w:tcW w:w="2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6,483</w:t>
            </w:r>
          </w:p>
        </w:tc>
        <w:tc>
          <w:tcPr>
            <w:tcW w:w="160" w:type="dxa"/>
            <w:vAlign w:val="bottom"/>
            <w:shd w:val="clear" w:color="auto" w:fill="E4E4E4"/>
          </w:tcPr>
          <w:p>
            <w:pPr>
              <w:spacing w:after="0"/>
              <w:rPr>
                <w:sz w:val="24"/>
                <w:szCs w:val="24"/>
                <w:color w:val="auto"/>
              </w:rPr>
            </w:pPr>
          </w:p>
        </w:tc>
        <w:tc>
          <w:tcPr>
            <w:tcW w:w="860" w:type="dxa"/>
            <w:vAlign w:val="bottom"/>
            <w:shd w:val="clear" w:color="auto" w:fill="E4E4E4"/>
          </w:tcPr>
          <w:p>
            <w:pPr>
              <w:ind w:left="620"/>
              <w:spacing w:after="0"/>
              <w:rPr>
                <w:sz w:val="20"/>
                <w:szCs w:val="20"/>
                <w:color w:val="auto"/>
              </w:rPr>
            </w:pPr>
            <w:r>
              <w:rPr>
                <w:rFonts w:ascii="Arial" w:cs="Arial" w:eastAsia="Arial" w:hAnsi="Arial"/>
                <w:sz w:val="20"/>
                <w:szCs w:val="20"/>
                <w:color w:val="auto"/>
              </w:rPr>
              <w:t>5,</w:t>
            </w:r>
          </w:p>
        </w:tc>
        <w:tc>
          <w:tcPr>
            <w:tcW w:w="30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0"/>
              </w:rPr>
              <w:t>67</w:t>
            </w:r>
          </w:p>
        </w:tc>
      </w:tr>
      <w:tr>
        <w:trPr>
          <w:trHeight w:val="290"/>
        </w:trPr>
        <w:tc>
          <w:tcPr>
            <w:tcW w:w="30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Provision for income taxes</w:t>
            </w:r>
          </w:p>
        </w:tc>
        <w:tc>
          <w:tcPr>
            <w:tcW w:w="300" w:type="dxa"/>
            <w:vAlign w:val="bottom"/>
            <w:tcBorders>
              <w:bottom w:val="single" w:sz="8" w:color="auto"/>
            </w:tcBorders>
            <w:shd w:val="clear" w:color="auto" w:fill="FEFEFE"/>
          </w:tcPr>
          <w:p>
            <w:pPr>
              <w:spacing w:after="0"/>
              <w:rPr>
                <w:sz w:val="24"/>
                <w:szCs w:val="24"/>
                <w:color w:val="auto"/>
              </w:rPr>
            </w:pPr>
          </w:p>
        </w:tc>
        <w:tc>
          <w:tcPr>
            <w:tcW w:w="2100" w:type="dxa"/>
            <w:vAlign w:val="bottom"/>
            <w:tcBorders>
              <w:bottom w:val="single" w:sz="8" w:color="auto"/>
            </w:tcBorders>
            <w:shd w:val="clear" w:color="auto" w:fill="FEFEFE"/>
          </w:tcPr>
          <w:p>
            <w:pPr>
              <w:spacing w:after="0"/>
              <w:rPr>
                <w:sz w:val="24"/>
                <w:szCs w:val="24"/>
                <w:color w:val="auto"/>
              </w:rPr>
            </w:pPr>
          </w:p>
        </w:tc>
        <w:tc>
          <w:tcPr>
            <w:tcW w:w="60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42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1,805</w:t>
            </w:r>
          </w:p>
        </w:tc>
        <w:tc>
          <w:tcPr>
            <w:tcW w:w="2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1,61</w:t>
            </w:r>
          </w:p>
        </w:tc>
        <w:tc>
          <w:tcPr>
            <w:tcW w:w="16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ind w:left="620"/>
              <w:spacing w:after="0"/>
              <w:rPr>
                <w:sz w:val="20"/>
                <w:szCs w:val="20"/>
                <w:color w:val="auto"/>
              </w:rPr>
            </w:pPr>
            <w:r>
              <w:rPr>
                <w:rFonts w:ascii="Arial" w:cs="Arial" w:eastAsia="Arial" w:hAnsi="Arial"/>
                <w:sz w:val="20"/>
                <w:szCs w:val="20"/>
                <w:color w:val="auto"/>
                <w:w w:val="78"/>
              </w:rPr>
              <w:t>1,4</w:t>
            </w:r>
          </w:p>
        </w:tc>
        <w:tc>
          <w:tcPr>
            <w:tcW w:w="3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30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Net income</w:t>
            </w:r>
          </w:p>
        </w:tc>
        <w:tc>
          <w:tcPr>
            <w:tcW w:w="300" w:type="dxa"/>
            <w:vAlign w:val="bottom"/>
            <w:tcBorders>
              <w:bottom w:val="single" w:sz="8" w:color="auto"/>
            </w:tcBorders>
            <w:shd w:val="clear" w:color="auto" w:fill="E4E4E4"/>
          </w:tcPr>
          <w:p>
            <w:pPr>
              <w:spacing w:after="0"/>
              <w:rPr>
                <w:sz w:val="24"/>
                <w:szCs w:val="24"/>
                <w:color w:val="auto"/>
              </w:rPr>
            </w:pPr>
          </w:p>
        </w:tc>
        <w:tc>
          <w:tcPr>
            <w:tcW w:w="2100" w:type="dxa"/>
            <w:vAlign w:val="bottom"/>
            <w:tcBorders>
              <w:bottom w:val="single" w:sz="8" w:color="auto"/>
            </w:tcBorders>
            <w:shd w:val="clear" w:color="auto" w:fill="E4E4E4"/>
          </w:tcPr>
          <w:p>
            <w:pPr>
              <w:spacing w:after="0"/>
              <w:rPr>
                <w:sz w:val="24"/>
                <w:szCs w:val="24"/>
                <w:color w:val="auto"/>
              </w:rPr>
            </w:pPr>
          </w:p>
        </w:tc>
        <w:tc>
          <w:tcPr>
            <w:tcW w:w="60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gridSpan w:val="2"/>
            <w:shd w:val="clear" w:color="auto" w:fill="E4E4E4"/>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5,494</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4,864</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4,474</w:t>
            </w:r>
          </w:p>
        </w:tc>
      </w:tr>
      <w:tr>
        <w:trPr>
          <w:trHeight w:val="284"/>
        </w:trPr>
        <w:tc>
          <w:tcPr>
            <w:tcW w:w="3020" w:type="dxa"/>
            <w:vAlign w:val="bottom"/>
            <w:shd w:val="clear" w:color="auto" w:fill="FEFEFE"/>
          </w:tcPr>
          <w:p>
            <w:pPr>
              <w:ind w:left="280"/>
              <w:spacing w:after="0"/>
              <w:rPr>
                <w:sz w:val="20"/>
                <w:szCs w:val="20"/>
                <w:color w:val="auto"/>
              </w:rPr>
            </w:pPr>
            <w:r>
              <w:rPr>
                <w:rFonts w:ascii="Arial" w:cs="Arial" w:eastAsia="Arial" w:hAnsi="Arial"/>
                <w:sz w:val="20"/>
                <w:szCs w:val="20"/>
                <w:color w:val="auto"/>
              </w:rPr>
              <w:t>Basic earnings per share</w:t>
            </w:r>
          </w:p>
        </w:tc>
        <w:tc>
          <w:tcPr>
            <w:tcW w:w="300" w:type="dxa"/>
            <w:vAlign w:val="bottom"/>
            <w:shd w:val="clear" w:color="auto" w:fill="FEFEFE"/>
          </w:tcPr>
          <w:p>
            <w:pPr>
              <w:spacing w:after="0"/>
              <w:rPr>
                <w:sz w:val="24"/>
                <w:szCs w:val="24"/>
                <w:color w:val="auto"/>
              </w:rPr>
            </w:pPr>
          </w:p>
        </w:tc>
        <w:tc>
          <w:tcPr>
            <w:tcW w:w="2100" w:type="dxa"/>
            <w:vAlign w:val="bottom"/>
            <w:shd w:val="clear" w:color="auto" w:fill="FEFEFE"/>
          </w:tcPr>
          <w:p>
            <w:pPr>
              <w:spacing w:after="0"/>
              <w:rPr>
                <w:sz w:val="24"/>
                <w:szCs w:val="24"/>
                <w:color w:val="auto"/>
              </w:rPr>
            </w:pPr>
          </w:p>
        </w:tc>
        <w:tc>
          <w:tcPr>
            <w:tcW w:w="600" w:type="dxa"/>
            <w:vAlign w:val="bottom"/>
            <w:shd w:val="clear" w:color="auto" w:fill="FEFEFE"/>
          </w:tcPr>
          <w:p>
            <w:pPr>
              <w:spacing w:after="0"/>
              <w:rPr>
                <w:sz w:val="24"/>
                <w:szCs w:val="24"/>
                <w:color w:val="auto"/>
              </w:rPr>
            </w:pPr>
          </w:p>
        </w:tc>
        <w:tc>
          <w:tcPr>
            <w:tcW w:w="70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4.93</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4.31</w:t>
            </w:r>
          </w:p>
        </w:tc>
        <w:tc>
          <w:tcPr>
            <w:tcW w:w="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FEFEFE"/>
          </w:tcPr>
          <w:p>
            <w:pPr>
              <w:ind w:left="720"/>
              <w:spacing w:after="0"/>
              <w:rPr>
                <w:sz w:val="20"/>
                <w:szCs w:val="20"/>
                <w:color w:val="auto"/>
              </w:rPr>
            </w:pPr>
            <w:r>
              <w:rPr>
                <w:rFonts w:ascii="Arial" w:cs="Arial" w:eastAsia="Arial" w:hAnsi="Arial"/>
                <w:sz w:val="20"/>
                <w:szCs w:val="20"/>
                <w:color w:val="auto"/>
                <w:w w:val="71"/>
              </w:rPr>
              <w:t>3.</w:t>
            </w:r>
          </w:p>
        </w:tc>
        <w:tc>
          <w:tcPr>
            <w:tcW w:w="3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w:t>
            </w:r>
          </w:p>
        </w:tc>
      </w:tr>
      <w:tr>
        <w:trPr>
          <w:trHeight w:val="306"/>
        </w:trPr>
        <w:tc>
          <w:tcPr>
            <w:tcW w:w="3020" w:type="dxa"/>
            <w:vAlign w:val="bottom"/>
            <w:shd w:val="clear" w:color="auto" w:fill="E4E4E4"/>
          </w:tcPr>
          <w:p>
            <w:pPr>
              <w:ind w:left="480"/>
              <w:spacing w:after="0"/>
              <w:rPr>
                <w:sz w:val="20"/>
                <w:szCs w:val="20"/>
                <w:color w:val="auto"/>
              </w:rPr>
            </w:pPr>
            <w:r>
              <w:rPr>
                <w:rFonts w:ascii="Arial" w:cs="Arial" w:eastAsia="Arial" w:hAnsi="Arial"/>
                <w:sz w:val="20"/>
                <w:szCs w:val="20"/>
                <w:color w:val="auto"/>
                <w:w w:val="86"/>
              </w:rPr>
              <w:t>eighted average common shares</w:t>
            </w:r>
          </w:p>
        </w:tc>
        <w:tc>
          <w:tcPr>
            <w:tcW w:w="2400" w:type="dxa"/>
            <w:vAlign w:val="bottom"/>
            <w:gridSpan w:val="2"/>
            <w:shd w:val="clear" w:color="auto" w:fill="E4E4E4"/>
          </w:tcPr>
          <w:p>
            <w:pPr>
              <w:ind w:left="200"/>
              <w:spacing w:after="0"/>
              <w:rPr>
                <w:sz w:val="20"/>
                <w:szCs w:val="20"/>
                <w:color w:val="auto"/>
              </w:rPr>
            </w:pPr>
            <w:r>
              <w:rPr>
                <w:rFonts w:ascii="Arial" w:cs="Arial" w:eastAsia="Arial" w:hAnsi="Arial"/>
                <w:sz w:val="20"/>
                <w:szCs w:val="20"/>
                <w:color w:val="auto"/>
              </w:rPr>
              <w:t>basic</w:t>
            </w:r>
          </w:p>
        </w:tc>
        <w:tc>
          <w:tcPr>
            <w:tcW w:w="60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42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1,114</w:t>
            </w:r>
          </w:p>
        </w:tc>
        <w:tc>
          <w:tcPr>
            <w:tcW w:w="2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1,128</w:t>
            </w:r>
          </w:p>
        </w:tc>
        <w:tc>
          <w:tcPr>
            <w:tcW w:w="160" w:type="dxa"/>
            <w:vAlign w:val="bottom"/>
            <w:shd w:val="clear" w:color="auto" w:fill="E4E4E4"/>
          </w:tcPr>
          <w:p>
            <w:pPr>
              <w:spacing w:after="0"/>
              <w:rPr>
                <w:sz w:val="24"/>
                <w:szCs w:val="24"/>
                <w:color w:val="auto"/>
              </w:rPr>
            </w:pPr>
          </w:p>
        </w:tc>
        <w:tc>
          <w:tcPr>
            <w:tcW w:w="11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1,146</w:t>
            </w:r>
          </w:p>
        </w:tc>
      </w:tr>
      <w:tr>
        <w:trPr>
          <w:trHeight w:val="294"/>
        </w:trPr>
        <w:tc>
          <w:tcPr>
            <w:tcW w:w="3020" w:type="dxa"/>
            <w:vAlign w:val="bottom"/>
            <w:shd w:val="clear" w:color="auto" w:fill="FEFEFE"/>
          </w:tcPr>
          <w:p>
            <w:pPr>
              <w:ind w:left="280"/>
              <w:spacing w:after="0"/>
              <w:rPr>
                <w:sz w:val="20"/>
                <w:szCs w:val="20"/>
                <w:color w:val="auto"/>
              </w:rPr>
            </w:pPr>
            <w:r>
              <w:rPr>
                <w:rFonts w:ascii="Arial" w:cs="Arial" w:eastAsia="Arial" w:hAnsi="Arial"/>
                <w:sz w:val="20"/>
                <w:szCs w:val="20"/>
                <w:color w:val="auto"/>
              </w:rPr>
              <w:t>Diluted earnings per share</w:t>
            </w:r>
          </w:p>
        </w:tc>
        <w:tc>
          <w:tcPr>
            <w:tcW w:w="300" w:type="dxa"/>
            <w:vAlign w:val="bottom"/>
            <w:shd w:val="clear" w:color="auto" w:fill="FEFEFE"/>
          </w:tcPr>
          <w:p>
            <w:pPr>
              <w:spacing w:after="0"/>
              <w:rPr>
                <w:sz w:val="24"/>
                <w:szCs w:val="24"/>
                <w:color w:val="auto"/>
              </w:rPr>
            </w:pPr>
          </w:p>
        </w:tc>
        <w:tc>
          <w:tcPr>
            <w:tcW w:w="2100" w:type="dxa"/>
            <w:vAlign w:val="bottom"/>
            <w:shd w:val="clear" w:color="auto" w:fill="FEFEFE"/>
          </w:tcPr>
          <w:p>
            <w:pPr>
              <w:spacing w:after="0"/>
              <w:rPr>
                <w:sz w:val="24"/>
                <w:szCs w:val="24"/>
                <w:color w:val="auto"/>
              </w:rPr>
            </w:pPr>
          </w:p>
        </w:tc>
        <w:tc>
          <w:tcPr>
            <w:tcW w:w="600" w:type="dxa"/>
            <w:vAlign w:val="bottom"/>
            <w:shd w:val="clear" w:color="auto" w:fill="FEFEFE"/>
          </w:tcPr>
          <w:p>
            <w:pPr>
              <w:spacing w:after="0"/>
              <w:rPr>
                <w:sz w:val="24"/>
                <w:szCs w:val="24"/>
                <w:color w:val="auto"/>
              </w:rPr>
            </w:pPr>
          </w:p>
        </w:tc>
        <w:tc>
          <w:tcPr>
            <w:tcW w:w="700" w:type="dxa"/>
            <w:vAlign w:val="bottom"/>
            <w:gridSpan w:val="2"/>
            <w:shd w:val="clear" w:color="auto" w:fill="FEFEFE"/>
          </w:tcPr>
          <w:p>
            <w:pPr>
              <w:jc w:val="right"/>
              <w:ind w:right="18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4.87</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4.26</w:t>
            </w:r>
          </w:p>
        </w:tc>
        <w:tc>
          <w:tcPr>
            <w:tcW w:w="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3.86</w:t>
            </w:r>
          </w:p>
        </w:tc>
      </w:tr>
      <w:tr>
        <w:trPr>
          <w:trHeight w:val="296"/>
        </w:trPr>
        <w:tc>
          <w:tcPr>
            <w:tcW w:w="3020" w:type="dxa"/>
            <w:vAlign w:val="bottom"/>
            <w:tcBorders>
              <w:bottom w:val="single" w:sz="8" w:color="auto"/>
            </w:tcBorders>
            <w:shd w:val="clear" w:color="auto" w:fill="E4E4E4"/>
          </w:tcPr>
          <w:p>
            <w:pPr>
              <w:ind w:left="480"/>
              <w:spacing w:after="0"/>
              <w:rPr>
                <w:sz w:val="20"/>
                <w:szCs w:val="20"/>
                <w:color w:val="auto"/>
              </w:rPr>
            </w:pPr>
            <w:r>
              <w:rPr>
                <w:rFonts w:ascii="Arial" w:cs="Arial" w:eastAsia="Arial" w:hAnsi="Arial"/>
                <w:sz w:val="20"/>
                <w:szCs w:val="20"/>
                <w:color w:val="auto"/>
                <w:w w:val="86"/>
              </w:rPr>
              <w:t>eighted average common shares</w:t>
            </w:r>
          </w:p>
        </w:tc>
        <w:tc>
          <w:tcPr>
            <w:tcW w:w="2400" w:type="dxa"/>
            <w:vAlign w:val="bottom"/>
            <w:tcBorders>
              <w:bottom w:val="single" w:sz="8" w:color="auto"/>
            </w:tcBorders>
            <w:gridSpan w:val="2"/>
            <w:shd w:val="clear" w:color="auto" w:fill="E4E4E4"/>
          </w:tcPr>
          <w:p>
            <w:pPr>
              <w:ind w:left="200"/>
              <w:spacing w:after="0"/>
              <w:rPr>
                <w:sz w:val="20"/>
                <w:szCs w:val="20"/>
                <w:color w:val="auto"/>
              </w:rPr>
            </w:pPr>
            <w:r>
              <w:rPr>
                <w:rFonts w:ascii="Arial" w:cs="Arial" w:eastAsia="Arial" w:hAnsi="Arial"/>
                <w:sz w:val="20"/>
                <w:szCs w:val="20"/>
                <w:color w:val="auto"/>
              </w:rPr>
              <w:t>diluted</w:t>
            </w:r>
          </w:p>
        </w:tc>
        <w:tc>
          <w:tcPr>
            <w:tcW w:w="600" w:type="dxa"/>
            <w:vAlign w:val="bottom"/>
            <w:tcBorders>
              <w:bottom w:val="single" w:sz="8" w:color="auto"/>
            </w:tcBorders>
            <w:shd w:val="clear" w:color="auto" w:fill="E4E4E4"/>
          </w:tcPr>
          <w:p>
            <w:pPr>
              <w:spacing w:after="0"/>
              <w:rPr>
                <w:sz w:val="24"/>
                <w:szCs w:val="24"/>
                <w:color w:val="auto"/>
              </w:rPr>
            </w:pPr>
          </w:p>
        </w:tc>
        <w:tc>
          <w:tcPr>
            <w:tcW w:w="280" w:type="dxa"/>
            <w:vAlign w:val="bottom"/>
            <w:tcBorders>
              <w:bottom w:val="single" w:sz="8" w:color="auto"/>
            </w:tcBorders>
            <w:shd w:val="clear" w:color="auto" w:fill="E4E4E4"/>
          </w:tcPr>
          <w:p>
            <w:pPr>
              <w:spacing w:after="0"/>
              <w:rPr>
                <w:sz w:val="24"/>
                <w:szCs w:val="24"/>
                <w:color w:val="auto"/>
              </w:rPr>
            </w:pPr>
          </w:p>
        </w:tc>
        <w:tc>
          <w:tcPr>
            <w:tcW w:w="42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1,128</w:t>
            </w:r>
          </w:p>
        </w:tc>
        <w:tc>
          <w:tcPr>
            <w:tcW w:w="2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1,142</w:t>
            </w:r>
          </w:p>
        </w:tc>
        <w:tc>
          <w:tcPr>
            <w:tcW w:w="16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gridSpan w:val="2"/>
            <w:shd w:val="clear" w:color="auto" w:fill="E4E4E4"/>
          </w:tcPr>
          <w:p>
            <w:pPr>
              <w:ind w:left="620"/>
              <w:spacing w:after="0"/>
              <w:rPr>
                <w:sz w:val="20"/>
                <w:szCs w:val="20"/>
                <w:color w:val="auto"/>
              </w:rPr>
            </w:pPr>
            <w:r>
              <w:rPr>
                <w:rFonts w:ascii="Arial" w:cs="Arial" w:eastAsia="Arial" w:hAnsi="Arial"/>
                <w:sz w:val="20"/>
                <w:szCs w:val="20"/>
                <w:color w:val="auto"/>
              </w:rPr>
              <w:t>1,15</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2240" w:h="15841" w:orient="portrait"/>
          <w:cols w:equalWidth="0" w:num="1">
            <w:col w:w="10260"/>
          </w:cols>
          <w:pgMar w:left="1000" w:top="792" w:right="981"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40"/>
        </w:trPr>
        <w:tc>
          <w:tcPr>
            <w:tcW w:w="4900" w:type="dxa"/>
            <w:vAlign w:val="bottom"/>
          </w:tcPr>
          <w:p>
            <w:pPr>
              <w:ind w:left="3880"/>
              <w:spacing w:after="0"/>
              <w:rPr>
                <w:sz w:val="20"/>
                <w:szCs w:val="20"/>
                <w:color w:val="auto"/>
              </w:rPr>
            </w:pPr>
            <w:r>
              <w:rPr>
                <w:rFonts w:ascii="Arial" w:cs="Arial" w:eastAsia="Arial" w:hAnsi="Arial"/>
                <w:sz w:val="20"/>
                <w:szCs w:val="20"/>
                <w:color w:val="auto"/>
              </w:rPr>
              <w:t>T  E TJX C</w:t>
            </w:r>
          </w:p>
        </w:tc>
        <w:tc>
          <w:tcPr>
            <w:tcW w:w="1540" w:type="dxa"/>
            <w:vAlign w:val="bottom"/>
            <w:gridSpan w:val="3"/>
          </w:tcPr>
          <w:p>
            <w:pPr>
              <w:jc w:val="right"/>
              <w:ind w:right="80"/>
              <w:spacing w:after="0"/>
              <w:rPr>
                <w:sz w:val="20"/>
                <w:szCs w:val="20"/>
                <w:color w:val="auto"/>
              </w:rPr>
            </w:pPr>
            <w:r>
              <w:rPr>
                <w:rFonts w:ascii="Arial" w:cs="Arial" w:eastAsia="Arial" w:hAnsi="Arial"/>
                <w:sz w:val="20"/>
                <w:szCs w:val="20"/>
                <w:color w:val="auto"/>
              </w:rPr>
              <w:t>PANIES, INC.</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gridSpan w:val="2"/>
          </w:tcPr>
          <w:p>
            <w:pPr>
              <w:ind w:left="2240"/>
              <w:spacing w:after="0"/>
              <w:rPr>
                <w:sz w:val="20"/>
                <w:szCs w:val="20"/>
                <w:color w:val="auto"/>
              </w:rPr>
            </w:pPr>
            <w:r>
              <w:rPr>
                <w:rFonts w:ascii="Arial" w:cs="Arial" w:eastAsia="Arial" w:hAnsi="Arial"/>
                <w:sz w:val="20"/>
                <w:szCs w:val="20"/>
                <w:color w:val="auto"/>
              </w:rPr>
              <w:t>C  NS  LIDATED STATE  ENTS  F C</w:t>
            </w: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auto"/>
              </w:rPr>
              <w:t>P  E</w:t>
            </w: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w w:val="98"/>
              </w:rPr>
              <w:t>ENSI  E INC</w:t>
            </w:r>
          </w:p>
        </w:tc>
        <w:tc>
          <w:tcPr>
            <w:tcW w:w="1160" w:type="dxa"/>
            <w:vAlign w:val="bottom"/>
          </w:tcPr>
          <w:p>
            <w:pPr>
              <w:jc w:val="right"/>
              <w:ind w:right="840"/>
              <w:spacing w:after="0"/>
              <w:rPr>
                <w:sz w:val="20"/>
                <w:szCs w:val="20"/>
                <w:color w:val="auto"/>
              </w:rPr>
            </w:pPr>
            <w:r>
              <w:rPr>
                <w:rFonts w:ascii="Arial" w:cs="Arial" w:eastAsia="Arial" w:hAnsi="Arial"/>
                <w:sz w:val="20"/>
                <w:szCs w:val="20"/>
                <w:color w:val="auto"/>
              </w:rPr>
              <w:t>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900" w:type="dxa"/>
            <w:vAlign w:val="bottom"/>
          </w:tcPr>
          <w:p>
            <w:pPr>
              <w:ind w:left="4520"/>
              <w:spacing w:after="0"/>
              <w:rPr>
                <w:sz w:val="20"/>
                <w:szCs w:val="20"/>
                <w:color w:val="auto"/>
              </w:rPr>
            </w:pPr>
            <w:r>
              <w:rPr>
                <w:rFonts w:ascii="Arial" w:cs="Arial" w:eastAsia="Arial" w:hAnsi="Arial"/>
                <w:sz w:val="20"/>
                <w:szCs w:val="20"/>
                <w:color w:val="auto"/>
              </w:rPr>
              <w:t>IN</w:t>
            </w:r>
          </w:p>
        </w:tc>
        <w:tc>
          <w:tcPr>
            <w:tcW w:w="940" w:type="dxa"/>
            <w:vAlign w:val="bottom"/>
          </w:tcPr>
          <w:p>
            <w:pPr>
              <w:ind w:left="60"/>
              <w:spacing w:after="0"/>
              <w:rPr>
                <w:sz w:val="20"/>
                <w:szCs w:val="20"/>
                <w:color w:val="auto"/>
              </w:rPr>
            </w:pPr>
            <w:r>
              <w:rPr>
                <w:rFonts w:ascii="Arial" w:cs="Arial" w:eastAsia="Arial" w:hAnsi="Arial"/>
                <w:sz w:val="20"/>
                <w:szCs w:val="20"/>
                <w:color w:val="auto"/>
              </w:rPr>
              <w:t>ILLI  NS</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7"/>
        </w:trPr>
        <w:tc>
          <w:tcPr>
            <w:tcW w:w="4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1,</w:t>
            </w:r>
          </w:p>
        </w:tc>
        <w:tc>
          <w:tcPr>
            <w:tcW w:w="16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3,</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2024</w:t>
            </w:r>
          </w:p>
        </w:tc>
        <w:tc>
          <w:tcPr>
            <w:tcW w:w="0" w:type="dxa"/>
            <w:vAlign w:val="bottom"/>
          </w:tcPr>
          <w:p>
            <w:pPr>
              <w:spacing w:after="0"/>
              <w:rPr>
                <w:sz w:val="1"/>
                <w:szCs w:val="1"/>
                <w:color w:val="auto"/>
              </w:rPr>
            </w:pPr>
          </w:p>
        </w:tc>
      </w:tr>
      <w:tr>
        <w:trPr>
          <w:trHeight w:val="284"/>
        </w:trPr>
        <w:tc>
          <w:tcPr>
            <w:tcW w:w="4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Arial" w:cs="Arial" w:eastAsia="Arial" w:hAnsi="Arial"/>
                <w:sz w:val="20"/>
                <w:szCs w:val="20"/>
                <w:color w:val="auto"/>
                <w:w w:val="91"/>
              </w:rPr>
              <w:t>(53 weeks)</w:t>
            </w:r>
          </w:p>
        </w:tc>
        <w:tc>
          <w:tcPr>
            <w:tcW w:w="0" w:type="dxa"/>
            <w:vAlign w:val="bottom"/>
          </w:tcPr>
          <w:p>
            <w:pPr>
              <w:spacing w:after="0"/>
              <w:rPr>
                <w:sz w:val="1"/>
                <w:szCs w:val="1"/>
                <w:color w:val="auto"/>
              </w:rPr>
            </w:pPr>
          </w:p>
        </w:tc>
      </w:tr>
      <w:tr>
        <w:trPr>
          <w:trHeight w:val="296"/>
        </w:trPr>
        <w:tc>
          <w:tcPr>
            <w:tcW w:w="49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Net income</w:t>
            </w:r>
          </w:p>
        </w:tc>
        <w:tc>
          <w:tcPr>
            <w:tcW w:w="940" w:type="dxa"/>
            <w:vAlign w:val="bottom"/>
            <w:tcBorders>
              <w:bottom w:val="single" w:sz="8" w:color="auto"/>
            </w:tcBorders>
            <w:shd w:val="clear" w:color="auto" w:fill="E4E4E4"/>
          </w:tcPr>
          <w:p>
            <w:pPr>
              <w:spacing w:after="0"/>
              <w:rPr>
                <w:sz w:val="24"/>
                <w:szCs w:val="24"/>
                <w:color w:val="auto"/>
              </w:rPr>
            </w:pPr>
          </w:p>
        </w:tc>
        <w:tc>
          <w:tcPr>
            <w:tcW w:w="60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5,494</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4,864</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4,474</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w w:val="93"/>
              </w:rPr>
              <w:t>Additions to other comprehensive income (loss), net of tax:</w:t>
            </w:r>
          </w:p>
        </w:tc>
        <w:tc>
          <w:tcPr>
            <w:tcW w:w="940" w:type="dxa"/>
            <w:vAlign w:val="bottom"/>
            <w:tcBorders>
              <w:bottom w:val="single" w:sz="8" w:color="FEFEFE"/>
            </w:tcBorders>
            <w:shd w:val="clear" w:color="auto" w:fill="FEFEFE"/>
          </w:tcPr>
          <w:p>
            <w:pPr>
              <w:spacing w:after="0"/>
              <w:rPr>
                <w:sz w:val="23"/>
                <w:szCs w:val="23"/>
                <w:color w:val="auto"/>
              </w:rPr>
            </w:pPr>
          </w:p>
        </w:tc>
        <w:tc>
          <w:tcPr>
            <w:tcW w:w="460" w:type="dxa"/>
            <w:vAlign w:val="bottom"/>
            <w:tcBorders>
              <w:bottom w:val="single" w:sz="8" w:color="FEFEFE"/>
            </w:tcBorders>
            <w:shd w:val="clear" w:color="auto" w:fill="FEFEFE"/>
          </w:tcPr>
          <w:p>
            <w:pPr>
              <w:spacing w:after="0"/>
              <w:rPr>
                <w:sz w:val="23"/>
                <w:szCs w:val="23"/>
                <w:color w:val="auto"/>
              </w:rPr>
            </w:pPr>
          </w:p>
        </w:tc>
        <w:tc>
          <w:tcPr>
            <w:tcW w:w="140" w:type="dxa"/>
            <w:vAlign w:val="bottom"/>
            <w:tcBorders>
              <w:bottom w:val="single" w:sz="8" w:color="FEFEFE"/>
            </w:tcBorders>
            <w:shd w:val="clear" w:color="auto" w:fill="FEFEFE"/>
          </w:tcPr>
          <w:p>
            <w:pPr>
              <w:spacing w:after="0"/>
              <w:rPr>
                <w:sz w:val="23"/>
                <w:szCs w:val="23"/>
                <w:color w:val="auto"/>
              </w:rPr>
            </w:pPr>
          </w:p>
        </w:tc>
        <w:tc>
          <w:tcPr>
            <w:tcW w:w="1100" w:type="dxa"/>
            <w:vAlign w:val="bottom"/>
            <w:tcBorders>
              <w:bottom w:val="single" w:sz="8" w:color="FEFEFE"/>
            </w:tcBorders>
            <w:shd w:val="clear" w:color="auto" w:fill="FEFEFE"/>
          </w:tcPr>
          <w:p>
            <w:pPr>
              <w:spacing w:after="0"/>
              <w:rPr>
                <w:sz w:val="23"/>
                <w:szCs w:val="23"/>
                <w:color w:val="auto"/>
              </w:rPr>
            </w:pPr>
          </w:p>
        </w:tc>
        <w:tc>
          <w:tcPr>
            <w:tcW w:w="240" w:type="dxa"/>
            <w:vAlign w:val="bottom"/>
            <w:tcBorders>
              <w:bottom w:val="single" w:sz="8" w:color="FEFEFE"/>
            </w:tcBorders>
            <w:shd w:val="clear" w:color="auto" w:fill="FEFEFE"/>
          </w:tcPr>
          <w:p>
            <w:pPr>
              <w:spacing w:after="0"/>
              <w:rPr>
                <w:sz w:val="23"/>
                <w:szCs w:val="23"/>
                <w:color w:val="auto"/>
              </w:rPr>
            </w:pPr>
          </w:p>
        </w:tc>
        <w:tc>
          <w:tcPr>
            <w:tcW w:w="1160" w:type="dxa"/>
            <w:vAlign w:val="bottom"/>
            <w:tcBorders>
              <w:bottom w:val="single" w:sz="8" w:color="FEFEFE"/>
            </w:tcBorders>
            <w:shd w:val="clear" w:color="auto" w:fill="FEFEFE"/>
          </w:tcPr>
          <w:p>
            <w:pPr>
              <w:spacing w:after="0"/>
              <w:rPr>
                <w:sz w:val="23"/>
                <w:szCs w:val="23"/>
                <w:color w:val="auto"/>
              </w:rPr>
            </w:pPr>
          </w:p>
        </w:tc>
        <w:tc>
          <w:tcPr>
            <w:tcW w:w="160" w:type="dxa"/>
            <w:vAlign w:val="bottom"/>
            <w:tcBorders>
              <w:bottom w:val="single" w:sz="8" w:color="FEFEFE"/>
            </w:tcBorders>
            <w:shd w:val="clear" w:color="auto" w:fill="FEFEFE"/>
          </w:tcPr>
          <w:p>
            <w:pPr>
              <w:spacing w:after="0"/>
              <w:rPr>
                <w:sz w:val="23"/>
                <w:szCs w:val="23"/>
                <w:color w:val="auto"/>
              </w:rPr>
            </w:pPr>
          </w:p>
        </w:tc>
        <w:tc>
          <w:tcPr>
            <w:tcW w:w="116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440" w:type="dxa"/>
            <w:vAlign w:val="bottom"/>
            <w:gridSpan w:val="4"/>
            <w:shd w:val="clear" w:color="auto" w:fill="E4E4E4"/>
          </w:tcPr>
          <w:p>
            <w:pPr>
              <w:ind w:left="260"/>
              <w:spacing w:after="0" w:line="213" w:lineRule="exact"/>
              <w:rPr>
                <w:sz w:val="20"/>
                <w:szCs w:val="20"/>
                <w:color w:val="auto"/>
              </w:rPr>
            </w:pPr>
            <w:r>
              <w:rPr>
                <w:rFonts w:ascii="Arial" w:cs="Arial" w:eastAsia="Arial" w:hAnsi="Arial"/>
                <w:sz w:val="20"/>
                <w:szCs w:val="20"/>
                <w:color w:val="auto"/>
                <w:w w:val="97"/>
              </w:rPr>
              <w:t>Foreign currency translation adjustments, net of related tax provision of</w:t>
            </w:r>
          </w:p>
        </w:tc>
        <w:tc>
          <w:tcPr>
            <w:tcW w:w="11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gridSpan w:val="4"/>
            <w:shd w:val="clear" w:color="auto" w:fill="E4E4E4"/>
          </w:tcPr>
          <w:p>
            <w:pPr>
              <w:ind w:left="260"/>
              <w:spacing w:after="0" w:line="200" w:lineRule="exact"/>
              <w:rPr>
                <w:sz w:val="20"/>
                <w:szCs w:val="20"/>
                <w:color w:val="auto"/>
              </w:rPr>
            </w:pPr>
            <w:r>
              <w:rPr>
                <w:rFonts w:ascii="Arial" w:cs="Arial" w:eastAsia="Arial" w:hAnsi="Arial"/>
                <w:sz w:val="20"/>
                <w:szCs w:val="20"/>
                <w:color w:val="auto"/>
                <w:w w:val="98"/>
              </w:rPr>
              <w:t>$4 in fiscal 2026 and tax benefits of $8 and $1 in fiscal 2025 and 2024,</w:t>
            </w:r>
          </w:p>
        </w:tc>
        <w:tc>
          <w:tcPr>
            <w:tcW w:w="110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16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11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respectively</w:t>
            </w:r>
          </w:p>
        </w:tc>
        <w:tc>
          <w:tcPr>
            <w:tcW w:w="940" w:type="dxa"/>
            <w:vAlign w:val="bottom"/>
            <w:shd w:val="clear" w:color="auto" w:fill="E4E4E4"/>
          </w:tcPr>
          <w:p>
            <w:pPr>
              <w:spacing w:after="0"/>
              <w:rPr>
                <w:sz w:val="24"/>
                <w:szCs w:val="24"/>
                <w:color w:val="auto"/>
              </w:rPr>
            </w:pPr>
          </w:p>
        </w:tc>
        <w:tc>
          <w:tcPr>
            <w:tcW w:w="4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245</w:t>
            </w:r>
          </w:p>
        </w:tc>
        <w:tc>
          <w:tcPr>
            <w:tcW w:w="2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(105)</w:t>
            </w:r>
          </w:p>
        </w:tc>
        <w:tc>
          <w:tcPr>
            <w:tcW w:w="16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14"/>
        </w:trPr>
        <w:tc>
          <w:tcPr>
            <w:tcW w:w="6440" w:type="dxa"/>
            <w:vAlign w:val="bottom"/>
            <w:gridSpan w:val="4"/>
            <w:shd w:val="clear" w:color="auto" w:fill="FEFEFE"/>
          </w:tcPr>
          <w:p>
            <w:pPr>
              <w:ind w:left="400"/>
              <w:spacing w:after="0" w:line="213" w:lineRule="exact"/>
              <w:rPr>
                <w:sz w:val="20"/>
                <w:szCs w:val="20"/>
                <w:color w:val="auto"/>
              </w:rPr>
            </w:pPr>
            <w:r>
              <w:rPr>
                <w:rFonts w:ascii="Arial" w:cs="Arial" w:eastAsia="Arial" w:hAnsi="Arial"/>
                <w:sz w:val="20"/>
                <w:szCs w:val="20"/>
                <w:color w:val="auto"/>
                <w:w w:val="95"/>
              </w:rPr>
              <w:t>ecognition of net gains (losses) on benefit obligations, net of related tax</w:t>
            </w:r>
          </w:p>
        </w:tc>
        <w:tc>
          <w:tcPr>
            <w:tcW w:w="11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240" w:type="dxa"/>
            <w:vAlign w:val="bottom"/>
            <w:shd w:val="clear" w:color="auto" w:fill="FEFEFE"/>
          </w:tcPr>
          <w:p>
            <w:pPr>
              <w:spacing w:after="0"/>
              <w:rPr>
                <w:sz w:val="18"/>
                <w:szCs w:val="18"/>
                <w:color w:val="auto"/>
              </w:rPr>
            </w:pPr>
          </w:p>
        </w:tc>
        <w:tc>
          <w:tcPr>
            <w:tcW w:w="1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27</w:t>
            </w:r>
          </w:p>
        </w:tc>
        <w:tc>
          <w:tcPr>
            <w:tcW w:w="160" w:type="dxa"/>
            <w:vAlign w:val="bottom"/>
            <w:shd w:val="clear" w:color="auto" w:fill="FEFEFE"/>
          </w:tcPr>
          <w:p>
            <w:pPr>
              <w:spacing w:after="0"/>
              <w:rPr>
                <w:sz w:val="18"/>
                <w:szCs w:val="18"/>
                <w:color w:val="auto"/>
              </w:rPr>
            </w:pPr>
          </w:p>
        </w:tc>
        <w:tc>
          <w:tcPr>
            <w:tcW w:w="1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75"/>
        </w:trPr>
        <w:tc>
          <w:tcPr>
            <w:tcW w:w="6440" w:type="dxa"/>
            <w:vAlign w:val="bottom"/>
            <w:gridSpan w:val="4"/>
            <w:shd w:val="clear" w:color="auto" w:fill="FEFEFE"/>
          </w:tcPr>
          <w:p>
            <w:pPr>
              <w:ind w:left="260"/>
              <w:spacing w:after="0"/>
              <w:rPr>
                <w:sz w:val="20"/>
                <w:szCs w:val="20"/>
                <w:color w:val="auto"/>
              </w:rPr>
            </w:pPr>
            <w:r>
              <w:rPr>
                <w:rFonts w:ascii="Arial" w:cs="Arial" w:eastAsia="Arial" w:hAnsi="Arial"/>
                <w:sz w:val="20"/>
                <w:szCs w:val="20"/>
                <w:color w:val="auto"/>
                <w:w w:val="95"/>
              </w:rPr>
              <w:t>provisions of $5, $10 and $16 in fiscal 2026, 2025 and 2024, respectively</w:t>
            </w:r>
          </w:p>
        </w:tc>
        <w:tc>
          <w:tcPr>
            <w:tcW w:w="1100" w:type="dxa"/>
            <w:vAlign w:val="bottom"/>
            <w:vMerge w:val="continue"/>
            <w:shd w:val="clear" w:color="auto" w:fill="FEFEFE"/>
          </w:tcPr>
          <w:p>
            <w:pPr>
              <w:spacing w:after="0"/>
              <w:rPr>
                <w:sz w:val="23"/>
                <w:szCs w:val="23"/>
                <w:color w:val="auto"/>
              </w:rPr>
            </w:pPr>
          </w:p>
        </w:tc>
        <w:tc>
          <w:tcPr>
            <w:tcW w:w="240" w:type="dxa"/>
            <w:vAlign w:val="bottom"/>
            <w:shd w:val="clear" w:color="auto" w:fill="FEFEFE"/>
          </w:tcPr>
          <w:p>
            <w:pPr>
              <w:spacing w:after="0"/>
              <w:rPr>
                <w:sz w:val="23"/>
                <w:szCs w:val="23"/>
                <w:color w:val="auto"/>
              </w:rPr>
            </w:pPr>
          </w:p>
        </w:tc>
        <w:tc>
          <w:tcPr>
            <w:tcW w:w="1160" w:type="dxa"/>
            <w:vAlign w:val="bottom"/>
            <w:vMerge w:val="continue"/>
            <w:shd w:val="clear" w:color="auto" w:fill="FEFEFE"/>
          </w:tcPr>
          <w:p>
            <w:pPr>
              <w:spacing w:after="0"/>
              <w:rPr>
                <w:sz w:val="23"/>
                <w:szCs w:val="23"/>
                <w:color w:val="auto"/>
              </w:rPr>
            </w:pPr>
          </w:p>
        </w:tc>
        <w:tc>
          <w:tcPr>
            <w:tcW w:w="160" w:type="dxa"/>
            <w:vAlign w:val="bottom"/>
            <w:shd w:val="clear" w:color="auto" w:fill="FEFEFE"/>
          </w:tcPr>
          <w:p>
            <w:pPr>
              <w:spacing w:after="0"/>
              <w:rPr>
                <w:sz w:val="23"/>
                <w:szCs w:val="23"/>
                <w:color w:val="auto"/>
              </w:rPr>
            </w:pPr>
          </w:p>
        </w:tc>
        <w:tc>
          <w:tcPr>
            <w:tcW w:w="116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540" w:type="dxa"/>
            <w:vAlign w:val="bottom"/>
            <w:tcBorders>
              <w:bottom w:val="single" w:sz="8" w:color="E4E4E4"/>
            </w:tcBorders>
            <w:gridSpan w:val="5"/>
            <w:shd w:val="clear" w:color="auto" w:fill="E4E4E4"/>
          </w:tcPr>
          <w:p>
            <w:pPr>
              <w:ind w:left="180"/>
              <w:spacing w:after="0"/>
              <w:rPr>
                <w:sz w:val="20"/>
                <w:szCs w:val="20"/>
                <w:color w:val="auto"/>
              </w:rPr>
            </w:pPr>
            <w:r>
              <w:rPr>
                <w:rFonts w:ascii="Arial" w:cs="Arial" w:eastAsia="Arial" w:hAnsi="Arial"/>
                <w:sz w:val="20"/>
                <w:szCs w:val="20"/>
                <w:color w:val="auto"/>
              </w:rPr>
              <w:t>eclassifications from other comprehensive income (loss), net of tax, to net income:</w:t>
            </w:r>
          </w:p>
        </w:tc>
        <w:tc>
          <w:tcPr>
            <w:tcW w:w="2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c>
          <w:tcPr>
            <w:tcW w:w="16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40" w:type="dxa"/>
            <w:vAlign w:val="bottom"/>
            <w:gridSpan w:val="2"/>
            <w:shd w:val="clear" w:color="auto" w:fill="FEFEFE"/>
          </w:tcPr>
          <w:p>
            <w:pPr>
              <w:ind w:left="260"/>
              <w:spacing w:after="0" w:line="213" w:lineRule="exact"/>
              <w:rPr>
                <w:sz w:val="20"/>
                <w:szCs w:val="20"/>
                <w:color w:val="auto"/>
              </w:rPr>
            </w:pPr>
            <w:r>
              <w:rPr>
                <w:rFonts w:ascii="Arial" w:cs="Arial" w:eastAsia="Arial" w:hAnsi="Arial"/>
                <w:sz w:val="20"/>
                <w:szCs w:val="20"/>
                <w:color w:val="auto"/>
                <w:w w:val="93"/>
              </w:rPr>
              <w:t>Amorti ation of prior service cost and deferred gains (losses), net of</w:t>
            </w:r>
          </w:p>
        </w:tc>
        <w:tc>
          <w:tcPr>
            <w:tcW w:w="4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116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116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gridSpan w:val="4"/>
            <w:shd w:val="clear" w:color="auto" w:fill="FEFEFE"/>
          </w:tcPr>
          <w:p>
            <w:pPr>
              <w:ind w:left="260"/>
              <w:spacing w:after="0" w:line="200" w:lineRule="exact"/>
              <w:rPr>
                <w:sz w:val="20"/>
                <w:szCs w:val="20"/>
                <w:color w:val="auto"/>
              </w:rPr>
            </w:pPr>
            <w:r>
              <w:rPr>
                <w:rFonts w:ascii="Arial" w:cs="Arial" w:eastAsia="Arial" w:hAnsi="Arial"/>
                <w:sz w:val="20"/>
                <w:szCs w:val="20"/>
                <w:color w:val="auto"/>
                <w:w w:val="98"/>
              </w:rPr>
              <w:t>related tax provision of $1 in fiscal 2026, tax benefit of $1 in fiscal 2025</w:t>
            </w:r>
          </w:p>
        </w:tc>
        <w:tc>
          <w:tcPr>
            <w:tcW w:w="110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9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and tax provision of $1 in fiscal 2024</w:t>
            </w:r>
          </w:p>
        </w:tc>
        <w:tc>
          <w:tcPr>
            <w:tcW w:w="940" w:type="dxa"/>
            <w:vAlign w:val="bottom"/>
            <w:tcBorders>
              <w:bottom w:val="single" w:sz="8" w:color="auto"/>
            </w:tcBorders>
            <w:shd w:val="clear" w:color="auto" w:fill="FEFEFE"/>
          </w:tcPr>
          <w:p>
            <w:pPr>
              <w:spacing w:after="0"/>
              <w:rPr>
                <w:sz w:val="24"/>
                <w:szCs w:val="24"/>
                <w:color w:val="auto"/>
              </w:rPr>
            </w:pPr>
          </w:p>
        </w:tc>
        <w:tc>
          <w:tcPr>
            <w:tcW w:w="46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1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0"/>
        </w:trPr>
        <w:tc>
          <w:tcPr>
            <w:tcW w:w="4900" w:type="dxa"/>
            <w:vAlign w:val="bottom"/>
            <w:tcBorders>
              <w:bottom w:val="single" w:sz="8" w:color="auto"/>
            </w:tcBorders>
            <w:shd w:val="clear" w:color="auto" w:fill="E4E4E4"/>
          </w:tcPr>
          <w:p>
            <w:pPr>
              <w:ind w:left="660"/>
              <w:spacing w:after="0"/>
              <w:rPr>
                <w:sz w:val="20"/>
                <w:szCs w:val="20"/>
                <w:color w:val="auto"/>
              </w:rPr>
            </w:pPr>
            <w:r>
              <w:rPr>
                <w:rFonts w:ascii="Arial" w:cs="Arial" w:eastAsia="Arial" w:hAnsi="Arial"/>
                <w:sz w:val="20"/>
                <w:szCs w:val="20"/>
                <w:color w:val="auto"/>
              </w:rPr>
              <w:t>ther comprehensive income (loss), net of tax</w:t>
            </w:r>
          </w:p>
        </w:tc>
        <w:tc>
          <w:tcPr>
            <w:tcW w:w="940" w:type="dxa"/>
            <w:vAlign w:val="bottom"/>
            <w:tcBorders>
              <w:bottom w:val="single" w:sz="8" w:color="auto"/>
            </w:tcBorders>
            <w:shd w:val="clear" w:color="auto" w:fill="E4E4E4"/>
          </w:tcPr>
          <w:p>
            <w:pPr>
              <w:spacing w:after="0"/>
              <w:rPr>
                <w:sz w:val="24"/>
                <w:szCs w:val="24"/>
                <w:color w:val="auto"/>
              </w:rPr>
            </w:pPr>
          </w:p>
        </w:tc>
        <w:tc>
          <w:tcPr>
            <w:tcW w:w="46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258</w:t>
            </w:r>
          </w:p>
        </w:tc>
        <w:tc>
          <w:tcPr>
            <w:tcW w:w="2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(77)</w:t>
            </w:r>
          </w:p>
        </w:tc>
        <w:tc>
          <w:tcPr>
            <w:tcW w:w="16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80"/>
        </w:trPr>
        <w:tc>
          <w:tcPr>
            <w:tcW w:w="490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otal comprehensi e income</w:t>
            </w:r>
          </w:p>
        </w:tc>
        <w:tc>
          <w:tcPr>
            <w:tcW w:w="940" w:type="dxa"/>
            <w:vAlign w:val="bottom"/>
            <w:tcBorders>
              <w:bottom w:val="single" w:sz="8" w:color="auto"/>
            </w:tcBorders>
            <w:shd w:val="clear" w:color="auto" w:fill="FEFEFE"/>
          </w:tcPr>
          <w:p>
            <w:pPr>
              <w:spacing w:after="0"/>
              <w:rPr>
                <w:sz w:val="24"/>
                <w:szCs w:val="24"/>
                <w:color w:val="auto"/>
              </w:rPr>
            </w:pPr>
          </w:p>
        </w:tc>
        <w:tc>
          <w:tcPr>
            <w:tcW w:w="60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5,752</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4,787</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4,548</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2240" w:h="15841" w:orient="portrait"/>
          <w:cols w:equalWidth="0" w:num="1">
            <w:col w:w="10260"/>
          </w:cols>
          <w:pgMar w:left="1000" w:top="792" w:right="981"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40"/>
        </w:trPr>
        <w:tc>
          <w:tcPr>
            <w:tcW w:w="3640" w:type="dxa"/>
            <w:vAlign w:val="bottom"/>
          </w:tcPr>
          <w:p>
            <w:pPr>
              <w:spacing w:after="0"/>
              <w:rPr>
                <w:sz w:val="20"/>
                <w:szCs w:val="20"/>
                <w:color w:val="auto"/>
              </w:rPr>
            </w:pPr>
          </w:p>
        </w:tc>
        <w:tc>
          <w:tcPr>
            <w:tcW w:w="460" w:type="dxa"/>
            <w:vAlign w:val="bottom"/>
          </w:tcPr>
          <w:p>
            <w:pPr>
              <w:ind w:left="240"/>
              <w:spacing w:after="0"/>
              <w:rPr>
                <w:sz w:val="20"/>
                <w:szCs w:val="20"/>
                <w:color w:val="auto"/>
              </w:rPr>
            </w:pPr>
            <w:r>
              <w:rPr>
                <w:rFonts w:ascii="Arial" w:cs="Arial" w:eastAsia="Arial" w:hAnsi="Arial"/>
                <w:sz w:val="20"/>
                <w:szCs w:val="20"/>
                <w:color w:val="auto"/>
              </w:rPr>
              <w:t>T</w:t>
            </w:r>
          </w:p>
        </w:tc>
        <w:tc>
          <w:tcPr>
            <w:tcW w:w="900" w:type="dxa"/>
            <w:vAlign w:val="bottom"/>
          </w:tcPr>
          <w:p>
            <w:pPr>
              <w:ind w:left="40"/>
              <w:spacing w:after="0"/>
              <w:rPr>
                <w:sz w:val="20"/>
                <w:szCs w:val="20"/>
                <w:color w:val="auto"/>
              </w:rPr>
            </w:pPr>
            <w:r>
              <w:rPr>
                <w:rFonts w:ascii="Arial" w:cs="Arial" w:eastAsia="Arial" w:hAnsi="Arial"/>
                <w:sz w:val="20"/>
                <w:szCs w:val="20"/>
                <w:color w:val="auto"/>
              </w:rPr>
              <w:t>E TJX C</w:t>
            </w:r>
          </w:p>
        </w:tc>
        <w:tc>
          <w:tcPr>
            <w:tcW w:w="2760" w:type="dxa"/>
            <w:vAlign w:val="bottom"/>
            <w:gridSpan w:val="3"/>
          </w:tcPr>
          <w:p>
            <w:pPr>
              <w:jc w:val="right"/>
              <w:ind w:right="1400"/>
              <w:spacing w:after="0"/>
              <w:rPr>
                <w:sz w:val="20"/>
                <w:szCs w:val="20"/>
                <w:color w:val="auto"/>
              </w:rPr>
            </w:pPr>
            <w:r>
              <w:rPr>
                <w:rFonts w:ascii="Arial" w:cs="Arial" w:eastAsia="Arial" w:hAnsi="Arial"/>
                <w:sz w:val="20"/>
                <w:szCs w:val="20"/>
                <w:color w:val="auto"/>
              </w:rPr>
              <w:t>PANIES, INC.</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0"/>
        </w:trPr>
        <w:tc>
          <w:tcPr>
            <w:tcW w:w="3640" w:type="dxa"/>
            <w:vAlign w:val="bottom"/>
          </w:tcPr>
          <w:p>
            <w:pPr>
              <w:ind w:left="3460"/>
              <w:spacing w:after="0"/>
              <w:rPr>
                <w:sz w:val="20"/>
                <w:szCs w:val="20"/>
                <w:color w:val="auto"/>
              </w:rPr>
            </w:pPr>
            <w:r>
              <w:rPr>
                <w:rFonts w:ascii="Arial" w:cs="Arial" w:eastAsia="Arial" w:hAnsi="Arial"/>
                <w:sz w:val="20"/>
                <w:szCs w:val="20"/>
                <w:color w:val="auto"/>
              </w:rPr>
              <w:t>C</w:t>
            </w:r>
          </w:p>
        </w:tc>
        <w:tc>
          <w:tcPr>
            <w:tcW w:w="460" w:type="dxa"/>
            <w:vAlign w:val="bottom"/>
          </w:tcPr>
          <w:p>
            <w:pPr>
              <w:jc w:val="center"/>
              <w:spacing w:after="0"/>
              <w:rPr>
                <w:sz w:val="20"/>
                <w:szCs w:val="20"/>
                <w:color w:val="auto"/>
              </w:rPr>
            </w:pPr>
            <w:r>
              <w:rPr>
                <w:rFonts w:ascii="Arial" w:cs="Arial" w:eastAsia="Arial" w:hAnsi="Arial"/>
                <w:sz w:val="20"/>
                <w:szCs w:val="20"/>
                <w:color w:val="auto"/>
                <w:w w:val="93"/>
              </w:rPr>
              <w:t>NS</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LIDATED BALANCE S</w:t>
            </w:r>
          </w:p>
        </w:tc>
        <w:tc>
          <w:tcPr>
            <w:tcW w:w="1520" w:type="dxa"/>
            <w:vAlign w:val="bottom"/>
            <w:gridSpan w:val="2"/>
          </w:tcPr>
          <w:p>
            <w:pPr>
              <w:jc w:val="right"/>
              <w:ind w:right="980"/>
              <w:spacing w:after="0"/>
              <w:rPr>
                <w:sz w:val="20"/>
                <w:szCs w:val="20"/>
                <w:color w:val="auto"/>
              </w:rPr>
            </w:pPr>
            <w:r>
              <w:rPr>
                <w:rFonts w:ascii="Arial" w:cs="Arial" w:eastAsia="Arial" w:hAnsi="Arial"/>
                <w:sz w:val="20"/>
                <w:szCs w:val="20"/>
                <w:color w:val="auto"/>
                <w:w w:val="99"/>
              </w:rPr>
              <w:t>EETS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61"/>
        </w:trPr>
        <w:tc>
          <w:tcPr>
            <w:tcW w:w="3640" w:type="dxa"/>
            <w:vAlign w:val="bottom"/>
          </w:tcPr>
          <w:p>
            <w:pPr>
              <w:ind w:left="3240"/>
              <w:spacing w:after="0"/>
              <w:rPr>
                <w:sz w:val="20"/>
                <w:szCs w:val="20"/>
                <w:color w:val="auto"/>
              </w:rPr>
            </w:pPr>
            <w:r>
              <w:rPr>
                <w:rFonts w:ascii="Arial" w:cs="Arial" w:eastAsia="Arial" w:hAnsi="Arial"/>
                <w:sz w:val="20"/>
                <w:szCs w:val="20"/>
                <w:color w:val="auto"/>
              </w:rPr>
              <w:t>IN</w:t>
            </w:r>
          </w:p>
        </w:tc>
        <w:tc>
          <w:tcPr>
            <w:tcW w:w="460" w:type="dxa"/>
            <w:vAlign w:val="bottom"/>
          </w:tcPr>
          <w:p>
            <w:pPr>
              <w:jc w:val="center"/>
              <w:spacing w:after="0"/>
              <w:rPr>
                <w:sz w:val="20"/>
                <w:szCs w:val="20"/>
                <w:color w:val="auto"/>
              </w:rPr>
            </w:pPr>
            <w:r>
              <w:rPr>
                <w:rFonts w:ascii="Arial" w:cs="Arial" w:eastAsia="Arial" w:hAnsi="Arial"/>
                <w:sz w:val="20"/>
                <w:szCs w:val="20"/>
                <w:color w:val="auto"/>
              </w:rPr>
              <w:t>ILLI</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NS EXCEPT S  A  E A</w:t>
            </w:r>
          </w:p>
        </w:tc>
        <w:tc>
          <w:tcPr>
            <w:tcW w:w="1520" w:type="dxa"/>
            <w:vAlign w:val="bottom"/>
            <w:gridSpan w:val="2"/>
          </w:tcPr>
          <w:p>
            <w:pPr>
              <w:jc w:val="right"/>
              <w:ind w:right="760"/>
              <w:spacing w:after="0"/>
              <w:rPr>
                <w:sz w:val="20"/>
                <w:szCs w:val="20"/>
                <w:color w:val="auto"/>
              </w:rPr>
            </w:pPr>
            <w:r>
              <w:rPr>
                <w:rFonts w:ascii="Arial" w:cs="Arial" w:eastAsia="Arial" w:hAnsi="Arial"/>
                <w:sz w:val="20"/>
                <w:szCs w:val="20"/>
                <w:color w:val="auto"/>
              </w:rPr>
              <w:t>NTS</w:t>
            </w: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1"/>
        </w:trPr>
        <w:tc>
          <w:tcPr>
            <w:tcW w:w="3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20"/>
                <w:szCs w:val="20"/>
                <w:color w:val="auto"/>
              </w:rPr>
              <w:t>Fiscal Year Ended</w:t>
            </w:r>
          </w:p>
        </w:tc>
        <w:tc>
          <w:tcPr>
            <w:tcW w:w="180" w:type="dxa"/>
            <w:vAlign w:val="bottom"/>
            <w:tcBorders>
              <w:bottom w:val="single" w:sz="8" w:color="auto"/>
            </w:tcBorders>
          </w:tcPr>
          <w:p>
            <w:pPr>
              <w:spacing w:after="0"/>
              <w:rPr>
                <w:sz w:val="24"/>
                <w:szCs w:val="24"/>
                <w:color w:val="auto"/>
              </w:rPr>
            </w:pPr>
          </w:p>
        </w:tc>
      </w:tr>
      <w:tr>
        <w:trPr>
          <w:trHeight w:val="212"/>
        </w:trPr>
        <w:tc>
          <w:tcPr>
            <w:tcW w:w="3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40"/>
              <w:spacing w:after="0" w:line="212" w:lineRule="exact"/>
              <w:rPr>
                <w:sz w:val="20"/>
                <w:szCs w:val="20"/>
                <w:color w:val="auto"/>
              </w:rPr>
            </w:pPr>
            <w:r>
              <w:rPr>
                <w:rFonts w:ascii="Arial" w:cs="Arial" w:eastAsia="Arial" w:hAnsi="Arial"/>
                <w:sz w:val="20"/>
                <w:szCs w:val="20"/>
                <w:color w:val="auto"/>
                <w:w w:val="93"/>
              </w:rPr>
              <w:t>January 31,</w:t>
            </w:r>
          </w:p>
        </w:tc>
        <w:tc>
          <w:tcPr>
            <w:tcW w:w="200" w:type="dxa"/>
            <w:vAlign w:val="bottom"/>
          </w:tcPr>
          <w:p>
            <w:pPr>
              <w:spacing w:after="0"/>
              <w:rPr>
                <w:sz w:val="18"/>
                <w:szCs w:val="18"/>
                <w:color w:val="auto"/>
              </w:rPr>
            </w:pPr>
          </w:p>
        </w:tc>
        <w:tc>
          <w:tcPr>
            <w:tcW w:w="960" w:type="dxa"/>
            <w:vAlign w:val="bottom"/>
          </w:tcPr>
          <w:p>
            <w:pPr>
              <w:jc w:val="right"/>
              <w:spacing w:after="0" w:line="212" w:lineRule="exact"/>
              <w:rPr>
                <w:sz w:val="20"/>
                <w:szCs w:val="20"/>
                <w:color w:val="auto"/>
              </w:rPr>
            </w:pPr>
            <w:r>
              <w:rPr>
                <w:rFonts w:ascii="Arial" w:cs="Arial" w:eastAsia="Arial" w:hAnsi="Arial"/>
                <w:sz w:val="20"/>
                <w:szCs w:val="20"/>
                <w:color w:val="auto"/>
                <w:w w:val="89"/>
              </w:rPr>
              <w:t>February 1,</w:t>
            </w:r>
          </w:p>
        </w:tc>
        <w:tc>
          <w:tcPr>
            <w:tcW w:w="180" w:type="dxa"/>
            <w:vAlign w:val="bottom"/>
          </w:tcPr>
          <w:p>
            <w:pPr>
              <w:spacing w:after="0"/>
              <w:rPr>
                <w:sz w:val="18"/>
                <w:szCs w:val="18"/>
                <w:color w:val="auto"/>
              </w:rPr>
            </w:pPr>
          </w:p>
        </w:tc>
      </w:tr>
      <w:tr>
        <w:trPr>
          <w:trHeight w:val="263"/>
        </w:trPr>
        <w:tc>
          <w:tcPr>
            <w:tcW w:w="36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2025</w:t>
            </w:r>
          </w:p>
        </w:tc>
        <w:tc>
          <w:tcPr>
            <w:tcW w:w="180" w:type="dxa"/>
            <w:vAlign w:val="bottom"/>
            <w:tcBorders>
              <w:bottom w:val="single" w:sz="8" w:color="auto"/>
            </w:tcBorders>
          </w:tcPr>
          <w:p>
            <w:pPr>
              <w:spacing w:after="0"/>
              <w:rPr>
                <w:sz w:val="22"/>
                <w:szCs w:val="22"/>
                <w:color w:val="auto"/>
              </w:rPr>
            </w:pPr>
          </w:p>
        </w:tc>
      </w:tr>
      <w:tr>
        <w:trPr>
          <w:trHeight w:val="275"/>
        </w:trPr>
        <w:tc>
          <w:tcPr>
            <w:tcW w:w="3640" w:type="dxa"/>
            <w:vAlign w:val="bottom"/>
            <w:shd w:val="clear" w:color="auto" w:fill="E4E4E4"/>
          </w:tcPr>
          <w:p>
            <w:pPr>
              <w:ind w:left="200"/>
              <w:spacing w:after="0"/>
              <w:rPr>
                <w:sz w:val="20"/>
                <w:szCs w:val="20"/>
                <w:color w:val="auto"/>
              </w:rPr>
            </w:pPr>
            <w:r>
              <w:rPr>
                <w:rFonts w:ascii="Arial" w:cs="Arial" w:eastAsia="Arial" w:hAnsi="Arial"/>
                <w:sz w:val="20"/>
                <w:szCs w:val="20"/>
                <w:color w:val="auto"/>
              </w:rPr>
              <w:t>ssets</w:t>
            </w:r>
          </w:p>
        </w:tc>
        <w:tc>
          <w:tcPr>
            <w:tcW w:w="460" w:type="dxa"/>
            <w:vAlign w:val="bottom"/>
            <w:shd w:val="clear" w:color="auto" w:fill="E4E4E4"/>
          </w:tcPr>
          <w:p>
            <w:pPr>
              <w:spacing w:after="0"/>
              <w:rPr>
                <w:sz w:val="23"/>
                <w:szCs w:val="23"/>
                <w:color w:val="auto"/>
              </w:rPr>
            </w:pPr>
          </w:p>
        </w:tc>
        <w:tc>
          <w:tcPr>
            <w:tcW w:w="900" w:type="dxa"/>
            <w:vAlign w:val="bottom"/>
            <w:shd w:val="clear" w:color="auto" w:fill="E4E4E4"/>
          </w:tcPr>
          <w:p>
            <w:pPr>
              <w:spacing w:after="0"/>
              <w:rPr>
                <w:sz w:val="23"/>
                <w:szCs w:val="23"/>
                <w:color w:val="auto"/>
              </w:rPr>
            </w:pPr>
          </w:p>
        </w:tc>
        <w:tc>
          <w:tcPr>
            <w:tcW w:w="1240" w:type="dxa"/>
            <w:vAlign w:val="bottom"/>
            <w:shd w:val="clear" w:color="auto" w:fill="E4E4E4"/>
          </w:tcPr>
          <w:p>
            <w:pPr>
              <w:spacing w:after="0"/>
              <w:rPr>
                <w:sz w:val="23"/>
                <w:szCs w:val="23"/>
                <w:color w:val="auto"/>
              </w:rPr>
            </w:pPr>
          </w:p>
        </w:tc>
        <w:tc>
          <w:tcPr>
            <w:tcW w:w="1360" w:type="dxa"/>
            <w:vAlign w:val="bottom"/>
            <w:shd w:val="clear" w:color="auto" w:fill="E4E4E4"/>
          </w:tcPr>
          <w:p>
            <w:pPr>
              <w:spacing w:after="0"/>
              <w:rPr>
                <w:sz w:val="23"/>
                <w:szCs w:val="23"/>
                <w:color w:val="auto"/>
              </w:rPr>
            </w:pPr>
          </w:p>
        </w:tc>
        <w:tc>
          <w:tcPr>
            <w:tcW w:w="160" w:type="dxa"/>
            <w:vAlign w:val="bottom"/>
            <w:shd w:val="clear" w:color="auto" w:fill="E4E4E4"/>
          </w:tcPr>
          <w:p>
            <w:pPr>
              <w:spacing w:after="0"/>
              <w:rPr>
                <w:sz w:val="23"/>
                <w:szCs w:val="23"/>
                <w:color w:val="auto"/>
              </w:rPr>
            </w:pPr>
          </w:p>
        </w:tc>
        <w:tc>
          <w:tcPr>
            <w:tcW w:w="1140" w:type="dxa"/>
            <w:vAlign w:val="bottom"/>
            <w:shd w:val="clear" w:color="auto" w:fill="E4E4E4"/>
          </w:tcPr>
          <w:p>
            <w:pPr>
              <w:spacing w:after="0"/>
              <w:rPr>
                <w:sz w:val="23"/>
                <w:szCs w:val="23"/>
                <w:color w:val="auto"/>
              </w:rPr>
            </w:pPr>
          </w:p>
        </w:tc>
        <w:tc>
          <w:tcPr>
            <w:tcW w:w="20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r>
      <w:tr>
        <w:trPr>
          <w:trHeight w:val="280"/>
        </w:trPr>
        <w:tc>
          <w:tcPr>
            <w:tcW w:w="364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20"/>
                <w:szCs w:val="20"/>
                <w:color w:val="auto"/>
              </w:rPr>
              <w:t>Current assets:</w:t>
            </w:r>
          </w:p>
        </w:tc>
        <w:tc>
          <w:tcPr>
            <w:tcW w:w="460" w:type="dxa"/>
            <w:vAlign w:val="bottom"/>
            <w:tcBorders>
              <w:bottom w:val="single" w:sz="8" w:color="FEFEFE"/>
            </w:tcBorders>
            <w:shd w:val="clear" w:color="auto" w:fill="FEFEFE"/>
          </w:tcPr>
          <w:p>
            <w:pPr>
              <w:spacing w:after="0"/>
              <w:rPr>
                <w:sz w:val="24"/>
                <w:szCs w:val="24"/>
                <w:color w:val="auto"/>
              </w:rPr>
            </w:pPr>
          </w:p>
        </w:tc>
        <w:tc>
          <w:tcPr>
            <w:tcW w:w="900" w:type="dxa"/>
            <w:vAlign w:val="bottom"/>
            <w:tcBorders>
              <w:bottom w:val="single" w:sz="8" w:color="FEFEFE"/>
            </w:tcBorders>
            <w:shd w:val="clear" w:color="auto" w:fill="FEFEFE"/>
          </w:tcPr>
          <w:p>
            <w:pPr>
              <w:spacing w:after="0"/>
              <w:rPr>
                <w:sz w:val="24"/>
                <w:szCs w:val="24"/>
                <w:color w:val="auto"/>
              </w:rPr>
            </w:pPr>
          </w:p>
        </w:tc>
        <w:tc>
          <w:tcPr>
            <w:tcW w:w="1240" w:type="dxa"/>
            <w:vAlign w:val="bottom"/>
            <w:tcBorders>
              <w:bottom w:val="single" w:sz="8" w:color="FEFEFE"/>
            </w:tcBorders>
            <w:shd w:val="clear" w:color="auto" w:fill="FEFEFE"/>
          </w:tcPr>
          <w:p>
            <w:pPr>
              <w:spacing w:after="0"/>
              <w:rPr>
                <w:sz w:val="24"/>
                <w:szCs w:val="24"/>
                <w:color w:val="auto"/>
              </w:rPr>
            </w:pPr>
          </w:p>
        </w:tc>
        <w:tc>
          <w:tcPr>
            <w:tcW w:w="1360" w:type="dxa"/>
            <w:vAlign w:val="bottom"/>
            <w:tcBorders>
              <w:bottom w:val="single" w:sz="8" w:color="FEFEFE"/>
            </w:tcBorders>
            <w:shd w:val="clear" w:color="auto" w:fill="FEFEFE"/>
          </w:tcPr>
          <w:p>
            <w:pPr>
              <w:spacing w:after="0"/>
              <w:rPr>
                <w:sz w:val="24"/>
                <w:szCs w:val="24"/>
                <w:color w:val="auto"/>
              </w:rPr>
            </w:pPr>
          </w:p>
        </w:tc>
        <w:tc>
          <w:tcPr>
            <w:tcW w:w="16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r>
      <w:tr>
        <w:trPr>
          <w:trHeight w:val="300"/>
        </w:trPr>
        <w:tc>
          <w:tcPr>
            <w:tcW w:w="3640" w:type="dxa"/>
            <w:vAlign w:val="bottom"/>
            <w:shd w:val="clear" w:color="auto" w:fill="E4E4E4"/>
          </w:tcPr>
          <w:p>
            <w:pPr>
              <w:ind w:left="280"/>
              <w:spacing w:after="0"/>
              <w:rPr>
                <w:sz w:val="20"/>
                <w:szCs w:val="20"/>
                <w:color w:val="auto"/>
              </w:rPr>
            </w:pPr>
            <w:r>
              <w:rPr>
                <w:rFonts w:ascii="Arial" w:cs="Arial" w:eastAsia="Arial" w:hAnsi="Arial"/>
                <w:sz w:val="20"/>
                <w:szCs w:val="20"/>
                <w:color w:val="auto"/>
              </w:rPr>
              <w:t>Cash and cash e uivalents</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5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6,230</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5,335</w:t>
            </w:r>
          </w:p>
        </w:tc>
      </w:tr>
      <w:tr>
        <w:trPr>
          <w:trHeight w:val="293"/>
        </w:trPr>
        <w:tc>
          <w:tcPr>
            <w:tcW w:w="3640" w:type="dxa"/>
            <w:vAlign w:val="bottom"/>
            <w:shd w:val="clear" w:color="auto" w:fill="FEFEFE"/>
          </w:tcPr>
          <w:p>
            <w:pPr>
              <w:ind w:left="280"/>
              <w:spacing w:after="0"/>
              <w:rPr>
                <w:sz w:val="20"/>
                <w:szCs w:val="20"/>
                <w:color w:val="auto"/>
              </w:rPr>
            </w:pPr>
            <w:r>
              <w:rPr>
                <w:rFonts w:ascii="Arial" w:cs="Arial" w:eastAsia="Arial" w:hAnsi="Arial"/>
                <w:sz w:val="20"/>
                <w:szCs w:val="20"/>
                <w:color w:val="auto"/>
              </w:rPr>
              <w:t>Accounts receivable, net</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602</w:t>
            </w: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w:t>
            </w:r>
          </w:p>
        </w:tc>
        <w:tc>
          <w:tcPr>
            <w:tcW w:w="180" w:type="dxa"/>
            <w:vAlign w:val="bottom"/>
            <w:shd w:val="clear" w:color="auto" w:fill="FEFEFE"/>
          </w:tcPr>
          <w:p>
            <w:pPr>
              <w:spacing w:after="0"/>
              <w:rPr>
                <w:sz w:val="24"/>
                <w:szCs w:val="24"/>
                <w:color w:val="auto"/>
              </w:rPr>
            </w:pPr>
          </w:p>
        </w:tc>
      </w:tr>
      <w:tr>
        <w:trPr>
          <w:trHeight w:val="307"/>
        </w:trPr>
        <w:tc>
          <w:tcPr>
            <w:tcW w:w="3640" w:type="dxa"/>
            <w:vAlign w:val="bottom"/>
            <w:shd w:val="clear" w:color="auto" w:fill="E4E4E4"/>
          </w:tcPr>
          <w:p>
            <w:pPr>
              <w:ind w:left="460"/>
              <w:spacing w:after="0"/>
              <w:rPr>
                <w:sz w:val="20"/>
                <w:szCs w:val="20"/>
                <w:color w:val="auto"/>
              </w:rPr>
            </w:pPr>
            <w:r>
              <w:rPr>
                <w:rFonts w:ascii="Arial" w:cs="Arial" w:eastAsia="Arial" w:hAnsi="Arial"/>
                <w:sz w:val="20"/>
                <w:szCs w:val="20"/>
                <w:color w:val="auto"/>
              </w:rPr>
              <w:t>erchandise inventories</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7,297</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6,421</w:t>
            </w:r>
          </w:p>
        </w:tc>
      </w:tr>
      <w:tr>
        <w:trPr>
          <w:trHeight w:val="293"/>
        </w:trPr>
        <w:tc>
          <w:tcPr>
            <w:tcW w:w="3640" w:type="dxa"/>
            <w:vAlign w:val="bottom"/>
            <w:shd w:val="clear" w:color="auto" w:fill="FEFEFE"/>
          </w:tcPr>
          <w:p>
            <w:pPr>
              <w:ind w:left="280"/>
              <w:spacing w:after="0"/>
              <w:rPr>
                <w:sz w:val="20"/>
                <w:szCs w:val="20"/>
                <w:color w:val="auto"/>
              </w:rPr>
            </w:pPr>
            <w:r>
              <w:rPr>
                <w:rFonts w:ascii="Arial" w:cs="Arial" w:eastAsia="Arial" w:hAnsi="Arial"/>
                <w:sz w:val="20"/>
                <w:szCs w:val="20"/>
                <w:color w:val="auto"/>
                <w:w w:val="87"/>
              </w:rPr>
              <w:t>Prepaid expenses and other current assets</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1,065</w:t>
            </w:r>
          </w:p>
        </w:tc>
        <w:tc>
          <w:tcPr>
            <w:tcW w:w="20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617</w:t>
            </w:r>
          </w:p>
        </w:tc>
      </w:tr>
      <w:tr>
        <w:trPr>
          <w:trHeight w:val="297"/>
        </w:trPr>
        <w:tc>
          <w:tcPr>
            <w:tcW w:w="5000" w:type="dxa"/>
            <w:vAlign w:val="bottom"/>
            <w:tcBorders>
              <w:bottom w:val="single" w:sz="8" w:color="auto"/>
            </w:tcBorders>
            <w:gridSpan w:val="3"/>
            <w:shd w:val="clear" w:color="auto" w:fill="E4E4E4"/>
          </w:tcPr>
          <w:p>
            <w:pPr>
              <w:ind w:left="280"/>
              <w:spacing w:after="0"/>
              <w:rPr>
                <w:sz w:val="20"/>
                <w:szCs w:val="20"/>
                <w:color w:val="auto"/>
              </w:rPr>
            </w:pPr>
            <w:r>
              <w:rPr>
                <w:rFonts w:ascii="Arial" w:cs="Arial" w:eastAsia="Arial" w:hAnsi="Arial"/>
                <w:sz w:val="20"/>
                <w:szCs w:val="20"/>
                <w:color w:val="auto"/>
              </w:rPr>
              <w:t>Federal, state and foreign income taxes recoverable</w:t>
            </w:r>
          </w:p>
        </w:tc>
        <w:tc>
          <w:tcPr>
            <w:tcW w:w="1240" w:type="dxa"/>
            <w:vAlign w:val="bottom"/>
            <w:tcBorders>
              <w:bottom w:val="single" w:sz="8" w:color="auto"/>
            </w:tcBorders>
            <w:shd w:val="clear" w:color="auto" w:fill="E4E4E4"/>
          </w:tcPr>
          <w:p>
            <w:pPr>
              <w:spacing w:after="0"/>
              <w:rPr>
                <w:sz w:val="24"/>
                <w:szCs w:val="24"/>
                <w:color w:val="auto"/>
              </w:rPr>
            </w:pPr>
          </w:p>
        </w:tc>
        <w:tc>
          <w:tcPr>
            <w:tcW w:w="1360" w:type="dxa"/>
            <w:vAlign w:val="bottom"/>
            <w:tcBorders>
              <w:bottom w:val="single" w:sz="8" w:color="auto"/>
            </w:tcBorders>
            <w:shd w:val="clear" w:color="auto" w:fill="E4E4E4"/>
          </w:tcPr>
          <w:p>
            <w:pPr>
              <w:spacing w:after="0"/>
              <w:rPr>
                <w:sz w:val="24"/>
                <w:szCs w:val="24"/>
                <w:color w:val="auto"/>
              </w:rPr>
            </w:pPr>
          </w:p>
        </w:tc>
        <w:tc>
          <w:tcPr>
            <w:tcW w:w="16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w:t>
            </w:r>
          </w:p>
        </w:tc>
        <w:tc>
          <w:tcPr>
            <w:tcW w:w="2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w:t>
            </w:r>
          </w:p>
        </w:tc>
        <w:tc>
          <w:tcPr>
            <w:tcW w:w="180" w:type="dxa"/>
            <w:vAlign w:val="bottom"/>
            <w:tcBorders>
              <w:bottom w:val="single" w:sz="8" w:color="auto"/>
            </w:tcBorders>
            <w:shd w:val="clear" w:color="auto" w:fill="E4E4E4"/>
          </w:tcPr>
          <w:p>
            <w:pPr>
              <w:spacing w:after="0"/>
              <w:rPr>
                <w:sz w:val="24"/>
                <w:szCs w:val="24"/>
                <w:color w:val="auto"/>
              </w:rPr>
            </w:pPr>
          </w:p>
        </w:tc>
      </w:tr>
      <w:tr>
        <w:trPr>
          <w:trHeight w:val="280"/>
        </w:trPr>
        <w:tc>
          <w:tcPr>
            <w:tcW w:w="3640" w:type="dxa"/>
            <w:vAlign w:val="bottom"/>
            <w:tcBorders>
              <w:bottom w:val="single" w:sz="8" w:color="auto"/>
            </w:tcBorders>
            <w:shd w:val="clear" w:color="auto" w:fill="FEFEFE"/>
          </w:tcPr>
          <w:p>
            <w:pPr>
              <w:ind w:left="540"/>
              <w:spacing w:after="0"/>
              <w:rPr>
                <w:sz w:val="20"/>
                <w:szCs w:val="20"/>
                <w:color w:val="auto"/>
              </w:rPr>
            </w:pPr>
            <w:r>
              <w:rPr>
                <w:rFonts w:ascii="Arial" w:cs="Arial" w:eastAsia="Arial" w:hAnsi="Arial"/>
                <w:sz w:val="20"/>
                <w:szCs w:val="20"/>
                <w:color w:val="auto"/>
              </w:rPr>
              <w:t>Total current assets</w:t>
            </w:r>
          </w:p>
        </w:tc>
        <w:tc>
          <w:tcPr>
            <w:tcW w:w="46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spacing w:after="0"/>
              <w:rPr>
                <w:sz w:val="24"/>
                <w:szCs w:val="24"/>
                <w:color w:val="auto"/>
              </w:rPr>
            </w:pPr>
          </w:p>
        </w:tc>
        <w:tc>
          <w:tcPr>
            <w:tcW w:w="1240" w:type="dxa"/>
            <w:vAlign w:val="bottom"/>
            <w:tcBorders>
              <w:bottom w:val="single" w:sz="8" w:color="auto"/>
            </w:tcBorders>
            <w:shd w:val="clear" w:color="auto" w:fill="FEFEFE"/>
          </w:tcPr>
          <w:p>
            <w:pPr>
              <w:spacing w:after="0"/>
              <w:rPr>
                <w:sz w:val="24"/>
                <w:szCs w:val="24"/>
                <w:color w:val="auto"/>
              </w:rPr>
            </w:pPr>
          </w:p>
        </w:tc>
        <w:tc>
          <w:tcPr>
            <w:tcW w:w="1360" w:type="dxa"/>
            <w:vAlign w:val="bottom"/>
            <w:tcBorders>
              <w:bottom w:val="single" w:sz="8" w:color="auto"/>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15,202</w:t>
            </w:r>
          </w:p>
        </w:tc>
        <w:tc>
          <w:tcPr>
            <w:tcW w:w="20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12,</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71"/>
              </w:rPr>
              <w:t>1</w:t>
            </w:r>
          </w:p>
        </w:tc>
      </w:tr>
      <w:tr>
        <w:trPr>
          <w:trHeight w:val="290"/>
        </w:trPr>
        <w:tc>
          <w:tcPr>
            <w:tcW w:w="3640" w:type="dxa"/>
            <w:vAlign w:val="bottom"/>
            <w:shd w:val="clear" w:color="auto" w:fill="E4E4E4"/>
          </w:tcPr>
          <w:p>
            <w:pPr>
              <w:ind w:left="60"/>
              <w:spacing w:after="0"/>
              <w:rPr>
                <w:sz w:val="20"/>
                <w:szCs w:val="20"/>
                <w:color w:val="auto"/>
              </w:rPr>
            </w:pPr>
            <w:r>
              <w:rPr>
                <w:rFonts w:ascii="Arial" w:cs="Arial" w:eastAsia="Arial" w:hAnsi="Arial"/>
                <w:sz w:val="20"/>
                <w:szCs w:val="20"/>
                <w:color w:val="auto"/>
              </w:rPr>
              <w:t>Net property at cost</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8,220</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7,346</w:t>
            </w:r>
          </w:p>
        </w:tc>
      </w:tr>
      <w:tr>
        <w:trPr>
          <w:trHeight w:val="293"/>
        </w:trPr>
        <w:tc>
          <w:tcPr>
            <w:tcW w:w="3640" w:type="dxa"/>
            <w:vAlign w:val="bottom"/>
            <w:shd w:val="clear" w:color="auto" w:fill="FEFEFE"/>
          </w:tcPr>
          <w:p>
            <w:pPr>
              <w:ind w:left="60"/>
              <w:spacing w:after="0"/>
              <w:rPr>
                <w:sz w:val="20"/>
                <w:szCs w:val="20"/>
                <w:color w:val="auto"/>
              </w:rPr>
            </w:pPr>
            <w:r>
              <w:rPr>
                <w:rFonts w:ascii="Arial" w:cs="Arial" w:eastAsia="Arial" w:hAnsi="Arial"/>
                <w:sz w:val="20"/>
                <w:szCs w:val="20"/>
                <w:color w:val="auto"/>
              </w:rPr>
              <w:t>Non-current deferred income taxes, net</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147</w:t>
            </w:r>
          </w:p>
        </w:tc>
        <w:tc>
          <w:tcPr>
            <w:tcW w:w="20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148</w:t>
            </w:r>
          </w:p>
        </w:tc>
      </w:tr>
      <w:tr>
        <w:trPr>
          <w:trHeight w:val="303"/>
        </w:trPr>
        <w:tc>
          <w:tcPr>
            <w:tcW w:w="3640" w:type="dxa"/>
            <w:vAlign w:val="bottom"/>
            <w:shd w:val="clear" w:color="auto" w:fill="E4E4E4"/>
          </w:tcPr>
          <w:p>
            <w:pPr>
              <w:ind w:left="200"/>
              <w:spacing w:after="0"/>
              <w:rPr>
                <w:sz w:val="20"/>
                <w:szCs w:val="20"/>
                <w:color w:val="auto"/>
              </w:rPr>
            </w:pPr>
            <w:r>
              <w:rPr>
                <w:rFonts w:ascii="Arial" w:cs="Arial" w:eastAsia="Arial" w:hAnsi="Arial"/>
                <w:sz w:val="20"/>
                <w:szCs w:val="20"/>
                <w:color w:val="auto"/>
              </w:rPr>
              <w:t>perating lease right of use assets</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10,330</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,641</w:t>
            </w:r>
          </w:p>
        </w:tc>
      </w:tr>
      <w:tr>
        <w:trPr>
          <w:trHeight w:val="297"/>
        </w:trPr>
        <w:tc>
          <w:tcPr>
            <w:tcW w:w="3640" w:type="dxa"/>
            <w:vAlign w:val="bottom"/>
            <w:shd w:val="clear" w:color="auto" w:fill="FEFEFE"/>
          </w:tcPr>
          <w:p>
            <w:pPr>
              <w:ind w:left="200"/>
              <w:spacing w:after="0"/>
              <w:rPr>
                <w:sz w:val="20"/>
                <w:szCs w:val="20"/>
                <w:color w:val="auto"/>
              </w:rPr>
            </w:pPr>
            <w:r>
              <w:rPr>
                <w:rFonts w:ascii="Arial" w:cs="Arial" w:eastAsia="Arial" w:hAnsi="Arial"/>
                <w:sz w:val="20"/>
                <w:szCs w:val="20"/>
                <w:color w:val="auto"/>
              </w:rPr>
              <w:t>oodwill</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96</w:t>
            </w: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w w:val="71"/>
              </w:rPr>
              <w:t>4</w:t>
            </w:r>
          </w:p>
        </w:tc>
      </w:tr>
      <w:tr>
        <w:trPr>
          <w:trHeight w:val="297"/>
        </w:trPr>
        <w:tc>
          <w:tcPr>
            <w:tcW w:w="3640" w:type="dxa"/>
            <w:vAlign w:val="bottom"/>
            <w:tcBorders>
              <w:bottom w:val="single" w:sz="8" w:color="auto"/>
            </w:tcBorders>
            <w:shd w:val="clear" w:color="auto" w:fill="E4E4E4"/>
          </w:tcPr>
          <w:p>
            <w:pPr>
              <w:ind w:left="200"/>
              <w:spacing w:after="0"/>
              <w:rPr>
                <w:sz w:val="20"/>
                <w:szCs w:val="20"/>
                <w:color w:val="auto"/>
              </w:rPr>
            </w:pPr>
            <w:r>
              <w:rPr>
                <w:rFonts w:ascii="Arial" w:cs="Arial" w:eastAsia="Arial" w:hAnsi="Arial"/>
                <w:sz w:val="20"/>
                <w:szCs w:val="20"/>
                <w:color w:val="auto"/>
              </w:rPr>
              <w:t>ther assets</w:t>
            </w:r>
          </w:p>
        </w:tc>
        <w:tc>
          <w:tcPr>
            <w:tcW w:w="460" w:type="dxa"/>
            <w:vAlign w:val="bottom"/>
            <w:tcBorders>
              <w:bottom w:val="single" w:sz="8" w:color="auto"/>
            </w:tcBorders>
            <w:shd w:val="clear" w:color="auto" w:fill="E4E4E4"/>
          </w:tcPr>
          <w:p>
            <w:pPr>
              <w:spacing w:after="0"/>
              <w:rPr>
                <w:sz w:val="24"/>
                <w:szCs w:val="24"/>
                <w:color w:val="auto"/>
              </w:rPr>
            </w:pPr>
          </w:p>
        </w:tc>
        <w:tc>
          <w:tcPr>
            <w:tcW w:w="90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shd w:val="clear" w:color="auto" w:fill="E4E4E4"/>
          </w:tcPr>
          <w:p>
            <w:pPr>
              <w:spacing w:after="0"/>
              <w:rPr>
                <w:sz w:val="24"/>
                <w:szCs w:val="24"/>
                <w:color w:val="auto"/>
              </w:rPr>
            </w:pPr>
          </w:p>
        </w:tc>
        <w:tc>
          <w:tcPr>
            <w:tcW w:w="1360" w:type="dxa"/>
            <w:vAlign w:val="bottom"/>
            <w:tcBorders>
              <w:bottom w:val="single" w:sz="8" w:color="auto"/>
            </w:tcBorders>
            <w:shd w:val="clear" w:color="auto" w:fill="E4E4E4"/>
          </w:tcPr>
          <w:p>
            <w:pPr>
              <w:spacing w:after="0"/>
              <w:rPr>
                <w:sz w:val="24"/>
                <w:szCs w:val="24"/>
                <w:color w:val="auto"/>
              </w:rPr>
            </w:pPr>
          </w:p>
        </w:tc>
        <w:tc>
          <w:tcPr>
            <w:tcW w:w="16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1,772</w:t>
            </w:r>
          </w:p>
        </w:tc>
        <w:tc>
          <w:tcPr>
            <w:tcW w:w="2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1,52</w:t>
            </w:r>
          </w:p>
        </w:tc>
        <w:tc>
          <w:tcPr>
            <w:tcW w:w="180" w:type="dxa"/>
            <w:vAlign w:val="bottom"/>
            <w:tcBorders>
              <w:bottom w:val="single" w:sz="8" w:color="auto"/>
            </w:tcBorders>
            <w:shd w:val="clear" w:color="auto" w:fill="E4E4E4"/>
          </w:tcPr>
          <w:p>
            <w:pPr>
              <w:spacing w:after="0"/>
              <w:rPr>
                <w:sz w:val="24"/>
                <w:szCs w:val="24"/>
                <w:color w:val="auto"/>
              </w:rPr>
            </w:pPr>
          </w:p>
        </w:tc>
      </w:tr>
      <w:tr>
        <w:trPr>
          <w:trHeight w:val="280"/>
        </w:trPr>
        <w:tc>
          <w:tcPr>
            <w:tcW w:w="364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otal assets</w:t>
            </w:r>
          </w:p>
        </w:tc>
        <w:tc>
          <w:tcPr>
            <w:tcW w:w="46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spacing w:after="0"/>
              <w:rPr>
                <w:sz w:val="24"/>
                <w:szCs w:val="24"/>
                <w:color w:val="auto"/>
              </w:rPr>
            </w:pPr>
          </w:p>
        </w:tc>
        <w:tc>
          <w:tcPr>
            <w:tcW w:w="1240" w:type="dxa"/>
            <w:vAlign w:val="bottom"/>
            <w:tcBorders>
              <w:bottom w:val="single" w:sz="8" w:color="auto"/>
            </w:tcBorders>
            <w:shd w:val="clear" w:color="auto" w:fill="FEFEFE"/>
          </w:tcPr>
          <w:p>
            <w:pPr>
              <w:spacing w:after="0"/>
              <w:rPr>
                <w:sz w:val="24"/>
                <w:szCs w:val="24"/>
                <w:color w:val="auto"/>
              </w:rPr>
            </w:pPr>
          </w:p>
        </w:tc>
        <w:tc>
          <w:tcPr>
            <w:tcW w:w="152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35,767</w:t>
            </w: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31,749</w:t>
            </w:r>
          </w:p>
        </w:tc>
      </w:tr>
      <w:tr>
        <w:trPr>
          <w:trHeight w:val="275"/>
        </w:trPr>
        <w:tc>
          <w:tcPr>
            <w:tcW w:w="3640" w:type="dxa"/>
            <w:vAlign w:val="bottom"/>
            <w:shd w:val="clear" w:color="auto" w:fill="E4E4E4"/>
          </w:tcPr>
          <w:p>
            <w:pPr>
              <w:ind w:left="180"/>
              <w:spacing w:after="0"/>
              <w:rPr>
                <w:sz w:val="20"/>
                <w:szCs w:val="20"/>
                <w:color w:val="auto"/>
              </w:rPr>
            </w:pPr>
            <w:r>
              <w:rPr>
                <w:rFonts w:ascii="Arial" w:cs="Arial" w:eastAsia="Arial" w:hAnsi="Arial"/>
                <w:sz w:val="20"/>
                <w:szCs w:val="20"/>
                <w:color w:val="auto"/>
              </w:rPr>
              <w:t>iabilities</w:t>
            </w:r>
          </w:p>
        </w:tc>
        <w:tc>
          <w:tcPr>
            <w:tcW w:w="460" w:type="dxa"/>
            <w:vAlign w:val="bottom"/>
            <w:shd w:val="clear" w:color="auto" w:fill="E4E4E4"/>
          </w:tcPr>
          <w:p>
            <w:pPr>
              <w:spacing w:after="0"/>
              <w:rPr>
                <w:sz w:val="23"/>
                <w:szCs w:val="23"/>
                <w:color w:val="auto"/>
              </w:rPr>
            </w:pPr>
          </w:p>
        </w:tc>
        <w:tc>
          <w:tcPr>
            <w:tcW w:w="900" w:type="dxa"/>
            <w:vAlign w:val="bottom"/>
            <w:shd w:val="clear" w:color="auto" w:fill="E4E4E4"/>
          </w:tcPr>
          <w:p>
            <w:pPr>
              <w:spacing w:after="0"/>
              <w:rPr>
                <w:sz w:val="23"/>
                <w:szCs w:val="23"/>
                <w:color w:val="auto"/>
              </w:rPr>
            </w:pPr>
          </w:p>
        </w:tc>
        <w:tc>
          <w:tcPr>
            <w:tcW w:w="1240" w:type="dxa"/>
            <w:vAlign w:val="bottom"/>
            <w:shd w:val="clear" w:color="auto" w:fill="E4E4E4"/>
          </w:tcPr>
          <w:p>
            <w:pPr>
              <w:spacing w:after="0"/>
              <w:rPr>
                <w:sz w:val="23"/>
                <w:szCs w:val="23"/>
                <w:color w:val="auto"/>
              </w:rPr>
            </w:pPr>
          </w:p>
        </w:tc>
        <w:tc>
          <w:tcPr>
            <w:tcW w:w="1360" w:type="dxa"/>
            <w:vAlign w:val="bottom"/>
            <w:shd w:val="clear" w:color="auto" w:fill="E4E4E4"/>
          </w:tcPr>
          <w:p>
            <w:pPr>
              <w:spacing w:after="0"/>
              <w:rPr>
                <w:sz w:val="23"/>
                <w:szCs w:val="23"/>
                <w:color w:val="auto"/>
              </w:rPr>
            </w:pPr>
          </w:p>
        </w:tc>
        <w:tc>
          <w:tcPr>
            <w:tcW w:w="160" w:type="dxa"/>
            <w:vAlign w:val="bottom"/>
            <w:shd w:val="clear" w:color="auto" w:fill="E4E4E4"/>
          </w:tcPr>
          <w:p>
            <w:pPr>
              <w:spacing w:after="0"/>
              <w:rPr>
                <w:sz w:val="23"/>
                <w:szCs w:val="23"/>
                <w:color w:val="auto"/>
              </w:rPr>
            </w:pPr>
          </w:p>
        </w:tc>
        <w:tc>
          <w:tcPr>
            <w:tcW w:w="1140" w:type="dxa"/>
            <w:vAlign w:val="bottom"/>
            <w:shd w:val="clear" w:color="auto" w:fill="E4E4E4"/>
          </w:tcPr>
          <w:p>
            <w:pPr>
              <w:spacing w:after="0"/>
              <w:rPr>
                <w:sz w:val="23"/>
                <w:szCs w:val="23"/>
                <w:color w:val="auto"/>
              </w:rPr>
            </w:pPr>
          </w:p>
        </w:tc>
        <w:tc>
          <w:tcPr>
            <w:tcW w:w="20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r>
      <w:tr>
        <w:trPr>
          <w:trHeight w:val="280"/>
        </w:trPr>
        <w:tc>
          <w:tcPr>
            <w:tcW w:w="364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20"/>
                <w:szCs w:val="20"/>
                <w:color w:val="auto"/>
              </w:rPr>
              <w:t>Current liabilities:</w:t>
            </w:r>
          </w:p>
        </w:tc>
        <w:tc>
          <w:tcPr>
            <w:tcW w:w="460" w:type="dxa"/>
            <w:vAlign w:val="bottom"/>
            <w:tcBorders>
              <w:bottom w:val="single" w:sz="8" w:color="FEFEFE"/>
            </w:tcBorders>
            <w:shd w:val="clear" w:color="auto" w:fill="FEFEFE"/>
          </w:tcPr>
          <w:p>
            <w:pPr>
              <w:spacing w:after="0"/>
              <w:rPr>
                <w:sz w:val="24"/>
                <w:szCs w:val="24"/>
                <w:color w:val="auto"/>
              </w:rPr>
            </w:pPr>
          </w:p>
        </w:tc>
        <w:tc>
          <w:tcPr>
            <w:tcW w:w="900" w:type="dxa"/>
            <w:vAlign w:val="bottom"/>
            <w:tcBorders>
              <w:bottom w:val="single" w:sz="8" w:color="FEFEFE"/>
            </w:tcBorders>
            <w:shd w:val="clear" w:color="auto" w:fill="FEFEFE"/>
          </w:tcPr>
          <w:p>
            <w:pPr>
              <w:spacing w:after="0"/>
              <w:rPr>
                <w:sz w:val="24"/>
                <w:szCs w:val="24"/>
                <w:color w:val="auto"/>
              </w:rPr>
            </w:pPr>
          </w:p>
        </w:tc>
        <w:tc>
          <w:tcPr>
            <w:tcW w:w="1240" w:type="dxa"/>
            <w:vAlign w:val="bottom"/>
            <w:tcBorders>
              <w:bottom w:val="single" w:sz="8" w:color="FEFEFE"/>
            </w:tcBorders>
            <w:shd w:val="clear" w:color="auto" w:fill="FEFEFE"/>
          </w:tcPr>
          <w:p>
            <w:pPr>
              <w:spacing w:after="0"/>
              <w:rPr>
                <w:sz w:val="24"/>
                <w:szCs w:val="24"/>
                <w:color w:val="auto"/>
              </w:rPr>
            </w:pPr>
          </w:p>
        </w:tc>
        <w:tc>
          <w:tcPr>
            <w:tcW w:w="1360" w:type="dxa"/>
            <w:vAlign w:val="bottom"/>
            <w:tcBorders>
              <w:bottom w:val="single" w:sz="8" w:color="FEFEFE"/>
            </w:tcBorders>
            <w:shd w:val="clear" w:color="auto" w:fill="FEFEFE"/>
          </w:tcPr>
          <w:p>
            <w:pPr>
              <w:spacing w:after="0"/>
              <w:rPr>
                <w:sz w:val="24"/>
                <w:szCs w:val="24"/>
                <w:color w:val="auto"/>
              </w:rPr>
            </w:pPr>
          </w:p>
        </w:tc>
        <w:tc>
          <w:tcPr>
            <w:tcW w:w="16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r>
      <w:tr>
        <w:trPr>
          <w:trHeight w:val="300"/>
        </w:trPr>
        <w:tc>
          <w:tcPr>
            <w:tcW w:w="3640" w:type="dxa"/>
            <w:vAlign w:val="bottom"/>
            <w:shd w:val="clear" w:color="auto" w:fill="E4E4E4"/>
          </w:tcPr>
          <w:p>
            <w:pPr>
              <w:ind w:left="280"/>
              <w:spacing w:after="0"/>
              <w:rPr>
                <w:sz w:val="20"/>
                <w:szCs w:val="20"/>
                <w:color w:val="auto"/>
              </w:rPr>
            </w:pPr>
            <w:r>
              <w:rPr>
                <w:rFonts w:ascii="Arial" w:cs="Arial" w:eastAsia="Arial" w:hAnsi="Arial"/>
                <w:sz w:val="20"/>
                <w:szCs w:val="20"/>
                <w:color w:val="auto"/>
              </w:rPr>
              <w:t>Accounts payable</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5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4,575</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4,257</w:t>
            </w:r>
          </w:p>
        </w:tc>
      </w:tr>
      <w:tr>
        <w:trPr>
          <w:trHeight w:val="293"/>
        </w:trPr>
        <w:tc>
          <w:tcPr>
            <w:tcW w:w="4100" w:type="dxa"/>
            <w:vAlign w:val="bottom"/>
            <w:gridSpan w:val="2"/>
            <w:shd w:val="clear" w:color="auto" w:fill="FEFEFE"/>
          </w:tcPr>
          <w:p>
            <w:pPr>
              <w:ind w:left="280"/>
              <w:spacing w:after="0"/>
              <w:rPr>
                <w:sz w:val="20"/>
                <w:szCs w:val="20"/>
                <w:color w:val="auto"/>
              </w:rPr>
            </w:pPr>
            <w:r>
              <w:rPr>
                <w:rFonts w:ascii="Arial" w:cs="Arial" w:eastAsia="Arial" w:hAnsi="Arial"/>
                <w:sz w:val="20"/>
                <w:szCs w:val="20"/>
                <w:color w:val="auto"/>
                <w:w w:val="94"/>
              </w:rPr>
              <w:t>Accrued expenses and other current liabilities</w:t>
            </w: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5,891</w:t>
            </w:r>
          </w:p>
        </w:tc>
        <w:tc>
          <w:tcPr>
            <w:tcW w:w="20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5,040</w:t>
            </w:r>
          </w:p>
        </w:tc>
      </w:tr>
      <w:tr>
        <w:trPr>
          <w:trHeight w:val="292"/>
        </w:trPr>
        <w:tc>
          <w:tcPr>
            <w:tcW w:w="4100" w:type="dxa"/>
            <w:vAlign w:val="bottom"/>
            <w:gridSpan w:val="2"/>
            <w:shd w:val="clear" w:color="auto" w:fill="E4E4E4"/>
          </w:tcPr>
          <w:p>
            <w:pPr>
              <w:ind w:left="280"/>
              <w:spacing w:after="0"/>
              <w:rPr>
                <w:sz w:val="20"/>
                <w:szCs w:val="20"/>
                <w:color w:val="auto"/>
              </w:rPr>
            </w:pPr>
            <w:r>
              <w:rPr>
                <w:rFonts w:ascii="Arial" w:cs="Arial" w:eastAsia="Arial" w:hAnsi="Arial"/>
                <w:sz w:val="20"/>
                <w:szCs w:val="20"/>
                <w:color w:val="auto"/>
              </w:rPr>
              <w:t>Current portion of operating lease liabilities</w:t>
            </w: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1,726</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1,636</w:t>
            </w:r>
          </w:p>
        </w:tc>
      </w:tr>
      <w:tr>
        <w:trPr>
          <w:trHeight w:val="279"/>
        </w:trPr>
        <w:tc>
          <w:tcPr>
            <w:tcW w:w="3640" w:type="dxa"/>
            <w:vAlign w:val="bottom"/>
            <w:shd w:val="clear" w:color="auto" w:fill="FEFEFE"/>
          </w:tcPr>
          <w:p>
            <w:pPr>
              <w:ind w:left="280"/>
              <w:spacing w:after="0"/>
              <w:rPr>
                <w:sz w:val="20"/>
                <w:szCs w:val="20"/>
                <w:color w:val="auto"/>
              </w:rPr>
            </w:pPr>
            <w:r>
              <w:rPr>
                <w:rFonts w:ascii="Arial" w:cs="Arial" w:eastAsia="Arial" w:hAnsi="Arial"/>
                <w:sz w:val="20"/>
                <w:szCs w:val="20"/>
                <w:color w:val="auto"/>
              </w:rPr>
              <w:t>Current portion of long-term debt</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999</w:t>
            </w: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r>
      <w:tr>
        <w:trPr>
          <w:trHeight w:val="296"/>
        </w:trPr>
        <w:tc>
          <w:tcPr>
            <w:tcW w:w="4100" w:type="dxa"/>
            <w:vAlign w:val="bottom"/>
            <w:tcBorders>
              <w:bottom w:val="single" w:sz="8" w:color="auto"/>
            </w:tcBorders>
            <w:gridSpan w:val="2"/>
            <w:shd w:val="clear" w:color="auto" w:fill="E4E4E4"/>
          </w:tcPr>
          <w:p>
            <w:pPr>
              <w:ind w:left="280"/>
              <w:spacing w:after="0"/>
              <w:rPr>
                <w:sz w:val="20"/>
                <w:szCs w:val="20"/>
                <w:color w:val="auto"/>
              </w:rPr>
            </w:pPr>
            <w:r>
              <w:rPr>
                <w:rFonts w:ascii="Arial" w:cs="Arial" w:eastAsia="Arial" w:hAnsi="Arial"/>
                <w:sz w:val="20"/>
                <w:szCs w:val="20"/>
                <w:color w:val="auto"/>
                <w:w w:val="89"/>
              </w:rPr>
              <w:t>Federal, state and foreign income taxes payable</w:t>
            </w:r>
          </w:p>
        </w:tc>
        <w:tc>
          <w:tcPr>
            <w:tcW w:w="90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shd w:val="clear" w:color="auto" w:fill="E4E4E4"/>
          </w:tcPr>
          <w:p>
            <w:pPr>
              <w:spacing w:after="0"/>
              <w:rPr>
                <w:sz w:val="24"/>
                <w:szCs w:val="24"/>
                <w:color w:val="auto"/>
              </w:rPr>
            </w:pPr>
          </w:p>
        </w:tc>
        <w:tc>
          <w:tcPr>
            <w:tcW w:w="1360" w:type="dxa"/>
            <w:vAlign w:val="bottom"/>
            <w:tcBorders>
              <w:bottom w:val="single" w:sz="8" w:color="auto"/>
            </w:tcBorders>
            <w:shd w:val="clear" w:color="auto" w:fill="E4E4E4"/>
          </w:tcPr>
          <w:p>
            <w:pPr>
              <w:spacing w:after="0"/>
              <w:rPr>
                <w:sz w:val="24"/>
                <w:szCs w:val="24"/>
                <w:color w:val="auto"/>
              </w:rPr>
            </w:pPr>
          </w:p>
        </w:tc>
        <w:tc>
          <w:tcPr>
            <w:tcW w:w="16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170</w:t>
            </w:r>
          </w:p>
        </w:tc>
        <w:tc>
          <w:tcPr>
            <w:tcW w:w="20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75</w:t>
            </w:r>
          </w:p>
        </w:tc>
      </w:tr>
      <w:tr>
        <w:trPr>
          <w:trHeight w:val="280"/>
        </w:trPr>
        <w:tc>
          <w:tcPr>
            <w:tcW w:w="3640" w:type="dxa"/>
            <w:vAlign w:val="bottom"/>
            <w:tcBorders>
              <w:bottom w:val="single" w:sz="8" w:color="auto"/>
            </w:tcBorders>
            <w:shd w:val="clear" w:color="auto" w:fill="FEFEFE"/>
          </w:tcPr>
          <w:p>
            <w:pPr>
              <w:ind w:left="540"/>
              <w:spacing w:after="0"/>
              <w:rPr>
                <w:sz w:val="20"/>
                <w:szCs w:val="20"/>
                <w:color w:val="auto"/>
              </w:rPr>
            </w:pPr>
            <w:r>
              <w:rPr>
                <w:rFonts w:ascii="Arial" w:cs="Arial" w:eastAsia="Arial" w:hAnsi="Arial"/>
                <w:sz w:val="20"/>
                <w:szCs w:val="20"/>
                <w:color w:val="auto"/>
              </w:rPr>
              <w:t>Total current liabilities</w:t>
            </w:r>
          </w:p>
        </w:tc>
        <w:tc>
          <w:tcPr>
            <w:tcW w:w="46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spacing w:after="0"/>
              <w:rPr>
                <w:sz w:val="24"/>
                <w:szCs w:val="24"/>
                <w:color w:val="auto"/>
              </w:rPr>
            </w:pPr>
          </w:p>
        </w:tc>
        <w:tc>
          <w:tcPr>
            <w:tcW w:w="1240" w:type="dxa"/>
            <w:vAlign w:val="bottom"/>
            <w:tcBorders>
              <w:bottom w:val="single" w:sz="8" w:color="auto"/>
            </w:tcBorders>
            <w:shd w:val="clear" w:color="auto" w:fill="FEFEFE"/>
          </w:tcPr>
          <w:p>
            <w:pPr>
              <w:spacing w:after="0"/>
              <w:rPr>
                <w:sz w:val="24"/>
                <w:szCs w:val="24"/>
                <w:color w:val="auto"/>
              </w:rPr>
            </w:pPr>
          </w:p>
        </w:tc>
        <w:tc>
          <w:tcPr>
            <w:tcW w:w="1360" w:type="dxa"/>
            <w:vAlign w:val="bottom"/>
            <w:tcBorders>
              <w:bottom w:val="single" w:sz="8" w:color="auto"/>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13,361</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11,008</w:t>
            </w:r>
          </w:p>
        </w:tc>
      </w:tr>
      <w:tr>
        <w:trPr>
          <w:trHeight w:val="290"/>
        </w:trPr>
        <w:tc>
          <w:tcPr>
            <w:tcW w:w="3640" w:type="dxa"/>
            <w:vAlign w:val="bottom"/>
            <w:shd w:val="clear" w:color="auto" w:fill="E4E4E4"/>
          </w:tcPr>
          <w:p>
            <w:pPr>
              <w:ind w:left="200"/>
              <w:spacing w:after="0"/>
              <w:rPr>
                <w:sz w:val="20"/>
                <w:szCs w:val="20"/>
                <w:color w:val="auto"/>
              </w:rPr>
            </w:pPr>
            <w:r>
              <w:rPr>
                <w:rFonts w:ascii="Arial" w:cs="Arial" w:eastAsia="Arial" w:hAnsi="Arial"/>
                <w:sz w:val="20"/>
                <w:szCs w:val="20"/>
                <w:color w:val="auto"/>
              </w:rPr>
              <w:t>ther long-term liabilities</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1,184</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1,050</w:t>
            </w:r>
          </w:p>
        </w:tc>
      </w:tr>
      <w:tr>
        <w:trPr>
          <w:trHeight w:val="297"/>
        </w:trPr>
        <w:tc>
          <w:tcPr>
            <w:tcW w:w="3640" w:type="dxa"/>
            <w:vAlign w:val="bottom"/>
            <w:shd w:val="clear" w:color="auto" w:fill="FEFEFE"/>
          </w:tcPr>
          <w:p>
            <w:pPr>
              <w:ind w:left="60"/>
              <w:spacing w:after="0"/>
              <w:rPr>
                <w:sz w:val="20"/>
                <w:szCs w:val="20"/>
                <w:color w:val="auto"/>
              </w:rPr>
            </w:pPr>
            <w:r>
              <w:rPr>
                <w:rFonts w:ascii="Arial" w:cs="Arial" w:eastAsia="Arial" w:hAnsi="Arial"/>
                <w:sz w:val="20"/>
                <w:szCs w:val="20"/>
                <w:color w:val="auto"/>
              </w:rPr>
              <w:t>Non-current deferred income taxes, net</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268</w:t>
            </w:r>
          </w:p>
        </w:tc>
        <w:tc>
          <w:tcPr>
            <w:tcW w:w="20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156</w:t>
            </w:r>
          </w:p>
        </w:tc>
      </w:tr>
      <w:tr>
        <w:trPr>
          <w:trHeight w:val="303"/>
        </w:trPr>
        <w:tc>
          <w:tcPr>
            <w:tcW w:w="3640" w:type="dxa"/>
            <w:vAlign w:val="bottom"/>
            <w:shd w:val="clear" w:color="auto" w:fill="E4E4E4"/>
          </w:tcPr>
          <w:p>
            <w:pPr>
              <w:ind w:left="60"/>
              <w:spacing w:after="0"/>
              <w:rPr>
                <w:sz w:val="20"/>
                <w:szCs w:val="20"/>
                <w:color w:val="auto"/>
              </w:rPr>
            </w:pPr>
            <w:r>
              <w:rPr>
                <w:rFonts w:ascii="Arial" w:cs="Arial" w:eastAsia="Arial" w:hAnsi="Arial"/>
                <w:sz w:val="20"/>
                <w:szCs w:val="20"/>
                <w:color w:val="auto"/>
              </w:rPr>
              <w:t>Long-term operating lease liabilities</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8,894</w:t>
            </w:r>
          </w:p>
        </w:tc>
        <w:tc>
          <w:tcPr>
            <w:tcW w:w="200" w:type="dxa"/>
            <w:vAlign w:val="bottom"/>
            <w:shd w:val="clear" w:color="auto" w:fill="E4E4E4"/>
          </w:tcPr>
          <w:p>
            <w:pPr>
              <w:spacing w:after="0"/>
              <w:rPr>
                <w:sz w:val="24"/>
                <w:szCs w:val="24"/>
                <w:color w:val="auto"/>
              </w:rPr>
            </w:pP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8,276</w:t>
            </w:r>
          </w:p>
        </w:tc>
      </w:tr>
      <w:tr>
        <w:trPr>
          <w:trHeight w:val="293"/>
        </w:trPr>
        <w:tc>
          <w:tcPr>
            <w:tcW w:w="3640" w:type="dxa"/>
            <w:vAlign w:val="bottom"/>
            <w:shd w:val="clear" w:color="auto" w:fill="FEFEFE"/>
          </w:tcPr>
          <w:p>
            <w:pPr>
              <w:ind w:left="60"/>
              <w:spacing w:after="0"/>
              <w:rPr>
                <w:sz w:val="20"/>
                <w:szCs w:val="20"/>
                <w:color w:val="auto"/>
              </w:rPr>
            </w:pPr>
            <w:r>
              <w:rPr>
                <w:rFonts w:ascii="Arial" w:cs="Arial" w:eastAsia="Arial" w:hAnsi="Arial"/>
                <w:sz w:val="20"/>
                <w:szCs w:val="20"/>
                <w:color w:val="auto"/>
              </w:rPr>
              <w:t>Long-term debt</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1,870</w:t>
            </w:r>
          </w:p>
        </w:tc>
        <w:tc>
          <w:tcPr>
            <w:tcW w:w="20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2,866</w:t>
            </w:r>
          </w:p>
        </w:tc>
      </w:tr>
      <w:tr>
        <w:trPr>
          <w:trHeight w:val="287"/>
        </w:trPr>
        <w:tc>
          <w:tcPr>
            <w:tcW w:w="4100" w:type="dxa"/>
            <w:vAlign w:val="bottom"/>
            <w:tcBorders>
              <w:bottom w:val="single" w:sz="8" w:color="E4E4E4"/>
            </w:tcBorders>
            <w:gridSpan w:val="2"/>
            <w:shd w:val="clear" w:color="auto" w:fill="E4E4E4"/>
          </w:tcPr>
          <w:p>
            <w:pPr>
              <w:ind w:left="60"/>
              <w:spacing w:after="0"/>
              <w:rPr>
                <w:sz w:val="20"/>
                <w:szCs w:val="20"/>
                <w:color w:val="auto"/>
              </w:rPr>
            </w:pPr>
            <w:r>
              <w:rPr>
                <w:rFonts w:ascii="Arial" w:cs="Arial" w:eastAsia="Arial" w:hAnsi="Arial"/>
                <w:sz w:val="20"/>
                <w:szCs w:val="20"/>
                <w:color w:val="auto"/>
                <w:w w:val="97"/>
              </w:rPr>
              <w:t>Commitments and contingencies (See Note N)</w:t>
            </w:r>
          </w:p>
        </w:tc>
        <w:tc>
          <w:tcPr>
            <w:tcW w:w="900" w:type="dxa"/>
            <w:vAlign w:val="bottom"/>
            <w:tcBorders>
              <w:bottom w:val="single" w:sz="8" w:color="E4E4E4"/>
            </w:tcBorders>
            <w:shd w:val="clear" w:color="auto" w:fill="E4E4E4"/>
          </w:tcPr>
          <w:p>
            <w:pPr>
              <w:spacing w:after="0"/>
              <w:rPr>
                <w:sz w:val="24"/>
                <w:szCs w:val="24"/>
                <w:color w:val="auto"/>
              </w:rPr>
            </w:pPr>
          </w:p>
        </w:tc>
        <w:tc>
          <w:tcPr>
            <w:tcW w:w="1240" w:type="dxa"/>
            <w:vAlign w:val="bottom"/>
            <w:tcBorders>
              <w:bottom w:val="single" w:sz="8" w:color="E4E4E4"/>
            </w:tcBorders>
            <w:shd w:val="clear" w:color="auto" w:fill="E4E4E4"/>
          </w:tcPr>
          <w:p>
            <w:pPr>
              <w:spacing w:after="0"/>
              <w:rPr>
                <w:sz w:val="24"/>
                <w:szCs w:val="24"/>
                <w:color w:val="auto"/>
              </w:rPr>
            </w:pPr>
          </w:p>
        </w:tc>
        <w:tc>
          <w:tcPr>
            <w:tcW w:w="1360" w:type="dxa"/>
            <w:vAlign w:val="bottom"/>
            <w:tcBorders>
              <w:bottom w:val="single" w:sz="8" w:color="E4E4E4"/>
            </w:tcBorders>
            <w:shd w:val="clear" w:color="auto" w:fill="E4E4E4"/>
          </w:tcPr>
          <w:p>
            <w:pPr>
              <w:spacing w:after="0"/>
              <w:rPr>
                <w:sz w:val="24"/>
                <w:szCs w:val="24"/>
                <w:color w:val="auto"/>
              </w:rPr>
            </w:pPr>
          </w:p>
        </w:tc>
        <w:tc>
          <w:tcPr>
            <w:tcW w:w="16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r>
      <w:tr>
        <w:trPr>
          <w:trHeight w:val="278"/>
        </w:trPr>
        <w:tc>
          <w:tcPr>
            <w:tcW w:w="3640" w:type="dxa"/>
            <w:vAlign w:val="bottom"/>
            <w:shd w:val="clear" w:color="auto" w:fill="FEFEFE"/>
          </w:tcPr>
          <w:p>
            <w:pPr>
              <w:ind w:left="60"/>
              <w:spacing w:after="0"/>
              <w:rPr>
                <w:sz w:val="20"/>
                <w:szCs w:val="20"/>
                <w:color w:val="auto"/>
              </w:rPr>
            </w:pPr>
            <w:r>
              <w:rPr>
                <w:rFonts w:ascii="Arial" w:cs="Arial" w:eastAsia="Arial" w:hAnsi="Arial"/>
                <w:sz w:val="20"/>
                <w:szCs w:val="20"/>
                <w:color w:val="auto"/>
              </w:rPr>
              <w:t>Shareholders e uity</w:t>
            </w:r>
          </w:p>
        </w:tc>
        <w:tc>
          <w:tcPr>
            <w:tcW w:w="46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r>
      <w:tr>
        <w:trPr>
          <w:trHeight w:val="287"/>
        </w:trPr>
        <w:tc>
          <w:tcPr>
            <w:tcW w:w="6240" w:type="dxa"/>
            <w:vAlign w:val="bottom"/>
            <w:tcBorders>
              <w:bottom w:val="single" w:sz="8" w:color="E4E4E4"/>
            </w:tcBorders>
            <w:gridSpan w:val="4"/>
            <w:shd w:val="clear" w:color="auto" w:fill="E4E4E4"/>
          </w:tcPr>
          <w:p>
            <w:pPr>
              <w:ind w:left="60"/>
              <w:spacing w:after="0"/>
              <w:rPr>
                <w:sz w:val="20"/>
                <w:szCs w:val="20"/>
                <w:color w:val="auto"/>
              </w:rPr>
            </w:pPr>
            <w:r>
              <w:rPr>
                <w:rFonts w:ascii="Arial" w:cs="Arial" w:eastAsia="Arial" w:hAnsi="Arial"/>
                <w:sz w:val="20"/>
                <w:szCs w:val="20"/>
                <w:color w:val="auto"/>
                <w:w w:val="90"/>
              </w:rPr>
              <w:t>Preferred stock, authori ed 5,000,000 shares, par value $1, no shares issued</w:t>
            </w:r>
          </w:p>
        </w:tc>
        <w:tc>
          <w:tcPr>
            <w:tcW w:w="1360" w:type="dxa"/>
            <w:vAlign w:val="bottom"/>
            <w:tcBorders>
              <w:bottom w:val="single" w:sz="8" w:color="E4E4E4"/>
            </w:tcBorders>
            <w:shd w:val="clear" w:color="auto" w:fill="E4E4E4"/>
          </w:tcPr>
          <w:p>
            <w:pPr>
              <w:spacing w:after="0"/>
              <w:rPr>
                <w:sz w:val="24"/>
                <w:szCs w:val="24"/>
                <w:color w:val="auto"/>
              </w:rPr>
            </w:pPr>
          </w:p>
        </w:tc>
        <w:tc>
          <w:tcPr>
            <w:tcW w:w="16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r>
      <w:tr>
        <w:trPr>
          <w:trHeight w:val="214"/>
        </w:trPr>
        <w:tc>
          <w:tcPr>
            <w:tcW w:w="7760" w:type="dxa"/>
            <w:vAlign w:val="bottom"/>
            <w:gridSpan w:val="6"/>
            <w:shd w:val="clear" w:color="auto" w:fill="FEFEFE"/>
          </w:tcPr>
          <w:p>
            <w:pPr>
              <w:ind w:left="60"/>
              <w:spacing w:after="0" w:line="213" w:lineRule="exact"/>
              <w:rPr>
                <w:sz w:val="20"/>
                <w:szCs w:val="20"/>
                <w:color w:val="auto"/>
              </w:rPr>
            </w:pPr>
            <w:r>
              <w:rPr>
                <w:rFonts w:ascii="Arial" w:cs="Arial" w:eastAsia="Arial" w:hAnsi="Arial"/>
                <w:sz w:val="20"/>
                <w:szCs w:val="20"/>
                <w:color w:val="auto"/>
                <w:w w:val="99"/>
              </w:rPr>
              <w:t>Common stock, authori ed 1,800,000,000 shares, par value $1, issued and outstanding</w:t>
            </w:r>
          </w:p>
        </w:tc>
        <w:tc>
          <w:tcPr>
            <w:tcW w:w="114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96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r>
      <w:tr>
        <w:trPr>
          <w:trHeight w:val="305"/>
        </w:trPr>
        <w:tc>
          <w:tcPr>
            <w:tcW w:w="5000" w:type="dxa"/>
            <w:vAlign w:val="bottom"/>
            <w:gridSpan w:val="3"/>
            <w:shd w:val="clear" w:color="auto" w:fill="FEFEFE"/>
          </w:tcPr>
          <w:p>
            <w:pPr>
              <w:ind w:left="60"/>
              <w:spacing w:after="0"/>
              <w:rPr>
                <w:sz w:val="20"/>
                <w:szCs w:val="20"/>
                <w:color w:val="auto"/>
              </w:rPr>
            </w:pPr>
            <w:r>
              <w:rPr>
                <w:rFonts w:ascii="Arial" w:cs="Arial" w:eastAsia="Arial" w:hAnsi="Arial"/>
                <w:sz w:val="20"/>
                <w:szCs w:val="20"/>
                <w:color w:val="auto"/>
              </w:rPr>
              <w:t>1,107,087,  1 and 1,11 ,333,622 shares, respectively</w:t>
            </w: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1,107</w:t>
            </w: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1,11</w:t>
            </w:r>
          </w:p>
        </w:tc>
        <w:tc>
          <w:tcPr>
            <w:tcW w:w="180" w:type="dxa"/>
            <w:vAlign w:val="bottom"/>
            <w:shd w:val="clear" w:color="auto" w:fill="FEFEFE"/>
          </w:tcPr>
          <w:p>
            <w:pPr>
              <w:spacing w:after="0"/>
              <w:rPr>
                <w:sz w:val="24"/>
                <w:szCs w:val="24"/>
                <w:color w:val="auto"/>
              </w:rPr>
            </w:pPr>
          </w:p>
        </w:tc>
      </w:tr>
      <w:tr>
        <w:trPr>
          <w:trHeight w:val="306"/>
        </w:trPr>
        <w:tc>
          <w:tcPr>
            <w:tcW w:w="3640" w:type="dxa"/>
            <w:vAlign w:val="bottom"/>
            <w:shd w:val="clear" w:color="auto" w:fill="E4E4E4"/>
          </w:tcPr>
          <w:p>
            <w:pPr>
              <w:ind w:left="60"/>
              <w:spacing w:after="0"/>
              <w:rPr>
                <w:sz w:val="20"/>
                <w:szCs w:val="20"/>
                <w:color w:val="auto"/>
              </w:rPr>
            </w:pPr>
            <w:r>
              <w:rPr>
                <w:rFonts w:ascii="Arial" w:cs="Arial" w:eastAsia="Arial" w:hAnsi="Arial"/>
                <w:sz w:val="20"/>
                <w:szCs w:val="20"/>
                <w:color w:val="auto"/>
              </w:rPr>
              <w:t>Additional paid-in capital</w:t>
            </w:r>
          </w:p>
        </w:tc>
        <w:tc>
          <w:tcPr>
            <w:tcW w:w="460" w:type="dxa"/>
            <w:vAlign w:val="bottom"/>
            <w:shd w:val="clear" w:color="auto" w:fill="E4E4E4"/>
          </w:tcPr>
          <w:p>
            <w:pPr>
              <w:spacing w:after="0"/>
              <w:rPr>
                <w:sz w:val="24"/>
                <w:szCs w:val="24"/>
                <w:color w:val="auto"/>
              </w:rPr>
            </w:pPr>
          </w:p>
        </w:tc>
        <w:tc>
          <w:tcPr>
            <w:tcW w:w="90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13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r>
      <w:tr>
        <w:trPr>
          <w:trHeight w:val="293"/>
        </w:trPr>
        <w:tc>
          <w:tcPr>
            <w:tcW w:w="4100" w:type="dxa"/>
            <w:vAlign w:val="bottom"/>
            <w:gridSpan w:val="2"/>
            <w:shd w:val="clear" w:color="auto" w:fill="FEFEFE"/>
          </w:tcPr>
          <w:p>
            <w:pPr>
              <w:ind w:left="60"/>
              <w:spacing w:after="0"/>
              <w:rPr>
                <w:sz w:val="20"/>
                <w:szCs w:val="20"/>
                <w:color w:val="auto"/>
              </w:rPr>
            </w:pPr>
            <w:r>
              <w:rPr>
                <w:rFonts w:ascii="Arial" w:cs="Arial" w:eastAsia="Arial" w:hAnsi="Arial"/>
                <w:sz w:val="20"/>
                <w:szCs w:val="20"/>
                <w:color w:val="auto"/>
                <w:w w:val="92"/>
              </w:rPr>
              <w:t>Accumulated other comprehensive (loss) income</w:t>
            </w:r>
          </w:p>
        </w:tc>
        <w:tc>
          <w:tcPr>
            <w:tcW w:w="90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13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351</w:t>
            </w:r>
          </w:p>
        </w:tc>
        <w:tc>
          <w:tcPr>
            <w:tcW w:w="2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(60</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36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etained earnings</w:t>
            </w:r>
          </w:p>
        </w:tc>
        <w:tc>
          <w:tcPr>
            <w:tcW w:w="460" w:type="dxa"/>
            <w:vAlign w:val="bottom"/>
            <w:tcBorders>
              <w:bottom w:val="single" w:sz="8" w:color="auto"/>
            </w:tcBorders>
            <w:shd w:val="clear" w:color="auto" w:fill="E4E4E4"/>
          </w:tcPr>
          <w:p>
            <w:pPr>
              <w:spacing w:after="0"/>
              <w:rPr>
                <w:sz w:val="24"/>
                <w:szCs w:val="24"/>
                <w:color w:val="auto"/>
              </w:rPr>
            </w:pPr>
          </w:p>
        </w:tc>
        <w:tc>
          <w:tcPr>
            <w:tcW w:w="90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shd w:val="clear" w:color="auto" w:fill="E4E4E4"/>
          </w:tcPr>
          <w:p>
            <w:pPr>
              <w:spacing w:after="0"/>
              <w:rPr>
                <w:sz w:val="24"/>
                <w:szCs w:val="24"/>
                <w:color w:val="auto"/>
              </w:rPr>
            </w:pPr>
          </w:p>
        </w:tc>
        <w:tc>
          <w:tcPr>
            <w:tcW w:w="1360" w:type="dxa"/>
            <w:vAlign w:val="bottom"/>
            <w:tcBorders>
              <w:bottom w:val="single" w:sz="8" w:color="auto"/>
            </w:tcBorders>
            <w:shd w:val="clear" w:color="auto" w:fill="E4E4E4"/>
          </w:tcPr>
          <w:p>
            <w:pPr>
              <w:spacing w:after="0"/>
              <w:rPr>
                <w:sz w:val="24"/>
                <w:szCs w:val="24"/>
                <w:color w:val="auto"/>
              </w:rPr>
            </w:pPr>
          </w:p>
        </w:tc>
        <w:tc>
          <w:tcPr>
            <w:tcW w:w="16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9,434</w:t>
            </w:r>
          </w:p>
        </w:tc>
        <w:tc>
          <w:tcPr>
            <w:tcW w:w="20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7,883</w:t>
            </w:r>
          </w:p>
        </w:tc>
      </w:tr>
      <w:tr>
        <w:trPr>
          <w:trHeight w:val="280"/>
        </w:trPr>
        <w:tc>
          <w:tcPr>
            <w:tcW w:w="3640" w:type="dxa"/>
            <w:vAlign w:val="bottom"/>
            <w:tcBorders>
              <w:bottom w:val="single" w:sz="8" w:color="auto"/>
            </w:tcBorders>
            <w:shd w:val="clear" w:color="auto" w:fill="FEFEFE"/>
          </w:tcPr>
          <w:p>
            <w:pPr>
              <w:ind w:left="280"/>
              <w:spacing w:after="0"/>
              <w:rPr>
                <w:sz w:val="20"/>
                <w:szCs w:val="20"/>
                <w:color w:val="auto"/>
              </w:rPr>
            </w:pPr>
            <w:r>
              <w:rPr>
                <w:rFonts w:ascii="Arial" w:cs="Arial" w:eastAsia="Arial" w:hAnsi="Arial"/>
                <w:sz w:val="20"/>
                <w:szCs w:val="20"/>
                <w:color w:val="auto"/>
              </w:rPr>
              <w:t>Total shareholders’ e uity</w:t>
            </w:r>
          </w:p>
        </w:tc>
        <w:tc>
          <w:tcPr>
            <w:tcW w:w="460" w:type="dxa"/>
            <w:vAlign w:val="bottom"/>
            <w:tcBorders>
              <w:bottom w:val="single" w:sz="8" w:color="auto"/>
            </w:tcBorders>
            <w:shd w:val="clear" w:color="auto" w:fill="FEFEFE"/>
          </w:tcPr>
          <w:p>
            <w:pPr>
              <w:spacing w:after="0"/>
              <w:rPr>
                <w:sz w:val="24"/>
                <w:szCs w:val="24"/>
                <w:color w:val="auto"/>
              </w:rPr>
            </w:pPr>
          </w:p>
        </w:tc>
        <w:tc>
          <w:tcPr>
            <w:tcW w:w="900" w:type="dxa"/>
            <w:vAlign w:val="bottom"/>
            <w:tcBorders>
              <w:bottom w:val="single" w:sz="8" w:color="auto"/>
            </w:tcBorders>
            <w:shd w:val="clear" w:color="auto" w:fill="FEFEFE"/>
          </w:tcPr>
          <w:p>
            <w:pPr>
              <w:spacing w:after="0"/>
              <w:rPr>
                <w:sz w:val="24"/>
                <w:szCs w:val="24"/>
                <w:color w:val="auto"/>
              </w:rPr>
            </w:pPr>
          </w:p>
        </w:tc>
        <w:tc>
          <w:tcPr>
            <w:tcW w:w="1240" w:type="dxa"/>
            <w:vAlign w:val="bottom"/>
            <w:tcBorders>
              <w:bottom w:val="single" w:sz="8" w:color="auto"/>
            </w:tcBorders>
            <w:shd w:val="clear" w:color="auto" w:fill="FEFEFE"/>
          </w:tcPr>
          <w:p>
            <w:pPr>
              <w:spacing w:after="0"/>
              <w:rPr>
                <w:sz w:val="24"/>
                <w:szCs w:val="24"/>
                <w:color w:val="auto"/>
              </w:rPr>
            </w:pPr>
          </w:p>
        </w:tc>
        <w:tc>
          <w:tcPr>
            <w:tcW w:w="1360" w:type="dxa"/>
            <w:vAlign w:val="bottom"/>
            <w:tcBorders>
              <w:bottom w:val="single" w:sz="8" w:color="auto"/>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10,190</w:t>
            </w:r>
          </w:p>
        </w:tc>
        <w:tc>
          <w:tcPr>
            <w:tcW w:w="20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8,3</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71"/>
              </w:rPr>
              <w:t>3</w:t>
            </w:r>
          </w:p>
        </w:tc>
      </w:tr>
      <w:tr>
        <w:trPr>
          <w:trHeight w:val="280"/>
        </w:trPr>
        <w:tc>
          <w:tcPr>
            <w:tcW w:w="36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otal liabilities and shareholders e uity</w:t>
            </w:r>
          </w:p>
        </w:tc>
        <w:tc>
          <w:tcPr>
            <w:tcW w:w="460" w:type="dxa"/>
            <w:vAlign w:val="bottom"/>
            <w:tcBorders>
              <w:bottom w:val="single" w:sz="8" w:color="auto"/>
            </w:tcBorders>
            <w:shd w:val="clear" w:color="auto" w:fill="E4E4E4"/>
          </w:tcPr>
          <w:p>
            <w:pPr>
              <w:spacing w:after="0"/>
              <w:rPr>
                <w:sz w:val="24"/>
                <w:szCs w:val="24"/>
                <w:color w:val="auto"/>
              </w:rPr>
            </w:pPr>
          </w:p>
        </w:tc>
        <w:tc>
          <w:tcPr>
            <w:tcW w:w="90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shd w:val="clear" w:color="auto" w:fill="E4E4E4"/>
          </w:tcPr>
          <w:p>
            <w:pPr>
              <w:spacing w:after="0"/>
              <w:rPr>
                <w:sz w:val="24"/>
                <w:szCs w:val="24"/>
                <w:color w:val="auto"/>
              </w:rPr>
            </w:pPr>
          </w:p>
        </w:tc>
        <w:tc>
          <w:tcPr>
            <w:tcW w:w="152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35,767</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31,749</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1" w:orient="portrait"/>
          <w:cols w:equalWidth="0" w:num="1">
            <w:col w:w="10240"/>
          </w:cols>
          <w:pgMar w:left="1000" w:top="79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2240" w:h="15841" w:orient="portrait"/>
          <w:cols w:equalWidth="0" w:num="1">
            <w:col w:w="10240"/>
          </w:cols>
          <w:pgMar w:left="1000" w:top="792" w:right="1001"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40"/>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20" w:type="dxa"/>
            <w:vAlign w:val="bottom"/>
          </w:tcPr>
          <w:p>
            <w:pPr>
              <w:jc w:val="right"/>
              <w:ind w:right="180"/>
              <w:spacing w:after="0"/>
              <w:rPr>
                <w:sz w:val="20"/>
                <w:szCs w:val="20"/>
                <w:color w:val="auto"/>
              </w:rPr>
            </w:pPr>
            <w:r>
              <w:rPr>
                <w:rFonts w:ascii="Arial" w:cs="Arial" w:eastAsia="Arial" w:hAnsi="Arial"/>
                <w:sz w:val="20"/>
                <w:szCs w:val="20"/>
                <w:color w:val="auto"/>
              </w:rPr>
              <w:t>T  E TJX C</w:t>
            </w:r>
          </w:p>
        </w:tc>
        <w:tc>
          <w:tcPr>
            <w:tcW w:w="1860" w:type="dxa"/>
            <w:vAlign w:val="bottom"/>
            <w:gridSpan w:val="2"/>
          </w:tcPr>
          <w:p>
            <w:pPr>
              <w:jc w:val="right"/>
              <w:ind w:right="520"/>
              <w:spacing w:after="0"/>
              <w:rPr>
                <w:sz w:val="20"/>
                <w:szCs w:val="20"/>
                <w:color w:val="auto"/>
              </w:rPr>
            </w:pPr>
            <w:r>
              <w:rPr>
                <w:rFonts w:ascii="Arial" w:cs="Arial" w:eastAsia="Arial" w:hAnsi="Arial"/>
                <w:sz w:val="20"/>
                <w:szCs w:val="20"/>
                <w:color w:val="auto"/>
                <w:w w:val="97"/>
              </w:rPr>
              <w:t>PANIES, INC.</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ind w:left="1120"/>
              <w:spacing w:after="0"/>
              <w:rPr>
                <w:sz w:val="20"/>
                <w:szCs w:val="20"/>
                <w:color w:val="auto"/>
              </w:rPr>
            </w:pPr>
            <w:r>
              <w:rPr>
                <w:rFonts w:ascii="Arial" w:cs="Arial" w:eastAsia="Arial" w:hAnsi="Arial"/>
                <w:sz w:val="20"/>
                <w:szCs w:val="20"/>
                <w:color w:val="auto"/>
                <w:w w:val="97"/>
              </w:rPr>
              <w:t>C  NS</w:t>
            </w:r>
          </w:p>
        </w:tc>
        <w:tc>
          <w:tcPr>
            <w:tcW w:w="1720" w:type="dxa"/>
            <w:vAlign w:val="bottom"/>
          </w:tcPr>
          <w:p>
            <w:pPr>
              <w:jc w:val="right"/>
              <w:spacing w:after="0"/>
              <w:rPr>
                <w:sz w:val="20"/>
                <w:szCs w:val="20"/>
                <w:color w:val="auto"/>
              </w:rPr>
            </w:pPr>
            <w:r>
              <w:rPr>
                <w:rFonts w:ascii="Arial" w:cs="Arial" w:eastAsia="Arial" w:hAnsi="Arial"/>
                <w:sz w:val="20"/>
                <w:szCs w:val="20"/>
                <w:color w:val="auto"/>
              </w:rPr>
              <w:t>LIDATED STATE</w:t>
            </w:r>
          </w:p>
        </w:tc>
        <w:tc>
          <w:tcPr>
            <w:tcW w:w="1860" w:type="dxa"/>
            <w:vAlign w:val="bottom"/>
            <w:gridSpan w:val="2"/>
          </w:tcPr>
          <w:p>
            <w:pPr>
              <w:jc w:val="right"/>
              <w:spacing w:after="0"/>
              <w:rPr>
                <w:sz w:val="20"/>
                <w:szCs w:val="20"/>
                <w:color w:val="auto"/>
              </w:rPr>
            </w:pPr>
            <w:r>
              <w:rPr>
                <w:rFonts w:ascii="Arial" w:cs="Arial" w:eastAsia="Arial" w:hAnsi="Arial"/>
                <w:sz w:val="20"/>
                <w:szCs w:val="20"/>
                <w:color w:val="auto"/>
              </w:rPr>
              <w:t>ENTS  F CAS  FL</w:t>
            </w:r>
          </w:p>
        </w:tc>
        <w:tc>
          <w:tcPr>
            <w:tcW w:w="820" w:type="dxa"/>
            <w:vAlign w:val="bottom"/>
          </w:tcPr>
          <w:p>
            <w:pPr>
              <w:jc w:val="right"/>
              <w:ind w:right="320"/>
              <w:spacing w:after="0"/>
              <w:rPr>
                <w:sz w:val="20"/>
                <w:szCs w:val="20"/>
                <w:color w:val="auto"/>
              </w:rPr>
            </w:pPr>
            <w:r>
              <w:rPr>
                <w:rFonts w:ascii="Arial" w:cs="Arial" w:eastAsia="Arial" w:hAnsi="Arial"/>
                <w:sz w:val="20"/>
                <w:szCs w:val="20"/>
                <w:color w:val="auto"/>
              </w:rPr>
              <w: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1"/>
        </w:trPr>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80" w:type="dxa"/>
            <w:vAlign w:val="bottom"/>
            <w:gridSpan w:val="3"/>
          </w:tcPr>
          <w:p>
            <w:pPr>
              <w:jc w:val="right"/>
              <w:ind w:right="1160"/>
              <w:spacing w:after="0"/>
              <w:rPr>
                <w:sz w:val="20"/>
                <w:szCs w:val="20"/>
                <w:color w:val="auto"/>
              </w:rPr>
            </w:pPr>
            <w:r>
              <w:rPr>
                <w:rFonts w:ascii="Arial" w:cs="Arial" w:eastAsia="Arial" w:hAnsi="Arial"/>
                <w:sz w:val="20"/>
                <w:szCs w:val="20"/>
                <w:color w:val="auto"/>
              </w:rPr>
              <w:t>IN  ILLI  NS</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31"/>
        </w:trPr>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left="580"/>
              <w:spacing w:after="0"/>
              <w:rPr>
                <w:sz w:val="20"/>
                <w:szCs w:val="20"/>
                <w:color w:val="auto"/>
              </w:rPr>
            </w:pPr>
            <w:r>
              <w:rPr>
                <w:rFonts w:ascii="Arial" w:cs="Arial" w:eastAsia="Arial" w:hAnsi="Arial"/>
                <w:sz w:val="20"/>
                <w:szCs w:val="20"/>
                <w:color w:val="auto"/>
                <w:w w:val="89"/>
              </w:rPr>
              <w:t>Fiscal Year Ended</w:t>
            </w:r>
          </w:p>
        </w:tc>
        <w:tc>
          <w:tcPr>
            <w:tcW w:w="1060" w:type="dxa"/>
            <w:vAlign w:val="bottom"/>
            <w:tcBorders>
              <w:bottom w:val="single" w:sz="8" w:color="auto"/>
            </w:tcBorders>
          </w:tcPr>
          <w:p>
            <w:pPr>
              <w:spacing w:after="0"/>
              <w:rPr>
                <w:sz w:val="24"/>
                <w:szCs w:val="24"/>
                <w:color w:val="auto"/>
              </w:rPr>
            </w:pPr>
          </w:p>
        </w:tc>
      </w:tr>
      <w:tr>
        <w:trPr>
          <w:trHeight w:val="212"/>
        </w:trPr>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January 31,</w:t>
            </w:r>
          </w:p>
        </w:tc>
        <w:tc>
          <w:tcPr>
            <w:tcW w:w="126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89"/>
              </w:rPr>
              <w:t>February 1,</w:t>
            </w:r>
          </w:p>
        </w:tc>
        <w:tc>
          <w:tcPr>
            <w:tcW w:w="120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89"/>
              </w:rPr>
              <w:t>February 3,</w:t>
            </w:r>
          </w:p>
        </w:tc>
      </w:tr>
      <w:tr>
        <w:trPr>
          <w:trHeight w:val="263"/>
        </w:trPr>
        <w:tc>
          <w:tcPr>
            <w:tcW w:w="1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w w:val="94"/>
              </w:rPr>
              <w:t>2026</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20"/>
              <w:spacing w:after="0"/>
              <w:rPr>
                <w:sz w:val="20"/>
                <w:szCs w:val="20"/>
                <w:color w:val="auto"/>
              </w:rPr>
            </w:pPr>
            <w:r>
              <w:rPr>
                <w:rFonts w:ascii="Arial" w:cs="Arial" w:eastAsia="Arial" w:hAnsi="Arial"/>
                <w:sz w:val="20"/>
                <w:szCs w:val="20"/>
                <w:color w:val="auto"/>
                <w:w w:val="89"/>
              </w:rPr>
              <w:t>2025</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2024</w:t>
            </w:r>
          </w:p>
        </w:tc>
      </w:tr>
      <w:tr>
        <w:trPr>
          <w:trHeight w:val="283"/>
        </w:trPr>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80"/>
              <w:spacing w:after="0"/>
              <w:rPr>
                <w:sz w:val="20"/>
                <w:szCs w:val="20"/>
                <w:color w:val="auto"/>
              </w:rPr>
            </w:pPr>
            <w:r>
              <w:rPr>
                <w:rFonts w:ascii="Arial" w:cs="Arial" w:eastAsia="Arial" w:hAnsi="Arial"/>
                <w:sz w:val="20"/>
                <w:szCs w:val="20"/>
                <w:color w:val="auto"/>
                <w:w w:val="89"/>
              </w:rPr>
              <w:t>(53 weeks)</w:t>
            </w:r>
          </w:p>
        </w:tc>
      </w:tr>
      <w:tr>
        <w:trPr>
          <w:trHeight w:val="292"/>
        </w:trPr>
        <w:tc>
          <w:tcPr>
            <w:tcW w:w="340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Cash flows from operating acti ities</w:t>
            </w:r>
          </w:p>
        </w:tc>
        <w:tc>
          <w:tcPr>
            <w:tcW w:w="1720" w:type="dxa"/>
            <w:vAlign w:val="bottom"/>
            <w:shd w:val="clear" w:color="auto" w:fill="E4E4E4"/>
          </w:tcPr>
          <w:p>
            <w:pPr>
              <w:spacing w:after="0"/>
              <w:rPr>
                <w:sz w:val="24"/>
                <w:szCs w:val="24"/>
                <w:color w:val="auto"/>
              </w:rPr>
            </w:pP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spacing w:after="0"/>
              <w:rPr>
                <w:sz w:val="24"/>
                <w:szCs w:val="24"/>
                <w:color w:val="auto"/>
              </w:rPr>
            </w:pP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spacing w:after="0"/>
              <w:rPr>
                <w:sz w:val="24"/>
                <w:szCs w:val="24"/>
                <w:color w:val="auto"/>
              </w:rPr>
            </w:pPr>
          </w:p>
        </w:tc>
      </w:tr>
      <w:tr>
        <w:trPr>
          <w:trHeight w:val="293"/>
        </w:trPr>
        <w:tc>
          <w:tcPr>
            <w:tcW w:w="1420" w:type="dxa"/>
            <w:vAlign w:val="bottom"/>
            <w:shd w:val="clear" w:color="auto" w:fill="FEFEFE"/>
          </w:tcPr>
          <w:p>
            <w:pPr>
              <w:ind w:left="260"/>
              <w:spacing w:after="0"/>
              <w:rPr>
                <w:sz w:val="20"/>
                <w:szCs w:val="20"/>
                <w:color w:val="auto"/>
              </w:rPr>
            </w:pPr>
            <w:r>
              <w:rPr>
                <w:rFonts w:ascii="Arial" w:cs="Arial" w:eastAsia="Arial" w:hAnsi="Arial"/>
                <w:sz w:val="20"/>
                <w:szCs w:val="20"/>
                <w:color w:val="auto"/>
              </w:rPr>
              <w:t>Net income</w:t>
            </w:r>
          </w:p>
        </w:tc>
        <w:tc>
          <w:tcPr>
            <w:tcW w:w="320" w:type="dxa"/>
            <w:vAlign w:val="bottom"/>
            <w:shd w:val="clear" w:color="auto" w:fill="FEFEFE"/>
          </w:tcPr>
          <w:p>
            <w:pPr>
              <w:spacing w:after="0"/>
              <w:rPr>
                <w:sz w:val="24"/>
                <w:szCs w:val="24"/>
                <w:color w:val="auto"/>
              </w:rPr>
            </w:pPr>
          </w:p>
        </w:tc>
        <w:tc>
          <w:tcPr>
            <w:tcW w:w="1660" w:type="dxa"/>
            <w:vAlign w:val="bottom"/>
            <w:shd w:val="clear" w:color="auto" w:fill="FEFEFE"/>
          </w:tcPr>
          <w:p>
            <w:pPr>
              <w:spacing w:after="0"/>
              <w:rPr>
                <w:sz w:val="24"/>
                <w:szCs w:val="24"/>
                <w:color w:val="auto"/>
              </w:rPr>
            </w:pPr>
          </w:p>
        </w:tc>
        <w:tc>
          <w:tcPr>
            <w:tcW w:w="1720" w:type="dxa"/>
            <w:vAlign w:val="bottom"/>
            <w:shd w:val="clear" w:color="auto" w:fill="FEFEFE"/>
          </w:tcPr>
          <w:p>
            <w:pPr>
              <w:spacing w:after="0"/>
              <w:rPr>
                <w:sz w:val="24"/>
                <w:szCs w:val="24"/>
                <w:color w:val="auto"/>
              </w:rPr>
            </w:pPr>
          </w:p>
        </w:tc>
        <w:tc>
          <w:tcPr>
            <w:tcW w:w="1860" w:type="dxa"/>
            <w:vAlign w:val="bottom"/>
            <w:gridSpan w:val="2"/>
            <w:shd w:val="clear" w:color="auto" w:fill="FEFEFE"/>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5,494</w:t>
            </w:r>
          </w:p>
        </w:tc>
        <w:tc>
          <w:tcPr>
            <w:tcW w:w="30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4,864</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4,474</w:t>
            </w:r>
          </w:p>
        </w:tc>
      </w:tr>
      <w:tr>
        <w:trPr>
          <w:trHeight w:val="287"/>
        </w:trPr>
        <w:tc>
          <w:tcPr>
            <w:tcW w:w="6980" w:type="dxa"/>
            <w:vAlign w:val="bottom"/>
            <w:tcBorders>
              <w:bottom w:val="single" w:sz="8" w:color="E4E4E4"/>
            </w:tcBorders>
            <w:gridSpan w:val="6"/>
            <w:shd w:val="clear" w:color="auto" w:fill="E4E4E4"/>
          </w:tcPr>
          <w:p>
            <w:pPr>
              <w:ind w:left="260"/>
              <w:spacing w:after="0"/>
              <w:rPr>
                <w:sz w:val="20"/>
                <w:szCs w:val="20"/>
                <w:color w:val="auto"/>
              </w:rPr>
            </w:pPr>
            <w:r>
              <w:rPr>
                <w:rFonts w:ascii="Arial" w:cs="Arial" w:eastAsia="Arial" w:hAnsi="Arial"/>
                <w:sz w:val="20"/>
                <w:szCs w:val="20"/>
                <w:color w:val="auto"/>
                <w:w w:val="94"/>
              </w:rPr>
              <w:t>Adjustments to reconcile net income to net cash provided by operating activities:</w:t>
            </w:r>
          </w:p>
        </w:tc>
        <w:tc>
          <w:tcPr>
            <w:tcW w:w="820" w:type="dxa"/>
            <w:vAlign w:val="bottom"/>
            <w:tcBorders>
              <w:bottom w:val="single" w:sz="8" w:color="E4E4E4"/>
            </w:tcBorders>
            <w:shd w:val="clear" w:color="auto" w:fill="E4E4E4"/>
          </w:tcPr>
          <w:p>
            <w:pPr>
              <w:spacing w:after="0"/>
              <w:rPr>
                <w:sz w:val="24"/>
                <w:szCs w:val="24"/>
                <w:color w:val="auto"/>
              </w:rPr>
            </w:pPr>
          </w:p>
        </w:tc>
        <w:tc>
          <w:tcPr>
            <w:tcW w:w="30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spacing w:after="0"/>
              <w:rPr>
                <w:sz w:val="24"/>
                <w:szCs w:val="24"/>
                <w:color w:val="auto"/>
              </w:rPr>
            </w:pPr>
          </w:p>
        </w:tc>
        <w:tc>
          <w:tcPr>
            <w:tcW w:w="140" w:type="dxa"/>
            <w:vAlign w:val="bottom"/>
            <w:tcBorders>
              <w:bottom w:val="single" w:sz="8" w:color="E4E4E4"/>
            </w:tcBorders>
            <w:shd w:val="clear" w:color="auto" w:fill="E4E4E4"/>
          </w:tcPr>
          <w:p>
            <w:pPr>
              <w:spacing w:after="0"/>
              <w:rPr>
                <w:sz w:val="24"/>
                <w:szCs w:val="24"/>
                <w:color w:val="auto"/>
              </w:rPr>
            </w:pPr>
          </w:p>
        </w:tc>
        <w:tc>
          <w:tcPr>
            <w:tcW w:w="1060" w:type="dxa"/>
            <w:vAlign w:val="bottom"/>
            <w:tcBorders>
              <w:bottom w:val="single" w:sz="8" w:color="E4E4E4"/>
            </w:tcBorders>
            <w:shd w:val="clear" w:color="auto" w:fill="E4E4E4"/>
          </w:tcPr>
          <w:p>
            <w:pPr>
              <w:spacing w:after="0"/>
              <w:rPr>
                <w:sz w:val="24"/>
                <w:szCs w:val="24"/>
                <w:color w:val="auto"/>
              </w:rPr>
            </w:pPr>
          </w:p>
        </w:tc>
      </w:tr>
      <w:tr>
        <w:trPr>
          <w:trHeight w:val="293"/>
        </w:trPr>
        <w:tc>
          <w:tcPr>
            <w:tcW w:w="3400" w:type="dxa"/>
            <w:vAlign w:val="bottom"/>
            <w:gridSpan w:val="3"/>
            <w:shd w:val="clear" w:color="auto" w:fill="FEFEFE"/>
          </w:tcPr>
          <w:p>
            <w:pPr>
              <w:ind w:left="540"/>
              <w:spacing w:after="0"/>
              <w:rPr>
                <w:sz w:val="20"/>
                <w:szCs w:val="20"/>
                <w:color w:val="auto"/>
              </w:rPr>
            </w:pPr>
            <w:r>
              <w:rPr>
                <w:rFonts w:ascii="Arial" w:cs="Arial" w:eastAsia="Arial" w:hAnsi="Arial"/>
                <w:sz w:val="20"/>
                <w:szCs w:val="20"/>
                <w:color w:val="auto"/>
              </w:rPr>
              <w:t>Depreciation and amorti ation</w:t>
            </w:r>
          </w:p>
        </w:tc>
        <w:tc>
          <w:tcPr>
            <w:tcW w:w="1720" w:type="dxa"/>
            <w:vAlign w:val="bottom"/>
            <w:shd w:val="clear" w:color="auto" w:fill="FEFEFE"/>
          </w:tcPr>
          <w:p>
            <w:pPr>
              <w:spacing w:after="0"/>
              <w:rPr>
                <w:sz w:val="24"/>
                <w:szCs w:val="24"/>
                <w:color w:val="auto"/>
              </w:rPr>
            </w:pP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1,247</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1,104</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64</w:t>
            </w:r>
          </w:p>
        </w:tc>
      </w:tr>
      <w:tr>
        <w:trPr>
          <w:trHeight w:val="307"/>
        </w:trPr>
        <w:tc>
          <w:tcPr>
            <w:tcW w:w="5120" w:type="dxa"/>
            <w:vAlign w:val="bottom"/>
            <w:gridSpan w:val="4"/>
            <w:shd w:val="clear" w:color="auto" w:fill="E4E4E4"/>
          </w:tcPr>
          <w:p>
            <w:pPr>
              <w:ind w:left="540"/>
              <w:spacing w:after="0"/>
              <w:rPr>
                <w:sz w:val="20"/>
                <w:szCs w:val="20"/>
                <w:color w:val="auto"/>
              </w:rPr>
            </w:pPr>
            <w:r>
              <w:rPr>
                <w:rFonts w:ascii="Arial" w:cs="Arial" w:eastAsia="Arial" w:hAnsi="Arial"/>
                <w:sz w:val="20"/>
                <w:szCs w:val="20"/>
                <w:color w:val="auto"/>
                <w:w w:val="99"/>
              </w:rPr>
              <w:t>Loss on property disposals and impairment charges</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21</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61</w:t>
            </w:r>
          </w:p>
        </w:tc>
      </w:tr>
      <w:tr>
        <w:trPr>
          <w:trHeight w:val="293"/>
        </w:trPr>
        <w:tc>
          <w:tcPr>
            <w:tcW w:w="5120" w:type="dxa"/>
            <w:vAlign w:val="bottom"/>
            <w:gridSpan w:val="4"/>
            <w:shd w:val="clear" w:color="auto" w:fill="FEFEFE"/>
          </w:tcPr>
          <w:p>
            <w:pPr>
              <w:ind w:left="540"/>
              <w:spacing w:after="0"/>
              <w:rPr>
                <w:sz w:val="20"/>
                <w:szCs w:val="20"/>
                <w:color w:val="auto"/>
              </w:rPr>
            </w:pPr>
            <w:r>
              <w:rPr>
                <w:rFonts w:ascii="Arial" w:cs="Arial" w:eastAsia="Arial" w:hAnsi="Arial"/>
                <w:sz w:val="20"/>
                <w:szCs w:val="20"/>
                <w:color w:val="auto"/>
              </w:rPr>
              <w:t>Deferred income tax provision (benefit)</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112</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r>
      <w:tr>
        <w:trPr>
          <w:trHeight w:val="307"/>
        </w:trPr>
        <w:tc>
          <w:tcPr>
            <w:tcW w:w="3400" w:type="dxa"/>
            <w:vAlign w:val="bottom"/>
            <w:gridSpan w:val="3"/>
            <w:shd w:val="clear" w:color="auto" w:fill="E4E4E4"/>
          </w:tcPr>
          <w:p>
            <w:pPr>
              <w:ind w:left="540"/>
              <w:spacing w:after="0"/>
              <w:rPr>
                <w:sz w:val="20"/>
                <w:szCs w:val="20"/>
                <w:color w:val="auto"/>
              </w:rPr>
            </w:pPr>
            <w:r>
              <w:rPr>
                <w:rFonts w:ascii="Arial" w:cs="Arial" w:eastAsia="Arial" w:hAnsi="Arial"/>
                <w:sz w:val="20"/>
                <w:szCs w:val="20"/>
                <w:color w:val="auto"/>
              </w:rPr>
              <w:t>Share-based compensation</w:t>
            </w:r>
          </w:p>
        </w:tc>
        <w:tc>
          <w:tcPr>
            <w:tcW w:w="1720" w:type="dxa"/>
            <w:vAlign w:val="bottom"/>
            <w:shd w:val="clear" w:color="auto" w:fill="E4E4E4"/>
          </w:tcPr>
          <w:p>
            <w:pPr>
              <w:spacing w:after="0"/>
              <w:rPr>
                <w:sz w:val="24"/>
                <w:szCs w:val="24"/>
                <w:color w:val="auto"/>
              </w:rPr>
            </w:pP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214</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183</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160</w:t>
            </w:r>
          </w:p>
        </w:tc>
      </w:tr>
      <w:tr>
        <w:trPr>
          <w:trHeight w:val="280"/>
        </w:trPr>
        <w:tc>
          <w:tcPr>
            <w:tcW w:w="3400" w:type="dxa"/>
            <w:vAlign w:val="bottom"/>
            <w:tcBorders>
              <w:bottom w:val="single" w:sz="8" w:color="FEFEFE"/>
            </w:tcBorders>
            <w:gridSpan w:val="3"/>
            <w:shd w:val="clear" w:color="auto" w:fill="FEFEFE"/>
          </w:tcPr>
          <w:p>
            <w:pPr>
              <w:ind w:left="300"/>
              <w:spacing w:after="0"/>
              <w:rPr>
                <w:sz w:val="20"/>
                <w:szCs w:val="20"/>
                <w:color w:val="auto"/>
              </w:rPr>
            </w:pPr>
            <w:r>
              <w:rPr>
                <w:rFonts w:ascii="Arial" w:cs="Arial" w:eastAsia="Arial" w:hAnsi="Arial"/>
                <w:sz w:val="20"/>
                <w:szCs w:val="20"/>
                <w:color w:val="auto"/>
              </w:rPr>
              <w:t>Changes in assets and liabilities:</w:t>
            </w:r>
          </w:p>
        </w:tc>
        <w:tc>
          <w:tcPr>
            <w:tcW w:w="1720" w:type="dxa"/>
            <w:vAlign w:val="bottom"/>
            <w:tcBorders>
              <w:bottom w:val="single" w:sz="8" w:color="FEFEFE"/>
            </w:tcBorders>
            <w:shd w:val="clear" w:color="auto" w:fill="FEFEFE"/>
          </w:tcPr>
          <w:p>
            <w:pPr>
              <w:spacing w:after="0"/>
              <w:rPr>
                <w:sz w:val="24"/>
                <w:szCs w:val="24"/>
                <w:color w:val="auto"/>
              </w:rPr>
            </w:pPr>
          </w:p>
        </w:tc>
        <w:tc>
          <w:tcPr>
            <w:tcW w:w="1480" w:type="dxa"/>
            <w:vAlign w:val="bottom"/>
            <w:tcBorders>
              <w:bottom w:val="single" w:sz="8" w:color="FEFEFE"/>
            </w:tcBorders>
            <w:shd w:val="clear" w:color="auto" w:fill="FEFEFE"/>
          </w:tcPr>
          <w:p>
            <w:pPr>
              <w:spacing w:after="0"/>
              <w:rPr>
                <w:sz w:val="24"/>
                <w:szCs w:val="24"/>
                <w:color w:val="auto"/>
              </w:rPr>
            </w:pPr>
          </w:p>
        </w:tc>
        <w:tc>
          <w:tcPr>
            <w:tcW w:w="380" w:type="dxa"/>
            <w:vAlign w:val="bottom"/>
            <w:tcBorders>
              <w:bottom w:val="single" w:sz="8" w:color="FEFEFE"/>
            </w:tcBorders>
            <w:shd w:val="clear" w:color="auto" w:fill="FEFEFE"/>
          </w:tcPr>
          <w:p>
            <w:pPr>
              <w:spacing w:after="0"/>
              <w:rPr>
                <w:sz w:val="24"/>
                <w:szCs w:val="24"/>
                <w:color w:val="auto"/>
              </w:rPr>
            </w:pPr>
          </w:p>
        </w:tc>
        <w:tc>
          <w:tcPr>
            <w:tcW w:w="820" w:type="dxa"/>
            <w:vAlign w:val="bottom"/>
            <w:tcBorders>
              <w:bottom w:val="single" w:sz="8" w:color="FEFEFE"/>
            </w:tcBorders>
            <w:shd w:val="clear" w:color="auto" w:fill="FEFEFE"/>
          </w:tcPr>
          <w:p>
            <w:pPr>
              <w:spacing w:after="0"/>
              <w:rPr>
                <w:sz w:val="24"/>
                <w:szCs w:val="24"/>
                <w:color w:val="auto"/>
              </w:rPr>
            </w:pPr>
          </w:p>
        </w:tc>
        <w:tc>
          <w:tcPr>
            <w:tcW w:w="30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140" w:type="dxa"/>
            <w:vAlign w:val="bottom"/>
            <w:tcBorders>
              <w:bottom w:val="single" w:sz="8" w:color="FEFEFE"/>
            </w:tcBorders>
            <w:shd w:val="clear" w:color="auto" w:fill="FEFEFE"/>
          </w:tcPr>
          <w:p>
            <w:pPr>
              <w:spacing w:after="0"/>
              <w:rPr>
                <w:sz w:val="24"/>
                <w:szCs w:val="24"/>
                <w:color w:val="auto"/>
              </w:rPr>
            </w:pPr>
          </w:p>
        </w:tc>
        <w:tc>
          <w:tcPr>
            <w:tcW w:w="1060" w:type="dxa"/>
            <w:vAlign w:val="bottom"/>
            <w:tcBorders>
              <w:bottom w:val="single" w:sz="8" w:color="FEFEFE"/>
            </w:tcBorders>
            <w:shd w:val="clear" w:color="auto" w:fill="FEFEFE"/>
          </w:tcPr>
          <w:p>
            <w:pPr>
              <w:spacing w:after="0"/>
              <w:rPr>
                <w:sz w:val="24"/>
                <w:szCs w:val="24"/>
                <w:color w:val="auto"/>
              </w:rPr>
            </w:pPr>
          </w:p>
        </w:tc>
      </w:tr>
      <w:tr>
        <w:trPr>
          <w:trHeight w:val="300"/>
        </w:trPr>
        <w:tc>
          <w:tcPr>
            <w:tcW w:w="5120" w:type="dxa"/>
            <w:vAlign w:val="bottom"/>
            <w:gridSpan w:val="4"/>
            <w:shd w:val="clear" w:color="auto" w:fill="E4E4E4"/>
          </w:tcPr>
          <w:p>
            <w:pPr>
              <w:ind w:left="660"/>
              <w:spacing w:after="0"/>
              <w:rPr>
                <w:sz w:val="20"/>
                <w:szCs w:val="20"/>
                <w:color w:val="auto"/>
              </w:rPr>
            </w:pPr>
            <w:r>
              <w:rPr>
                <w:rFonts w:ascii="Arial" w:cs="Arial" w:eastAsia="Arial" w:hAnsi="Arial"/>
                <w:sz w:val="20"/>
                <w:szCs w:val="20"/>
                <w:color w:val="auto"/>
              </w:rPr>
              <w:t>(Increase) decrease in accounts receivable</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41</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37</w:t>
            </w:r>
          </w:p>
        </w:tc>
      </w:tr>
      <w:tr>
        <w:trPr>
          <w:trHeight w:val="293"/>
        </w:trPr>
        <w:tc>
          <w:tcPr>
            <w:tcW w:w="5120" w:type="dxa"/>
            <w:vAlign w:val="bottom"/>
            <w:gridSpan w:val="4"/>
            <w:shd w:val="clear" w:color="auto" w:fill="FEFEFE"/>
          </w:tcPr>
          <w:p>
            <w:pPr>
              <w:ind w:left="660"/>
              <w:spacing w:after="0"/>
              <w:rPr>
                <w:sz w:val="20"/>
                <w:szCs w:val="20"/>
                <w:color w:val="auto"/>
              </w:rPr>
            </w:pPr>
            <w:r>
              <w:rPr>
                <w:rFonts w:ascii="Arial" w:cs="Arial" w:eastAsia="Arial" w:hAnsi="Arial"/>
                <w:sz w:val="20"/>
                <w:szCs w:val="20"/>
                <w:color w:val="auto"/>
              </w:rPr>
              <w:t>(Increase) in merchandise inventories</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724</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(53 )</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(145)</w:t>
            </w:r>
          </w:p>
        </w:tc>
      </w:tr>
      <w:tr>
        <w:trPr>
          <w:trHeight w:val="307"/>
        </w:trPr>
        <w:tc>
          <w:tcPr>
            <w:tcW w:w="5120" w:type="dxa"/>
            <w:vAlign w:val="bottom"/>
            <w:gridSpan w:val="4"/>
            <w:shd w:val="clear" w:color="auto" w:fill="E4E4E4"/>
          </w:tcPr>
          <w:p>
            <w:pPr>
              <w:ind w:left="660"/>
              <w:spacing w:after="0"/>
              <w:rPr>
                <w:sz w:val="20"/>
                <w:szCs w:val="20"/>
                <w:color w:val="auto"/>
              </w:rPr>
            </w:pPr>
            <w:r>
              <w:rPr>
                <w:rFonts w:ascii="Arial" w:cs="Arial" w:eastAsia="Arial" w:hAnsi="Arial"/>
                <w:sz w:val="20"/>
                <w:szCs w:val="20"/>
                <w:color w:val="auto"/>
              </w:rPr>
              <w:t>Decrease (increase) in income taxes recoverable</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61</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w:t>
            </w:r>
          </w:p>
        </w:tc>
      </w:tr>
      <w:tr>
        <w:trPr>
          <w:trHeight w:val="294"/>
        </w:trPr>
        <w:tc>
          <w:tcPr>
            <w:tcW w:w="5120" w:type="dxa"/>
            <w:vAlign w:val="bottom"/>
            <w:gridSpan w:val="4"/>
            <w:shd w:val="clear" w:color="auto" w:fill="FEFEFE"/>
          </w:tcPr>
          <w:p>
            <w:pPr>
              <w:ind w:left="660"/>
              <w:spacing w:after="0"/>
              <w:rPr>
                <w:sz w:val="20"/>
                <w:szCs w:val="20"/>
                <w:color w:val="auto"/>
              </w:rPr>
            </w:pPr>
            <w:r>
              <w:rPr>
                <w:rFonts w:ascii="Arial" w:cs="Arial" w:eastAsia="Arial" w:hAnsi="Arial"/>
                <w:sz w:val="20"/>
                <w:szCs w:val="20"/>
                <w:color w:val="auto"/>
                <w:w w:val="92"/>
              </w:rPr>
              <w:t>Increase in prepaid expenses and other current assets</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468</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(31)</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(40)</w:t>
            </w:r>
          </w:p>
        </w:tc>
      </w:tr>
      <w:tr>
        <w:trPr>
          <w:trHeight w:val="306"/>
        </w:trPr>
        <w:tc>
          <w:tcPr>
            <w:tcW w:w="3400" w:type="dxa"/>
            <w:vAlign w:val="bottom"/>
            <w:gridSpan w:val="3"/>
            <w:shd w:val="clear" w:color="auto" w:fill="E4E4E4"/>
          </w:tcPr>
          <w:p>
            <w:pPr>
              <w:ind w:left="660"/>
              <w:spacing w:after="0"/>
              <w:rPr>
                <w:sz w:val="20"/>
                <w:szCs w:val="20"/>
                <w:color w:val="auto"/>
              </w:rPr>
            </w:pPr>
            <w:r>
              <w:rPr>
                <w:rFonts w:ascii="Arial" w:cs="Arial" w:eastAsia="Arial" w:hAnsi="Arial"/>
                <w:sz w:val="20"/>
                <w:szCs w:val="20"/>
                <w:color w:val="auto"/>
              </w:rPr>
              <w:t>Increase in accounts payable</w:t>
            </w:r>
          </w:p>
        </w:tc>
        <w:tc>
          <w:tcPr>
            <w:tcW w:w="1720" w:type="dxa"/>
            <w:vAlign w:val="bottom"/>
            <w:shd w:val="clear" w:color="auto" w:fill="E4E4E4"/>
          </w:tcPr>
          <w:p>
            <w:pPr>
              <w:spacing w:after="0"/>
              <w:rPr>
                <w:sz w:val="24"/>
                <w:szCs w:val="24"/>
                <w:color w:val="auto"/>
              </w:rPr>
            </w:pP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239</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448</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64</w:t>
            </w:r>
          </w:p>
        </w:tc>
      </w:tr>
      <w:tr>
        <w:trPr>
          <w:trHeight w:val="293"/>
        </w:trPr>
        <w:tc>
          <w:tcPr>
            <w:tcW w:w="5120" w:type="dxa"/>
            <w:vAlign w:val="bottom"/>
            <w:gridSpan w:val="4"/>
            <w:shd w:val="clear" w:color="auto" w:fill="FEFEFE"/>
          </w:tcPr>
          <w:p>
            <w:pPr>
              <w:ind w:left="660"/>
              <w:spacing w:after="0"/>
              <w:rPr>
                <w:sz w:val="20"/>
                <w:szCs w:val="20"/>
                <w:color w:val="auto"/>
              </w:rPr>
            </w:pPr>
            <w:r>
              <w:rPr>
                <w:rFonts w:ascii="Arial" w:cs="Arial" w:eastAsia="Arial" w:hAnsi="Arial"/>
                <w:sz w:val="20"/>
                <w:szCs w:val="20"/>
                <w:color w:val="auto"/>
              </w:rPr>
              <w:t>Increase in accrued expenses and other liabilities</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628</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228</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443</w:t>
            </w:r>
          </w:p>
        </w:tc>
      </w:tr>
      <w:tr>
        <w:trPr>
          <w:trHeight w:val="307"/>
        </w:trPr>
        <w:tc>
          <w:tcPr>
            <w:tcW w:w="5120" w:type="dxa"/>
            <w:vAlign w:val="bottom"/>
            <w:gridSpan w:val="4"/>
            <w:shd w:val="clear" w:color="auto" w:fill="E4E4E4"/>
          </w:tcPr>
          <w:p>
            <w:pPr>
              <w:ind w:left="660"/>
              <w:spacing w:after="0"/>
              <w:rPr>
                <w:sz w:val="20"/>
                <w:szCs w:val="20"/>
                <w:color w:val="auto"/>
              </w:rPr>
            </w:pPr>
            <w:r>
              <w:rPr>
                <w:rFonts w:ascii="Arial" w:cs="Arial" w:eastAsia="Arial" w:hAnsi="Arial"/>
                <w:sz w:val="20"/>
                <w:szCs w:val="20"/>
                <w:color w:val="auto"/>
              </w:rPr>
              <w:t>Increase (decrease) in income taxes payable</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174</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(31)</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46</w:t>
            </w:r>
          </w:p>
        </w:tc>
      </w:tr>
      <w:tr>
        <w:trPr>
          <w:trHeight w:val="293"/>
        </w:trPr>
        <w:tc>
          <w:tcPr>
            <w:tcW w:w="5120" w:type="dxa"/>
            <w:vAlign w:val="bottom"/>
            <w:gridSpan w:val="4"/>
            <w:shd w:val="clear" w:color="auto" w:fill="FEFEFE"/>
          </w:tcPr>
          <w:p>
            <w:pPr>
              <w:ind w:left="660"/>
              <w:spacing w:after="0"/>
              <w:rPr>
                <w:sz w:val="20"/>
                <w:szCs w:val="20"/>
                <w:color w:val="auto"/>
              </w:rPr>
            </w:pPr>
            <w:r>
              <w:rPr>
                <w:rFonts w:ascii="Arial" w:cs="Arial" w:eastAsia="Arial" w:hAnsi="Arial"/>
                <w:sz w:val="20"/>
                <w:szCs w:val="20"/>
                <w:color w:val="auto"/>
                <w:w w:val="97"/>
              </w:rPr>
              <w:t>Increase (decrease) in net operating lease liabilities</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w:t>
            </w:r>
          </w:p>
        </w:tc>
      </w:tr>
      <w:tr>
        <w:trPr>
          <w:trHeight w:val="282"/>
        </w:trPr>
        <w:tc>
          <w:tcPr>
            <w:tcW w:w="1420" w:type="dxa"/>
            <w:vAlign w:val="bottom"/>
            <w:tcBorders>
              <w:bottom w:val="single" w:sz="8" w:color="auto"/>
            </w:tcBorders>
            <w:shd w:val="clear" w:color="auto" w:fill="E4E4E4"/>
          </w:tcPr>
          <w:p>
            <w:pPr>
              <w:ind w:left="440"/>
              <w:spacing w:after="0"/>
              <w:rPr>
                <w:sz w:val="20"/>
                <w:szCs w:val="20"/>
                <w:color w:val="auto"/>
              </w:rPr>
            </w:pPr>
            <w:r>
              <w:rPr>
                <w:rFonts w:ascii="Arial" w:cs="Arial" w:eastAsia="Arial" w:hAnsi="Arial"/>
                <w:sz w:val="20"/>
                <w:szCs w:val="20"/>
                <w:color w:val="auto"/>
              </w:rPr>
              <w:t>ther, net</w:t>
            </w:r>
          </w:p>
        </w:tc>
        <w:tc>
          <w:tcPr>
            <w:tcW w:w="320" w:type="dxa"/>
            <w:vAlign w:val="bottom"/>
            <w:tcBorders>
              <w:bottom w:val="single" w:sz="8" w:color="auto"/>
            </w:tcBorders>
            <w:shd w:val="clear" w:color="auto" w:fill="E4E4E4"/>
          </w:tcPr>
          <w:p>
            <w:pPr>
              <w:spacing w:after="0"/>
              <w:rPr>
                <w:sz w:val="24"/>
                <w:szCs w:val="24"/>
                <w:color w:val="auto"/>
              </w:rPr>
            </w:pPr>
          </w:p>
        </w:tc>
        <w:tc>
          <w:tcPr>
            <w:tcW w:w="1660" w:type="dxa"/>
            <w:vAlign w:val="bottom"/>
            <w:tcBorders>
              <w:bottom w:val="single" w:sz="8" w:color="auto"/>
            </w:tcBorders>
            <w:shd w:val="clear" w:color="auto" w:fill="E4E4E4"/>
          </w:tcPr>
          <w:p>
            <w:pPr>
              <w:spacing w:after="0"/>
              <w:rPr>
                <w:sz w:val="24"/>
                <w:szCs w:val="24"/>
                <w:color w:val="auto"/>
              </w:rPr>
            </w:pPr>
          </w:p>
        </w:tc>
        <w:tc>
          <w:tcPr>
            <w:tcW w:w="1720" w:type="dxa"/>
            <w:vAlign w:val="bottom"/>
            <w:tcBorders>
              <w:bottom w:val="single" w:sz="8" w:color="auto"/>
            </w:tcBorders>
            <w:shd w:val="clear" w:color="auto" w:fill="E4E4E4"/>
          </w:tcPr>
          <w:p>
            <w:pPr>
              <w:spacing w:after="0"/>
              <w:rPr>
                <w:sz w:val="24"/>
                <w:szCs w:val="24"/>
                <w:color w:val="auto"/>
              </w:rPr>
            </w:pPr>
          </w:p>
        </w:tc>
        <w:tc>
          <w:tcPr>
            <w:tcW w:w="1480" w:type="dxa"/>
            <w:vAlign w:val="bottom"/>
            <w:tcBorders>
              <w:bottom w:val="single" w:sz="8" w:color="auto"/>
            </w:tcBorders>
            <w:shd w:val="clear" w:color="auto" w:fill="E4E4E4"/>
          </w:tcPr>
          <w:p>
            <w:pPr>
              <w:spacing w:after="0"/>
              <w:rPr>
                <w:sz w:val="24"/>
                <w:szCs w:val="24"/>
                <w:color w:val="auto"/>
              </w:rPr>
            </w:pPr>
          </w:p>
        </w:tc>
        <w:tc>
          <w:tcPr>
            <w:tcW w:w="38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87</w:t>
            </w:r>
          </w:p>
        </w:tc>
        <w:tc>
          <w:tcPr>
            <w:tcW w:w="3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(100)</w:t>
            </w:r>
          </w:p>
        </w:tc>
        <w:tc>
          <w:tcPr>
            <w:tcW w:w="140" w:type="dxa"/>
            <w:vAlign w:val="bottom"/>
            <w:tcBorders>
              <w:bottom w:val="single" w:sz="8" w:color="auto"/>
            </w:tcBorders>
            <w:shd w:val="clear" w:color="auto" w:fill="E4E4E4"/>
          </w:tcPr>
          <w:p>
            <w:pPr>
              <w:spacing w:after="0"/>
              <w:rPr>
                <w:sz w:val="24"/>
                <w:szCs w:val="24"/>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(42)</w:t>
            </w:r>
          </w:p>
        </w:tc>
      </w:tr>
      <w:tr>
        <w:trPr>
          <w:trHeight w:val="265"/>
        </w:trPr>
        <w:tc>
          <w:tcPr>
            <w:tcW w:w="1740" w:type="dxa"/>
            <w:vAlign w:val="bottom"/>
            <w:tcBorders>
              <w:bottom w:val="single" w:sz="8" w:color="auto"/>
            </w:tcBorders>
            <w:gridSpan w:val="2"/>
            <w:shd w:val="clear" w:color="auto" w:fill="FEFEFE"/>
          </w:tcPr>
          <w:p>
            <w:pPr>
              <w:ind w:left="620"/>
              <w:spacing w:after="0"/>
              <w:rPr>
                <w:sz w:val="20"/>
                <w:szCs w:val="20"/>
                <w:color w:val="auto"/>
              </w:rPr>
            </w:pPr>
            <w:r>
              <w:rPr>
                <w:rFonts w:ascii="Arial" w:cs="Arial" w:eastAsia="Arial" w:hAnsi="Arial"/>
                <w:sz w:val="20"/>
                <w:szCs w:val="20"/>
                <w:color w:val="auto"/>
                <w:w w:val="96"/>
              </w:rPr>
              <w:t>Net cash pro</w:t>
            </w:r>
          </w:p>
        </w:tc>
        <w:tc>
          <w:tcPr>
            <w:tcW w:w="3380" w:type="dxa"/>
            <w:vAlign w:val="bottom"/>
            <w:tcBorders>
              <w:bottom w:val="single" w:sz="8" w:color="auto"/>
            </w:tcBorders>
            <w:gridSpan w:val="2"/>
            <w:shd w:val="clear" w:color="auto" w:fill="FEFEFE"/>
          </w:tcPr>
          <w:p>
            <w:pPr>
              <w:jc w:val="right"/>
              <w:ind w:right="920"/>
              <w:spacing w:after="0"/>
              <w:rPr>
                <w:sz w:val="20"/>
                <w:szCs w:val="20"/>
                <w:color w:val="auto"/>
              </w:rPr>
            </w:pPr>
            <w:r>
              <w:rPr>
                <w:rFonts w:ascii="Arial" w:cs="Arial" w:eastAsia="Arial" w:hAnsi="Arial"/>
                <w:sz w:val="20"/>
                <w:szCs w:val="20"/>
                <w:color w:val="auto"/>
              </w:rPr>
              <w:t>ided by operating acti ities</w:t>
            </w:r>
          </w:p>
        </w:tc>
        <w:tc>
          <w:tcPr>
            <w:tcW w:w="1480" w:type="dxa"/>
            <w:vAlign w:val="bottom"/>
            <w:tcBorders>
              <w:bottom w:val="single" w:sz="8" w:color="auto"/>
            </w:tcBorders>
            <w:shd w:val="clear" w:color="auto" w:fill="FEFEFE"/>
          </w:tcPr>
          <w:p>
            <w:pPr>
              <w:spacing w:after="0"/>
              <w:rPr>
                <w:sz w:val="23"/>
                <w:szCs w:val="23"/>
                <w:color w:val="auto"/>
              </w:rPr>
            </w:pPr>
          </w:p>
        </w:tc>
        <w:tc>
          <w:tcPr>
            <w:tcW w:w="380" w:type="dxa"/>
            <w:vAlign w:val="bottom"/>
            <w:tcBorders>
              <w:bottom w:val="single" w:sz="8" w:color="auto"/>
            </w:tcBorders>
            <w:shd w:val="clear" w:color="auto" w:fill="FEFEFE"/>
          </w:tcPr>
          <w:p>
            <w:pPr>
              <w:spacing w:after="0"/>
              <w:rPr>
                <w:sz w:val="23"/>
                <w:szCs w:val="23"/>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6,874</w:t>
            </w:r>
          </w:p>
        </w:tc>
        <w:tc>
          <w:tcPr>
            <w:tcW w:w="300" w:type="dxa"/>
            <w:vAlign w:val="bottom"/>
            <w:tcBorders>
              <w:bottom w:val="single" w:sz="8" w:color="auto"/>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6,116</w:t>
            </w:r>
          </w:p>
        </w:tc>
        <w:tc>
          <w:tcPr>
            <w:tcW w:w="140" w:type="dxa"/>
            <w:vAlign w:val="bottom"/>
            <w:tcBorders>
              <w:bottom w:val="single" w:sz="8" w:color="auto"/>
            </w:tcBorders>
            <w:shd w:val="clear" w:color="auto" w:fill="FEFEFE"/>
          </w:tcPr>
          <w:p>
            <w:pPr>
              <w:spacing w:after="0"/>
              <w:rPr>
                <w:sz w:val="23"/>
                <w:szCs w:val="23"/>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6,057</w:t>
            </w:r>
          </w:p>
        </w:tc>
      </w:tr>
      <w:tr>
        <w:trPr>
          <w:trHeight w:val="275"/>
        </w:trPr>
        <w:tc>
          <w:tcPr>
            <w:tcW w:w="174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Cash flows from in</w:t>
            </w:r>
          </w:p>
        </w:tc>
        <w:tc>
          <w:tcPr>
            <w:tcW w:w="1660" w:type="dxa"/>
            <w:vAlign w:val="bottom"/>
            <w:shd w:val="clear" w:color="auto" w:fill="E4E4E4"/>
          </w:tcPr>
          <w:p>
            <w:pPr>
              <w:jc w:val="center"/>
              <w:ind w:right="220"/>
              <w:spacing w:after="0"/>
              <w:rPr>
                <w:sz w:val="20"/>
                <w:szCs w:val="20"/>
                <w:color w:val="auto"/>
              </w:rPr>
            </w:pPr>
            <w:r>
              <w:rPr>
                <w:rFonts w:ascii="Arial" w:cs="Arial" w:eastAsia="Arial" w:hAnsi="Arial"/>
                <w:sz w:val="20"/>
                <w:szCs w:val="20"/>
                <w:color w:val="auto"/>
                <w:w w:val="99"/>
              </w:rPr>
              <w:t>esting acti ities</w:t>
            </w:r>
          </w:p>
        </w:tc>
        <w:tc>
          <w:tcPr>
            <w:tcW w:w="1720" w:type="dxa"/>
            <w:vAlign w:val="bottom"/>
            <w:shd w:val="clear" w:color="auto" w:fill="E4E4E4"/>
          </w:tcPr>
          <w:p>
            <w:pPr>
              <w:spacing w:after="0"/>
              <w:rPr>
                <w:sz w:val="23"/>
                <w:szCs w:val="23"/>
                <w:color w:val="auto"/>
              </w:rPr>
            </w:pPr>
          </w:p>
        </w:tc>
        <w:tc>
          <w:tcPr>
            <w:tcW w:w="1480" w:type="dxa"/>
            <w:vAlign w:val="bottom"/>
            <w:shd w:val="clear" w:color="auto" w:fill="E4E4E4"/>
          </w:tcPr>
          <w:p>
            <w:pPr>
              <w:spacing w:after="0"/>
              <w:rPr>
                <w:sz w:val="23"/>
                <w:szCs w:val="23"/>
                <w:color w:val="auto"/>
              </w:rPr>
            </w:pPr>
          </w:p>
        </w:tc>
        <w:tc>
          <w:tcPr>
            <w:tcW w:w="380" w:type="dxa"/>
            <w:vAlign w:val="bottom"/>
            <w:shd w:val="clear" w:color="auto" w:fill="E4E4E4"/>
          </w:tcPr>
          <w:p>
            <w:pPr>
              <w:spacing w:after="0"/>
              <w:rPr>
                <w:sz w:val="23"/>
                <w:szCs w:val="23"/>
                <w:color w:val="auto"/>
              </w:rPr>
            </w:pPr>
          </w:p>
        </w:tc>
        <w:tc>
          <w:tcPr>
            <w:tcW w:w="820" w:type="dxa"/>
            <w:vAlign w:val="bottom"/>
            <w:shd w:val="clear" w:color="auto" w:fill="E4E4E4"/>
          </w:tcPr>
          <w:p>
            <w:pPr>
              <w:spacing w:after="0"/>
              <w:rPr>
                <w:sz w:val="23"/>
                <w:szCs w:val="23"/>
                <w:color w:val="auto"/>
              </w:rPr>
            </w:pPr>
          </w:p>
        </w:tc>
        <w:tc>
          <w:tcPr>
            <w:tcW w:w="30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140" w:type="dxa"/>
            <w:vAlign w:val="bottom"/>
            <w:shd w:val="clear" w:color="auto" w:fill="E4E4E4"/>
          </w:tcPr>
          <w:p>
            <w:pPr>
              <w:spacing w:after="0"/>
              <w:rPr>
                <w:sz w:val="23"/>
                <w:szCs w:val="23"/>
                <w:color w:val="auto"/>
              </w:rPr>
            </w:pPr>
          </w:p>
        </w:tc>
        <w:tc>
          <w:tcPr>
            <w:tcW w:w="1060" w:type="dxa"/>
            <w:vAlign w:val="bottom"/>
            <w:shd w:val="clear" w:color="auto" w:fill="E4E4E4"/>
          </w:tcPr>
          <w:p>
            <w:pPr>
              <w:spacing w:after="0"/>
              <w:rPr>
                <w:sz w:val="23"/>
                <w:szCs w:val="23"/>
                <w:color w:val="auto"/>
              </w:rPr>
            </w:pPr>
          </w:p>
        </w:tc>
      </w:tr>
      <w:tr>
        <w:trPr>
          <w:trHeight w:val="293"/>
        </w:trPr>
        <w:tc>
          <w:tcPr>
            <w:tcW w:w="174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w w:val="90"/>
              </w:rPr>
              <w:t>Property additions</w:t>
            </w:r>
          </w:p>
        </w:tc>
        <w:tc>
          <w:tcPr>
            <w:tcW w:w="1660" w:type="dxa"/>
            <w:vAlign w:val="bottom"/>
            <w:shd w:val="clear" w:color="auto" w:fill="FEFEFE"/>
          </w:tcPr>
          <w:p>
            <w:pPr>
              <w:spacing w:after="0"/>
              <w:rPr>
                <w:sz w:val="24"/>
                <w:szCs w:val="24"/>
                <w:color w:val="auto"/>
              </w:rPr>
            </w:pPr>
          </w:p>
        </w:tc>
        <w:tc>
          <w:tcPr>
            <w:tcW w:w="1720" w:type="dxa"/>
            <w:vAlign w:val="bottom"/>
            <w:shd w:val="clear" w:color="auto" w:fill="FEFEFE"/>
          </w:tcPr>
          <w:p>
            <w:pPr>
              <w:spacing w:after="0"/>
              <w:rPr>
                <w:sz w:val="24"/>
                <w:szCs w:val="24"/>
                <w:color w:val="auto"/>
              </w:rPr>
            </w:pP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1,957</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(1, 18)</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(1,722)</w:t>
            </w:r>
          </w:p>
        </w:tc>
      </w:tr>
      <w:tr>
        <w:trPr>
          <w:trHeight w:val="306"/>
        </w:trPr>
        <w:tc>
          <w:tcPr>
            <w:tcW w:w="142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2"/>
              </w:rPr>
              <w:t>Purchase of e</w:t>
            </w:r>
          </w:p>
        </w:tc>
        <w:tc>
          <w:tcPr>
            <w:tcW w:w="1980" w:type="dxa"/>
            <w:vAlign w:val="bottom"/>
            <w:gridSpan w:val="2"/>
            <w:shd w:val="clear" w:color="auto" w:fill="E4E4E4"/>
          </w:tcPr>
          <w:p>
            <w:pPr>
              <w:ind w:left="20"/>
              <w:spacing w:after="0"/>
              <w:rPr>
                <w:sz w:val="20"/>
                <w:szCs w:val="20"/>
                <w:color w:val="auto"/>
              </w:rPr>
            </w:pPr>
            <w:r>
              <w:rPr>
                <w:rFonts w:ascii="Arial" w:cs="Arial" w:eastAsia="Arial" w:hAnsi="Arial"/>
                <w:sz w:val="20"/>
                <w:szCs w:val="20"/>
                <w:color w:val="auto"/>
              </w:rPr>
              <w:t>uity investments</w:t>
            </w:r>
          </w:p>
        </w:tc>
        <w:tc>
          <w:tcPr>
            <w:tcW w:w="1720" w:type="dxa"/>
            <w:vAlign w:val="bottom"/>
            <w:shd w:val="clear" w:color="auto" w:fill="E4E4E4"/>
          </w:tcPr>
          <w:p>
            <w:pPr>
              <w:spacing w:after="0"/>
              <w:rPr>
                <w:sz w:val="24"/>
                <w:szCs w:val="24"/>
                <w:color w:val="auto"/>
              </w:rPr>
            </w:pP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(551)</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spacing w:after="0"/>
              <w:rPr>
                <w:sz w:val="24"/>
                <w:szCs w:val="24"/>
                <w:color w:val="auto"/>
              </w:rPr>
            </w:pPr>
          </w:p>
        </w:tc>
      </w:tr>
      <w:tr>
        <w:trPr>
          <w:trHeight w:val="294"/>
        </w:trPr>
        <w:tc>
          <w:tcPr>
            <w:tcW w:w="3400" w:type="dxa"/>
            <w:vAlign w:val="bottom"/>
            <w:gridSpan w:val="3"/>
            <w:shd w:val="clear" w:color="auto" w:fill="FEFEFE"/>
          </w:tcPr>
          <w:p>
            <w:pPr>
              <w:ind w:left="260"/>
              <w:spacing w:after="0"/>
              <w:rPr>
                <w:sz w:val="20"/>
                <w:szCs w:val="20"/>
                <w:color w:val="auto"/>
              </w:rPr>
            </w:pPr>
            <w:r>
              <w:rPr>
                <w:rFonts w:ascii="Arial" w:cs="Arial" w:eastAsia="Arial" w:hAnsi="Arial"/>
                <w:sz w:val="20"/>
                <w:szCs w:val="20"/>
                <w:color w:val="auto"/>
              </w:rPr>
              <w:t>Purchases of investments</w:t>
            </w:r>
          </w:p>
        </w:tc>
        <w:tc>
          <w:tcPr>
            <w:tcW w:w="1720" w:type="dxa"/>
            <w:vAlign w:val="bottom"/>
            <w:shd w:val="clear" w:color="auto" w:fill="FEFEFE"/>
          </w:tcPr>
          <w:p>
            <w:pPr>
              <w:spacing w:after="0"/>
              <w:rPr>
                <w:sz w:val="24"/>
                <w:szCs w:val="24"/>
                <w:color w:val="auto"/>
              </w:rPr>
            </w:pP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38</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r>
      <w:tr>
        <w:trPr>
          <w:trHeight w:val="296"/>
        </w:trPr>
        <w:tc>
          <w:tcPr>
            <w:tcW w:w="3400" w:type="dxa"/>
            <w:vAlign w:val="bottom"/>
            <w:tcBorders>
              <w:bottom w:val="single" w:sz="8" w:color="auto"/>
            </w:tcBorders>
            <w:gridSpan w:val="3"/>
            <w:shd w:val="clear" w:color="auto" w:fill="E4E4E4"/>
          </w:tcPr>
          <w:p>
            <w:pPr>
              <w:ind w:left="260"/>
              <w:spacing w:after="0"/>
              <w:rPr>
                <w:sz w:val="20"/>
                <w:szCs w:val="20"/>
                <w:color w:val="auto"/>
              </w:rPr>
            </w:pPr>
            <w:r>
              <w:rPr>
                <w:rFonts w:ascii="Arial" w:cs="Arial" w:eastAsia="Arial" w:hAnsi="Arial"/>
                <w:sz w:val="20"/>
                <w:szCs w:val="20"/>
                <w:color w:val="auto"/>
                <w:w w:val="98"/>
              </w:rPr>
              <w:t>Sales and maturities of investments</w:t>
            </w:r>
          </w:p>
        </w:tc>
        <w:tc>
          <w:tcPr>
            <w:tcW w:w="1720" w:type="dxa"/>
            <w:vAlign w:val="bottom"/>
            <w:tcBorders>
              <w:bottom w:val="single" w:sz="8" w:color="auto"/>
            </w:tcBorders>
            <w:shd w:val="clear" w:color="auto" w:fill="E4E4E4"/>
          </w:tcPr>
          <w:p>
            <w:pPr>
              <w:spacing w:after="0"/>
              <w:rPr>
                <w:sz w:val="24"/>
                <w:szCs w:val="24"/>
                <w:color w:val="auto"/>
              </w:rPr>
            </w:pPr>
          </w:p>
        </w:tc>
        <w:tc>
          <w:tcPr>
            <w:tcW w:w="1480" w:type="dxa"/>
            <w:vAlign w:val="bottom"/>
            <w:tcBorders>
              <w:bottom w:val="single" w:sz="8" w:color="auto"/>
            </w:tcBorders>
            <w:shd w:val="clear" w:color="auto" w:fill="E4E4E4"/>
          </w:tcPr>
          <w:p>
            <w:pPr>
              <w:spacing w:after="0"/>
              <w:rPr>
                <w:sz w:val="24"/>
                <w:szCs w:val="24"/>
                <w:color w:val="auto"/>
              </w:rPr>
            </w:pPr>
          </w:p>
        </w:tc>
        <w:tc>
          <w:tcPr>
            <w:tcW w:w="38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26</w:t>
            </w:r>
          </w:p>
        </w:tc>
        <w:tc>
          <w:tcPr>
            <w:tcW w:w="3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27</w:t>
            </w:r>
          </w:p>
        </w:tc>
        <w:tc>
          <w:tcPr>
            <w:tcW w:w="140" w:type="dxa"/>
            <w:vAlign w:val="bottom"/>
            <w:tcBorders>
              <w:bottom w:val="single" w:sz="8" w:color="auto"/>
            </w:tcBorders>
            <w:shd w:val="clear" w:color="auto" w:fill="E4E4E4"/>
          </w:tcPr>
          <w:p>
            <w:pPr>
              <w:spacing w:after="0"/>
              <w:rPr>
                <w:sz w:val="24"/>
                <w:szCs w:val="24"/>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33</w:t>
            </w:r>
          </w:p>
        </w:tc>
      </w:tr>
      <w:tr>
        <w:trPr>
          <w:trHeight w:val="265"/>
        </w:trPr>
        <w:tc>
          <w:tcPr>
            <w:tcW w:w="1420" w:type="dxa"/>
            <w:vAlign w:val="bottom"/>
            <w:tcBorders>
              <w:bottom w:val="single" w:sz="8" w:color="auto"/>
            </w:tcBorders>
            <w:shd w:val="clear" w:color="auto" w:fill="FEFEFE"/>
          </w:tcPr>
          <w:p>
            <w:pPr>
              <w:ind w:left="620"/>
              <w:spacing w:after="0"/>
              <w:rPr>
                <w:sz w:val="20"/>
                <w:szCs w:val="20"/>
                <w:color w:val="auto"/>
              </w:rPr>
            </w:pPr>
            <w:r>
              <w:rPr>
                <w:rFonts w:ascii="Arial" w:cs="Arial" w:eastAsia="Arial" w:hAnsi="Arial"/>
                <w:sz w:val="20"/>
                <w:szCs w:val="20"/>
                <w:color w:val="auto"/>
                <w:w w:val="98"/>
              </w:rPr>
              <w:t>Net cash</w:t>
            </w:r>
          </w:p>
        </w:tc>
        <w:tc>
          <w:tcPr>
            <w:tcW w:w="1980" w:type="dxa"/>
            <w:vAlign w:val="bottom"/>
            <w:tcBorders>
              <w:bottom w:val="single" w:sz="8" w:color="auto"/>
            </w:tcBorders>
            <w:gridSpan w:val="2"/>
            <w:shd w:val="clear" w:color="auto" w:fill="FEFEFE"/>
          </w:tcPr>
          <w:p>
            <w:pPr>
              <w:jc w:val="center"/>
              <w:spacing w:after="0"/>
              <w:rPr>
                <w:sz w:val="20"/>
                <w:szCs w:val="20"/>
                <w:color w:val="auto"/>
              </w:rPr>
            </w:pPr>
            <w:r>
              <w:rPr>
                <w:rFonts w:ascii="Arial" w:cs="Arial" w:eastAsia="Arial" w:hAnsi="Arial"/>
                <w:sz w:val="20"/>
                <w:szCs w:val="20"/>
                <w:color w:val="auto"/>
              </w:rPr>
              <w:t>used in in esting acti</w:t>
            </w:r>
          </w:p>
        </w:tc>
        <w:tc>
          <w:tcPr>
            <w:tcW w:w="1720" w:type="dxa"/>
            <w:vAlign w:val="bottom"/>
            <w:tcBorders>
              <w:bottom w:val="single" w:sz="8" w:color="auto"/>
            </w:tcBorders>
            <w:shd w:val="clear" w:color="auto" w:fill="FEFEFE"/>
          </w:tcPr>
          <w:p>
            <w:pPr>
              <w:jc w:val="right"/>
              <w:ind w:right="1260"/>
              <w:spacing w:after="0"/>
              <w:rPr>
                <w:sz w:val="20"/>
                <w:szCs w:val="20"/>
                <w:color w:val="auto"/>
              </w:rPr>
            </w:pPr>
            <w:r>
              <w:rPr>
                <w:rFonts w:ascii="Arial" w:cs="Arial" w:eastAsia="Arial" w:hAnsi="Arial"/>
                <w:sz w:val="20"/>
                <w:szCs w:val="20"/>
                <w:color w:val="auto"/>
                <w:w w:val="95"/>
              </w:rPr>
              <w:t>ities</w:t>
            </w:r>
          </w:p>
        </w:tc>
        <w:tc>
          <w:tcPr>
            <w:tcW w:w="1480" w:type="dxa"/>
            <w:vAlign w:val="bottom"/>
            <w:tcBorders>
              <w:bottom w:val="single" w:sz="8" w:color="auto"/>
            </w:tcBorders>
            <w:shd w:val="clear" w:color="auto" w:fill="FEFEFE"/>
          </w:tcPr>
          <w:p>
            <w:pPr>
              <w:spacing w:after="0"/>
              <w:rPr>
                <w:sz w:val="23"/>
                <w:szCs w:val="23"/>
                <w:color w:val="auto"/>
              </w:rPr>
            </w:pPr>
          </w:p>
        </w:tc>
        <w:tc>
          <w:tcPr>
            <w:tcW w:w="380" w:type="dxa"/>
            <w:vAlign w:val="bottom"/>
            <w:tcBorders>
              <w:bottom w:val="single" w:sz="8" w:color="auto"/>
            </w:tcBorders>
            <w:shd w:val="clear" w:color="auto" w:fill="FEFEFE"/>
          </w:tcPr>
          <w:p>
            <w:pPr>
              <w:spacing w:after="0"/>
              <w:rPr>
                <w:sz w:val="23"/>
                <w:szCs w:val="23"/>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1,981</w:t>
            </w:r>
          </w:p>
        </w:tc>
        <w:tc>
          <w:tcPr>
            <w:tcW w:w="300" w:type="dxa"/>
            <w:vAlign w:val="bottom"/>
            <w:tcBorders>
              <w:bottom w:val="single" w:sz="8" w:color="auto"/>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2,477</w:t>
            </w:r>
          </w:p>
        </w:tc>
        <w:tc>
          <w:tcPr>
            <w:tcW w:w="140" w:type="dxa"/>
            <w:vAlign w:val="bottom"/>
            <w:tcBorders>
              <w:bottom w:val="single" w:sz="8" w:color="auto"/>
            </w:tcBorders>
            <w:shd w:val="clear" w:color="auto" w:fill="FEFEFE"/>
          </w:tcPr>
          <w:p>
            <w:pPr>
              <w:spacing w:after="0"/>
              <w:rPr>
                <w:sz w:val="23"/>
                <w:szCs w:val="23"/>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1,717</w:t>
            </w:r>
          </w:p>
        </w:tc>
      </w:tr>
      <w:tr>
        <w:trPr>
          <w:trHeight w:val="275"/>
        </w:trPr>
        <w:tc>
          <w:tcPr>
            <w:tcW w:w="340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rPr>
              <w:t>Cash flows from financing acti ities</w:t>
            </w:r>
          </w:p>
        </w:tc>
        <w:tc>
          <w:tcPr>
            <w:tcW w:w="1720" w:type="dxa"/>
            <w:vAlign w:val="bottom"/>
            <w:shd w:val="clear" w:color="auto" w:fill="E4E4E4"/>
          </w:tcPr>
          <w:p>
            <w:pPr>
              <w:spacing w:after="0"/>
              <w:rPr>
                <w:sz w:val="23"/>
                <w:szCs w:val="23"/>
                <w:color w:val="auto"/>
              </w:rPr>
            </w:pPr>
          </w:p>
        </w:tc>
        <w:tc>
          <w:tcPr>
            <w:tcW w:w="1480" w:type="dxa"/>
            <w:vAlign w:val="bottom"/>
            <w:shd w:val="clear" w:color="auto" w:fill="E4E4E4"/>
          </w:tcPr>
          <w:p>
            <w:pPr>
              <w:spacing w:after="0"/>
              <w:rPr>
                <w:sz w:val="23"/>
                <w:szCs w:val="23"/>
                <w:color w:val="auto"/>
              </w:rPr>
            </w:pPr>
          </w:p>
        </w:tc>
        <w:tc>
          <w:tcPr>
            <w:tcW w:w="380" w:type="dxa"/>
            <w:vAlign w:val="bottom"/>
            <w:shd w:val="clear" w:color="auto" w:fill="E4E4E4"/>
          </w:tcPr>
          <w:p>
            <w:pPr>
              <w:spacing w:after="0"/>
              <w:rPr>
                <w:sz w:val="23"/>
                <w:szCs w:val="23"/>
                <w:color w:val="auto"/>
              </w:rPr>
            </w:pPr>
          </w:p>
        </w:tc>
        <w:tc>
          <w:tcPr>
            <w:tcW w:w="820" w:type="dxa"/>
            <w:vAlign w:val="bottom"/>
            <w:shd w:val="clear" w:color="auto" w:fill="E4E4E4"/>
          </w:tcPr>
          <w:p>
            <w:pPr>
              <w:spacing w:after="0"/>
              <w:rPr>
                <w:sz w:val="23"/>
                <w:szCs w:val="23"/>
                <w:color w:val="auto"/>
              </w:rPr>
            </w:pPr>
          </w:p>
        </w:tc>
        <w:tc>
          <w:tcPr>
            <w:tcW w:w="30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140" w:type="dxa"/>
            <w:vAlign w:val="bottom"/>
            <w:shd w:val="clear" w:color="auto" w:fill="E4E4E4"/>
          </w:tcPr>
          <w:p>
            <w:pPr>
              <w:spacing w:after="0"/>
              <w:rPr>
                <w:sz w:val="23"/>
                <w:szCs w:val="23"/>
                <w:color w:val="auto"/>
              </w:rPr>
            </w:pPr>
          </w:p>
        </w:tc>
        <w:tc>
          <w:tcPr>
            <w:tcW w:w="1060" w:type="dxa"/>
            <w:vAlign w:val="bottom"/>
            <w:shd w:val="clear" w:color="auto" w:fill="E4E4E4"/>
          </w:tcPr>
          <w:p>
            <w:pPr>
              <w:spacing w:after="0"/>
              <w:rPr>
                <w:sz w:val="23"/>
                <w:szCs w:val="23"/>
                <w:color w:val="auto"/>
              </w:rPr>
            </w:pPr>
          </w:p>
        </w:tc>
      </w:tr>
      <w:tr>
        <w:trPr>
          <w:trHeight w:val="293"/>
        </w:trPr>
        <w:tc>
          <w:tcPr>
            <w:tcW w:w="5120" w:type="dxa"/>
            <w:vAlign w:val="bottom"/>
            <w:gridSpan w:val="4"/>
            <w:shd w:val="clear" w:color="auto" w:fill="FEFEFE"/>
          </w:tcPr>
          <w:p>
            <w:pPr>
              <w:ind w:left="260"/>
              <w:spacing w:after="0"/>
              <w:rPr>
                <w:sz w:val="20"/>
                <w:szCs w:val="20"/>
                <w:color w:val="auto"/>
              </w:rPr>
            </w:pPr>
            <w:r>
              <w:rPr>
                <w:rFonts w:ascii="Arial" w:cs="Arial" w:eastAsia="Arial" w:hAnsi="Arial"/>
                <w:sz w:val="20"/>
                <w:szCs w:val="20"/>
                <w:color w:val="auto"/>
              </w:rPr>
              <w:t>Payments for repurchase of common stock</w:t>
            </w: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2,522</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(2,513)</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(2,484)</w:t>
            </w:r>
          </w:p>
        </w:tc>
      </w:tr>
      <w:tr>
        <w:trPr>
          <w:trHeight w:val="307"/>
        </w:trPr>
        <w:tc>
          <w:tcPr>
            <w:tcW w:w="5120" w:type="dxa"/>
            <w:vAlign w:val="bottom"/>
            <w:gridSpan w:val="4"/>
            <w:shd w:val="clear" w:color="auto" w:fill="E4E4E4"/>
          </w:tcPr>
          <w:p>
            <w:pPr>
              <w:ind w:left="260"/>
              <w:spacing w:after="0"/>
              <w:rPr>
                <w:sz w:val="20"/>
                <w:szCs w:val="20"/>
                <w:color w:val="auto"/>
              </w:rPr>
            </w:pPr>
            <w:r>
              <w:rPr>
                <w:rFonts w:ascii="Arial" w:cs="Arial" w:eastAsia="Arial" w:hAnsi="Arial"/>
                <w:sz w:val="20"/>
                <w:szCs w:val="20"/>
                <w:color w:val="auto"/>
              </w:rPr>
              <w:t>Proceeds from issuance of common stock</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311</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366</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285</w:t>
            </w:r>
          </w:p>
        </w:tc>
      </w:tr>
      <w:tr>
        <w:trPr>
          <w:trHeight w:val="293"/>
        </w:trPr>
        <w:tc>
          <w:tcPr>
            <w:tcW w:w="3400" w:type="dxa"/>
            <w:vAlign w:val="bottom"/>
            <w:gridSpan w:val="3"/>
            <w:shd w:val="clear" w:color="auto" w:fill="FEFEFE"/>
          </w:tcPr>
          <w:p>
            <w:pPr>
              <w:ind w:left="260"/>
              <w:spacing w:after="0"/>
              <w:rPr>
                <w:sz w:val="20"/>
                <w:szCs w:val="20"/>
                <w:color w:val="auto"/>
              </w:rPr>
            </w:pPr>
            <w:r>
              <w:rPr>
                <w:rFonts w:ascii="Arial" w:cs="Arial" w:eastAsia="Arial" w:hAnsi="Arial"/>
                <w:sz w:val="20"/>
                <w:szCs w:val="20"/>
                <w:color w:val="auto"/>
              </w:rPr>
              <w:t>Cash dividends paid</w:t>
            </w:r>
          </w:p>
        </w:tc>
        <w:tc>
          <w:tcPr>
            <w:tcW w:w="1720" w:type="dxa"/>
            <w:vAlign w:val="bottom"/>
            <w:shd w:val="clear" w:color="auto" w:fill="FEFEFE"/>
          </w:tcPr>
          <w:p>
            <w:pPr>
              <w:spacing w:after="0"/>
              <w:rPr>
                <w:sz w:val="24"/>
                <w:szCs w:val="24"/>
                <w:color w:val="auto"/>
              </w:rPr>
            </w:pPr>
          </w:p>
        </w:tc>
        <w:tc>
          <w:tcPr>
            <w:tcW w:w="1480" w:type="dxa"/>
            <w:vAlign w:val="bottom"/>
            <w:shd w:val="clear" w:color="auto" w:fill="FEFEFE"/>
          </w:tcPr>
          <w:p>
            <w:pPr>
              <w:spacing w:after="0"/>
              <w:rPr>
                <w:sz w:val="24"/>
                <w:szCs w:val="24"/>
                <w:color w:val="auto"/>
              </w:rPr>
            </w:pPr>
          </w:p>
        </w:tc>
        <w:tc>
          <w:tcPr>
            <w:tcW w:w="380" w:type="dxa"/>
            <w:vAlign w:val="bottom"/>
            <w:shd w:val="clear" w:color="auto" w:fill="FEFEFE"/>
          </w:tcPr>
          <w:p>
            <w:pPr>
              <w:spacing w:after="0"/>
              <w:rPr>
                <w:sz w:val="24"/>
                <w:szCs w:val="24"/>
                <w:color w:val="auto"/>
              </w:rPr>
            </w:pPr>
          </w:p>
        </w:tc>
        <w:tc>
          <w:tcPr>
            <w:tcW w:w="8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1,842</w:t>
            </w:r>
          </w:p>
        </w:tc>
        <w:tc>
          <w:tcPr>
            <w:tcW w:w="30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(1,648)</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(1,484)</w:t>
            </w:r>
          </w:p>
        </w:tc>
      </w:tr>
      <w:tr>
        <w:trPr>
          <w:trHeight w:val="307"/>
        </w:trPr>
        <w:tc>
          <w:tcPr>
            <w:tcW w:w="3400" w:type="dxa"/>
            <w:vAlign w:val="bottom"/>
            <w:gridSpan w:val="3"/>
            <w:shd w:val="clear" w:color="auto" w:fill="E4E4E4"/>
          </w:tcPr>
          <w:p>
            <w:pPr>
              <w:ind w:left="400"/>
              <w:spacing w:after="0"/>
              <w:rPr>
                <w:sz w:val="20"/>
                <w:szCs w:val="20"/>
                <w:color w:val="auto"/>
              </w:rPr>
            </w:pPr>
            <w:r>
              <w:rPr>
                <w:rFonts w:ascii="Arial" w:cs="Arial" w:eastAsia="Arial" w:hAnsi="Arial"/>
                <w:sz w:val="20"/>
                <w:szCs w:val="20"/>
                <w:color w:val="auto"/>
              </w:rPr>
              <w:t>epayment of debt</w:t>
            </w:r>
          </w:p>
        </w:tc>
        <w:tc>
          <w:tcPr>
            <w:tcW w:w="1720" w:type="dxa"/>
            <w:vAlign w:val="bottom"/>
            <w:shd w:val="clear" w:color="auto" w:fill="E4E4E4"/>
          </w:tcPr>
          <w:p>
            <w:pPr>
              <w:spacing w:after="0"/>
              <w:rPr>
                <w:sz w:val="24"/>
                <w:szCs w:val="24"/>
                <w:color w:val="auto"/>
              </w:rPr>
            </w:pP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spacing w:after="0"/>
              <w:rPr>
                <w:sz w:val="24"/>
                <w:szCs w:val="24"/>
                <w:color w:val="auto"/>
              </w:rPr>
            </w:pP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(500)</w:t>
            </w:r>
          </w:p>
        </w:tc>
      </w:tr>
      <w:tr>
        <w:trPr>
          <w:trHeight w:val="275"/>
        </w:trPr>
        <w:tc>
          <w:tcPr>
            <w:tcW w:w="142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ther</w:t>
            </w:r>
          </w:p>
        </w:tc>
        <w:tc>
          <w:tcPr>
            <w:tcW w:w="320" w:type="dxa"/>
            <w:vAlign w:val="bottom"/>
            <w:tcBorders>
              <w:bottom w:val="single" w:sz="8" w:color="auto"/>
            </w:tcBorders>
            <w:shd w:val="clear" w:color="auto" w:fill="FEFEFE"/>
          </w:tcPr>
          <w:p>
            <w:pPr>
              <w:spacing w:after="0"/>
              <w:rPr>
                <w:sz w:val="23"/>
                <w:szCs w:val="23"/>
                <w:color w:val="auto"/>
              </w:rPr>
            </w:pPr>
          </w:p>
        </w:tc>
        <w:tc>
          <w:tcPr>
            <w:tcW w:w="1660" w:type="dxa"/>
            <w:vAlign w:val="bottom"/>
            <w:tcBorders>
              <w:bottom w:val="single" w:sz="8" w:color="auto"/>
            </w:tcBorders>
            <w:shd w:val="clear" w:color="auto" w:fill="FEFEFE"/>
          </w:tcPr>
          <w:p>
            <w:pPr>
              <w:spacing w:after="0"/>
              <w:rPr>
                <w:sz w:val="23"/>
                <w:szCs w:val="23"/>
                <w:color w:val="auto"/>
              </w:rPr>
            </w:pPr>
          </w:p>
        </w:tc>
        <w:tc>
          <w:tcPr>
            <w:tcW w:w="1720" w:type="dxa"/>
            <w:vAlign w:val="bottom"/>
            <w:tcBorders>
              <w:bottom w:val="single" w:sz="8" w:color="auto"/>
            </w:tcBorders>
            <w:shd w:val="clear" w:color="auto" w:fill="FEFEFE"/>
          </w:tcPr>
          <w:p>
            <w:pPr>
              <w:spacing w:after="0"/>
              <w:rPr>
                <w:sz w:val="23"/>
                <w:szCs w:val="23"/>
                <w:color w:val="auto"/>
              </w:rPr>
            </w:pPr>
          </w:p>
        </w:tc>
        <w:tc>
          <w:tcPr>
            <w:tcW w:w="1480" w:type="dxa"/>
            <w:vAlign w:val="bottom"/>
            <w:tcBorders>
              <w:bottom w:val="single" w:sz="8" w:color="auto"/>
            </w:tcBorders>
            <w:shd w:val="clear" w:color="auto" w:fill="FEFEFE"/>
          </w:tcPr>
          <w:p>
            <w:pPr>
              <w:spacing w:after="0"/>
              <w:rPr>
                <w:sz w:val="23"/>
                <w:szCs w:val="23"/>
                <w:color w:val="auto"/>
              </w:rPr>
            </w:pPr>
          </w:p>
        </w:tc>
        <w:tc>
          <w:tcPr>
            <w:tcW w:w="380" w:type="dxa"/>
            <w:vAlign w:val="bottom"/>
            <w:tcBorders>
              <w:bottom w:val="single" w:sz="8" w:color="auto"/>
            </w:tcBorders>
            <w:shd w:val="clear" w:color="auto" w:fill="FEFEFE"/>
          </w:tcPr>
          <w:p>
            <w:pPr>
              <w:spacing w:after="0"/>
              <w:rPr>
                <w:sz w:val="23"/>
                <w:szCs w:val="23"/>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65</w:t>
            </w:r>
          </w:p>
        </w:tc>
        <w:tc>
          <w:tcPr>
            <w:tcW w:w="300" w:type="dxa"/>
            <w:vAlign w:val="bottom"/>
            <w:tcBorders>
              <w:bottom w:val="single" w:sz="8" w:color="auto"/>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(43)</w:t>
            </w:r>
          </w:p>
        </w:tc>
        <w:tc>
          <w:tcPr>
            <w:tcW w:w="140" w:type="dxa"/>
            <w:vAlign w:val="bottom"/>
            <w:tcBorders>
              <w:bottom w:val="single" w:sz="8" w:color="auto"/>
            </w:tcBorders>
            <w:shd w:val="clear" w:color="auto" w:fill="FEFEFE"/>
          </w:tcPr>
          <w:p>
            <w:pPr>
              <w:spacing w:after="0"/>
              <w:rPr>
                <w:sz w:val="23"/>
                <w:szCs w:val="23"/>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(32)</w:t>
            </w:r>
          </w:p>
        </w:tc>
      </w:tr>
      <w:tr>
        <w:trPr>
          <w:trHeight w:val="265"/>
        </w:trPr>
        <w:tc>
          <w:tcPr>
            <w:tcW w:w="1420" w:type="dxa"/>
            <w:vAlign w:val="bottom"/>
            <w:tcBorders>
              <w:bottom w:val="single" w:sz="8" w:color="auto"/>
            </w:tcBorders>
            <w:shd w:val="clear" w:color="auto" w:fill="E4E4E4"/>
          </w:tcPr>
          <w:p>
            <w:pPr>
              <w:ind w:left="620"/>
              <w:spacing w:after="0"/>
              <w:rPr>
                <w:sz w:val="20"/>
                <w:szCs w:val="20"/>
                <w:color w:val="auto"/>
              </w:rPr>
            </w:pPr>
            <w:r>
              <w:rPr>
                <w:rFonts w:ascii="Arial" w:cs="Arial" w:eastAsia="Arial" w:hAnsi="Arial"/>
                <w:sz w:val="20"/>
                <w:szCs w:val="20"/>
                <w:color w:val="auto"/>
                <w:w w:val="98"/>
              </w:rPr>
              <w:t>Net cash</w:t>
            </w:r>
          </w:p>
        </w:tc>
        <w:tc>
          <w:tcPr>
            <w:tcW w:w="1980" w:type="dxa"/>
            <w:vAlign w:val="bottom"/>
            <w:tcBorders>
              <w:bottom w:val="single" w:sz="8" w:color="auto"/>
            </w:tcBorders>
            <w:gridSpan w:val="2"/>
            <w:shd w:val="clear" w:color="auto" w:fill="E4E4E4"/>
          </w:tcPr>
          <w:p>
            <w:pPr>
              <w:jc w:val="center"/>
              <w:spacing w:after="0"/>
              <w:rPr>
                <w:sz w:val="20"/>
                <w:szCs w:val="20"/>
                <w:color w:val="auto"/>
              </w:rPr>
            </w:pPr>
            <w:r>
              <w:rPr>
                <w:rFonts w:ascii="Arial" w:cs="Arial" w:eastAsia="Arial" w:hAnsi="Arial"/>
                <w:sz w:val="20"/>
                <w:szCs w:val="20"/>
                <w:color w:val="auto"/>
              </w:rPr>
              <w:t>used in financing acti</w:t>
            </w:r>
          </w:p>
        </w:tc>
        <w:tc>
          <w:tcPr>
            <w:tcW w:w="1720" w:type="dxa"/>
            <w:vAlign w:val="bottom"/>
            <w:tcBorders>
              <w:bottom w:val="single" w:sz="8" w:color="auto"/>
            </w:tcBorders>
            <w:shd w:val="clear" w:color="auto" w:fill="E4E4E4"/>
          </w:tcPr>
          <w:p>
            <w:pPr>
              <w:jc w:val="right"/>
              <w:ind w:right="1220"/>
              <w:spacing w:after="0"/>
              <w:rPr>
                <w:sz w:val="20"/>
                <w:szCs w:val="20"/>
                <w:color w:val="auto"/>
              </w:rPr>
            </w:pPr>
            <w:r>
              <w:rPr>
                <w:rFonts w:ascii="Arial" w:cs="Arial" w:eastAsia="Arial" w:hAnsi="Arial"/>
                <w:sz w:val="20"/>
                <w:szCs w:val="20"/>
                <w:color w:val="auto"/>
              </w:rPr>
              <w:t>ities</w:t>
            </w:r>
          </w:p>
        </w:tc>
        <w:tc>
          <w:tcPr>
            <w:tcW w:w="1480" w:type="dxa"/>
            <w:vAlign w:val="bottom"/>
            <w:tcBorders>
              <w:bottom w:val="single" w:sz="8" w:color="auto"/>
            </w:tcBorders>
            <w:shd w:val="clear" w:color="auto" w:fill="E4E4E4"/>
          </w:tcPr>
          <w:p>
            <w:pPr>
              <w:spacing w:after="0"/>
              <w:rPr>
                <w:sz w:val="23"/>
                <w:szCs w:val="23"/>
                <w:color w:val="auto"/>
              </w:rPr>
            </w:pPr>
          </w:p>
        </w:tc>
        <w:tc>
          <w:tcPr>
            <w:tcW w:w="380" w:type="dxa"/>
            <w:vAlign w:val="bottom"/>
            <w:tcBorders>
              <w:bottom w:val="single" w:sz="8" w:color="auto"/>
            </w:tcBorders>
            <w:shd w:val="clear" w:color="auto" w:fill="E4E4E4"/>
          </w:tcPr>
          <w:p>
            <w:pPr>
              <w:spacing w:after="0"/>
              <w:rPr>
                <w:sz w:val="23"/>
                <w:szCs w:val="23"/>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4,118</w:t>
            </w:r>
          </w:p>
        </w:tc>
        <w:tc>
          <w:tcPr>
            <w:tcW w:w="300" w:type="dxa"/>
            <w:vAlign w:val="bottom"/>
            <w:tcBorders>
              <w:bottom w:val="single" w:sz="8" w:color="auto"/>
            </w:tcBorders>
            <w:shd w:val="clear" w:color="auto" w:fill="E4E4E4"/>
          </w:tcPr>
          <w:p>
            <w:pPr>
              <w:spacing w:after="0"/>
              <w:rPr>
                <w:sz w:val="23"/>
                <w:szCs w:val="23"/>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3,838</w:t>
            </w:r>
          </w:p>
        </w:tc>
        <w:tc>
          <w:tcPr>
            <w:tcW w:w="140" w:type="dxa"/>
            <w:vAlign w:val="bottom"/>
            <w:tcBorders>
              <w:bottom w:val="single" w:sz="8" w:color="auto"/>
            </w:tcBorders>
            <w:shd w:val="clear" w:color="auto" w:fill="E4E4E4"/>
          </w:tcPr>
          <w:p>
            <w:pPr>
              <w:spacing w:after="0"/>
              <w:rPr>
                <w:sz w:val="23"/>
                <w:szCs w:val="23"/>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4,215</w:t>
            </w:r>
          </w:p>
        </w:tc>
      </w:tr>
      <w:tr>
        <w:trPr>
          <w:trHeight w:val="280"/>
        </w:trPr>
        <w:tc>
          <w:tcPr>
            <w:tcW w:w="3400" w:type="dxa"/>
            <w:vAlign w:val="bottom"/>
            <w:tcBorders>
              <w:bottom w:val="single" w:sz="8" w:color="auto"/>
            </w:tcBorders>
            <w:gridSpan w:val="3"/>
            <w:shd w:val="clear" w:color="auto" w:fill="FEFEFE"/>
          </w:tcPr>
          <w:p>
            <w:pPr>
              <w:ind w:left="40"/>
              <w:spacing w:after="0"/>
              <w:rPr>
                <w:sz w:val="20"/>
                <w:szCs w:val="20"/>
                <w:color w:val="auto"/>
              </w:rPr>
            </w:pPr>
            <w:r>
              <w:rPr>
                <w:rFonts w:ascii="Arial" w:cs="Arial" w:eastAsia="Arial" w:hAnsi="Arial"/>
                <w:sz w:val="20"/>
                <w:szCs w:val="20"/>
                <w:color w:val="auto"/>
                <w:w w:val="92"/>
              </w:rPr>
              <w:t>Effect of exchange rate changes on cash</w:t>
            </w:r>
          </w:p>
        </w:tc>
        <w:tc>
          <w:tcPr>
            <w:tcW w:w="1720" w:type="dxa"/>
            <w:vAlign w:val="bottom"/>
            <w:tcBorders>
              <w:bottom w:val="single" w:sz="8" w:color="auto"/>
            </w:tcBorders>
            <w:shd w:val="clear" w:color="auto" w:fill="FEFEFE"/>
          </w:tcPr>
          <w:p>
            <w:pPr>
              <w:spacing w:after="0"/>
              <w:rPr>
                <w:sz w:val="24"/>
                <w:szCs w:val="24"/>
                <w:color w:val="auto"/>
              </w:rPr>
            </w:pPr>
          </w:p>
        </w:tc>
        <w:tc>
          <w:tcPr>
            <w:tcW w:w="1480" w:type="dxa"/>
            <w:vAlign w:val="bottom"/>
            <w:tcBorders>
              <w:bottom w:val="single" w:sz="8" w:color="auto"/>
            </w:tcBorders>
            <w:shd w:val="clear" w:color="auto" w:fill="FEFEFE"/>
          </w:tcPr>
          <w:p>
            <w:pPr>
              <w:spacing w:after="0"/>
              <w:rPr>
                <w:sz w:val="24"/>
                <w:szCs w:val="24"/>
                <w:color w:val="auto"/>
              </w:rPr>
            </w:pPr>
          </w:p>
        </w:tc>
        <w:tc>
          <w:tcPr>
            <w:tcW w:w="3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120</w:t>
            </w:r>
          </w:p>
        </w:tc>
        <w:tc>
          <w:tcPr>
            <w:tcW w:w="30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(66)</w:t>
            </w:r>
          </w:p>
        </w:tc>
        <w:tc>
          <w:tcPr>
            <w:tcW w:w="140" w:type="dxa"/>
            <w:vAlign w:val="bottom"/>
            <w:tcBorders>
              <w:bottom w:val="single" w:sz="8" w:color="auto"/>
            </w:tcBorders>
            <w:shd w:val="clear" w:color="auto" w:fill="FEFEFE"/>
          </w:tcPr>
          <w:p>
            <w:pPr>
              <w:spacing w:after="0"/>
              <w:rPr>
                <w:sz w:val="24"/>
                <w:szCs w:val="24"/>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w:t>
            </w:r>
          </w:p>
        </w:tc>
      </w:tr>
      <w:tr>
        <w:trPr>
          <w:trHeight w:val="290"/>
        </w:trPr>
        <w:tc>
          <w:tcPr>
            <w:tcW w:w="3400" w:type="dxa"/>
            <w:vAlign w:val="bottom"/>
            <w:gridSpan w:val="3"/>
            <w:shd w:val="clear" w:color="auto" w:fill="E4E4E4"/>
          </w:tcPr>
          <w:p>
            <w:pPr>
              <w:ind w:left="40"/>
              <w:spacing w:after="0"/>
              <w:rPr>
                <w:sz w:val="20"/>
                <w:szCs w:val="20"/>
                <w:color w:val="auto"/>
              </w:rPr>
            </w:pPr>
            <w:r>
              <w:rPr>
                <w:rFonts w:ascii="Arial" w:cs="Arial" w:eastAsia="Arial" w:hAnsi="Arial"/>
                <w:sz w:val="20"/>
                <w:szCs w:val="20"/>
                <w:color w:val="auto"/>
                <w:w w:val="86"/>
              </w:rPr>
              <w:t>Net increase (decrease) in cash and cash e</w:t>
            </w:r>
          </w:p>
        </w:tc>
        <w:tc>
          <w:tcPr>
            <w:tcW w:w="1720" w:type="dxa"/>
            <w:vAlign w:val="bottom"/>
            <w:shd w:val="clear" w:color="auto" w:fill="E4E4E4"/>
          </w:tcPr>
          <w:p>
            <w:pPr>
              <w:jc w:val="right"/>
              <w:ind w:right="800"/>
              <w:spacing w:after="0"/>
              <w:rPr>
                <w:sz w:val="20"/>
                <w:szCs w:val="20"/>
                <w:color w:val="auto"/>
              </w:rPr>
            </w:pPr>
            <w:r>
              <w:rPr>
                <w:rFonts w:ascii="Arial" w:cs="Arial" w:eastAsia="Arial" w:hAnsi="Arial"/>
                <w:sz w:val="20"/>
                <w:szCs w:val="20"/>
                <w:color w:val="auto"/>
              </w:rPr>
              <w:t>uivalents</w:t>
            </w:r>
          </w:p>
        </w:tc>
        <w:tc>
          <w:tcPr>
            <w:tcW w:w="1480" w:type="dxa"/>
            <w:vAlign w:val="bottom"/>
            <w:shd w:val="clear" w:color="auto" w:fill="E4E4E4"/>
          </w:tcPr>
          <w:p>
            <w:pPr>
              <w:spacing w:after="0"/>
              <w:rPr>
                <w:sz w:val="24"/>
                <w:szCs w:val="24"/>
                <w:color w:val="auto"/>
              </w:rPr>
            </w:pPr>
          </w:p>
        </w:tc>
        <w:tc>
          <w:tcPr>
            <w:tcW w:w="38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895</w:t>
            </w:r>
          </w:p>
        </w:tc>
        <w:tc>
          <w:tcPr>
            <w:tcW w:w="30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(265)</w:t>
            </w: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123</w:t>
            </w:r>
          </w:p>
        </w:tc>
      </w:tr>
      <w:tr>
        <w:trPr>
          <w:trHeight w:val="290"/>
        </w:trPr>
        <w:tc>
          <w:tcPr>
            <w:tcW w:w="14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w w:val="90"/>
              </w:rPr>
              <w:t>Cash and cash e</w:t>
            </w:r>
          </w:p>
        </w:tc>
        <w:tc>
          <w:tcPr>
            <w:tcW w:w="3700" w:type="dxa"/>
            <w:vAlign w:val="bottom"/>
            <w:tcBorders>
              <w:bottom w:val="single" w:sz="8" w:color="auto"/>
            </w:tcBorders>
            <w:gridSpan w:val="3"/>
            <w:shd w:val="clear" w:color="auto" w:fill="FEFEFE"/>
          </w:tcPr>
          <w:p>
            <w:pPr>
              <w:jc w:val="right"/>
              <w:ind w:right="1220"/>
              <w:spacing w:after="0"/>
              <w:rPr>
                <w:sz w:val="20"/>
                <w:szCs w:val="20"/>
                <w:color w:val="auto"/>
              </w:rPr>
            </w:pPr>
            <w:r>
              <w:rPr>
                <w:rFonts w:ascii="Arial" w:cs="Arial" w:eastAsia="Arial" w:hAnsi="Arial"/>
                <w:sz w:val="20"/>
                <w:szCs w:val="20"/>
                <w:color w:val="auto"/>
                <w:w w:val="90"/>
              </w:rPr>
              <w:t>uivalents at beginning of year</w:t>
            </w:r>
          </w:p>
        </w:tc>
        <w:tc>
          <w:tcPr>
            <w:tcW w:w="1480" w:type="dxa"/>
            <w:vAlign w:val="bottom"/>
            <w:tcBorders>
              <w:bottom w:val="single" w:sz="8" w:color="auto"/>
            </w:tcBorders>
            <w:shd w:val="clear" w:color="auto" w:fill="FEFEFE"/>
          </w:tcPr>
          <w:p>
            <w:pPr>
              <w:spacing w:after="0"/>
              <w:rPr>
                <w:sz w:val="24"/>
                <w:szCs w:val="24"/>
                <w:color w:val="auto"/>
              </w:rPr>
            </w:pPr>
          </w:p>
        </w:tc>
        <w:tc>
          <w:tcPr>
            <w:tcW w:w="3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5,335</w:t>
            </w:r>
          </w:p>
        </w:tc>
        <w:tc>
          <w:tcPr>
            <w:tcW w:w="30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5,600</w:t>
            </w:r>
          </w:p>
        </w:tc>
        <w:tc>
          <w:tcPr>
            <w:tcW w:w="140" w:type="dxa"/>
            <w:vAlign w:val="bottom"/>
            <w:tcBorders>
              <w:bottom w:val="single" w:sz="8" w:color="auto"/>
            </w:tcBorders>
            <w:shd w:val="clear" w:color="auto" w:fill="FEFEFE"/>
          </w:tcPr>
          <w:p>
            <w:pPr>
              <w:spacing w:after="0"/>
              <w:rPr>
                <w:sz w:val="24"/>
                <w:szCs w:val="24"/>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5,477</w:t>
            </w:r>
          </w:p>
        </w:tc>
      </w:tr>
      <w:tr>
        <w:trPr>
          <w:trHeight w:val="265"/>
        </w:trPr>
        <w:tc>
          <w:tcPr>
            <w:tcW w:w="14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w w:val="90"/>
              </w:rPr>
              <w:t>Cash and cash e</w:t>
            </w:r>
          </w:p>
        </w:tc>
        <w:tc>
          <w:tcPr>
            <w:tcW w:w="3700" w:type="dxa"/>
            <w:vAlign w:val="bottom"/>
            <w:tcBorders>
              <w:bottom w:val="single" w:sz="8" w:color="auto"/>
            </w:tcBorders>
            <w:gridSpan w:val="3"/>
            <w:shd w:val="clear" w:color="auto" w:fill="E4E4E4"/>
          </w:tcPr>
          <w:p>
            <w:pPr>
              <w:jc w:val="right"/>
              <w:ind w:right="1500"/>
              <w:spacing w:after="0"/>
              <w:rPr>
                <w:sz w:val="20"/>
                <w:szCs w:val="20"/>
                <w:color w:val="auto"/>
              </w:rPr>
            </w:pPr>
            <w:r>
              <w:rPr>
                <w:rFonts w:ascii="Arial" w:cs="Arial" w:eastAsia="Arial" w:hAnsi="Arial"/>
                <w:sz w:val="20"/>
                <w:szCs w:val="20"/>
                <w:color w:val="auto"/>
              </w:rPr>
              <w:t>ui alents at end of year</w:t>
            </w:r>
          </w:p>
        </w:tc>
        <w:tc>
          <w:tcPr>
            <w:tcW w:w="1860" w:type="dxa"/>
            <w:vAlign w:val="bottom"/>
            <w:tcBorders>
              <w:bottom w:val="single" w:sz="8" w:color="auto"/>
            </w:tcBorders>
            <w:gridSpan w:val="2"/>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6,230</w:t>
            </w:r>
          </w:p>
        </w:tc>
        <w:tc>
          <w:tcPr>
            <w:tcW w:w="30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5,335</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5,600</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1" w:orient="portrait"/>
          <w:cols w:equalWidth="0" w:num="1">
            <w:col w:w="10260"/>
          </w:cols>
          <w:pgMar w:left="1000" w:top="70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ectPr>
          <w:pgSz w:w="12240" w:h="15841" w:orient="portrait"/>
          <w:cols w:equalWidth="0" w:num="1">
            <w:col w:w="10260"/>
          </w:cols>
          <w:pgMar w:left="1000" w:top="702" w:right="981" w:bottom="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40"/>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T</w:t>
            </w:r>
          </w:p>
        </w:tc>
        <w:tc>
          <w:tcPr>
            <w:tcW w:w="800" w:type="dxa"/>
            <w:vAlign w:val="bottom"/>
          </w:tcPr>
          <w:p>
            <w:pPr>
              <w:jc w:val="right"/>
              <w:spacing w:after="0"/>
              <w:rPr>
                <w:sz w:val="20"/>
                <w:szCs w:val="20"/>
                <w:color w:val="auto"/>
              </w:rPr>
            </w:pPr>
            <w:r>
              <w:rPr>
                <w:rFonts w:ascii="Arial" w:cs="Arial" w:eastAsia="Arial" w:hAnsi="Arial"/>
                <w:sz w:val="20"/>
                <w:szCs w:val="20"/>
                <w:color w:val="auto"/>
                <w:w w:val="99"/>
              </w:rPr>
              <w:t>E TJX C</w:t>
            </w:r>
          </w:p>
        </w:tc>
        <w:tc>
          <w:tcPr>
            <w:tcW w:w="1480" w:type="dxa"/>
            <w:vAlign w:val="bottom"/>
            <w:gridSpan w:val="3"/>
          </w:tcPr>
          <w:p>
            <w:pPr>
              <w:jc w:val="center"/>
              <w:ind w:left="182"/>
              <w:spacing w:after="0"/>
              <w:rPr>
                <w:sz w:val="20"/>
                <w:szCs w:val="20"/>
                <w:color w:val="auto"/>
              </w:rPr>
            </w:pPr>
            <w:r>
              <w:rPr>
                <w:rFonts w:ascii="Arial" w:cs="Arial" w:eastAsia="Arial" w:hAnsi="Arial"/>
                <w:sz w:val="20"/>
                <w:szCs w:val="20"/>
                <w:color w:val="auto"/>
                <w:w w:val="96"/>
              </w:rPr>
              <w:t>PANIES, INC.</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gridSpan w:val="2"/>
          </w:tcPr>
          <w:p>
            <w:pPr>
              <w:ind w:left="2300"/>
              <w:spacing w:after="0"/>
              <w:rPr>
                <w:sz w:val="20"/>
                <w:szCs w:val="20"/>
                <w:color w:val="auto"/>
              </w:rPr>
            </w:pPr>
            <w:r>
              <w:rPr>
                <w:rFonts w:ascii="Arial" w:cs="Arial" w:eastAsia="Arial" w:hAnsi="Arial"/>
                <w:sz w:val="20"/>
                <w:szCs w:val="20"/>
                <w:color w:val="auto"/>
              </w:rPr>
              <w:t>C  NS</w:t>
            </w:r>
          </w:p>
        </w:tc>
        <w:tc>
          <w:tcPr>
            <w:tcW w:w="2460" w:type="dxa"/>
            <w:vAlign w:val="bottom"/>
            <w:gridSpan w:val="4"/>
          </w:tcPr>
          <w:p>
            <w:pPr>
              <w:ind w:left="80"/>
              <w:spacing w:after="0"/>
              <w:rPr>
                <w:sz w:val="20"/>
                <w:szCs w:val="20"/>
                <w:color w:val="auto"/>
              </w:rPr>
            </w:pPr>
            <w:r>
              <w:rPr>
                <w:rFonts w:ascii="Arial" w:cs="Arial" w:eastAsia="Arial" w:hAnsi="Arial"/>
                <w:sz w:val="20"/>
                <w:szCs w:val="20"/>
                <w:color w:val="auto"/>
              </w:rPr>
              <w:t>LIDATED STATE  ENTS</w:t>
            </w:r>
          </w:p>
        </w:tc>
        <w:tc>
          <w:tcPr>
            <w:tcW w:w="860" w:type="dxa"/>
            <w:vAlign w:val="bottom"/>
          </w:tcPr>
          <w:p>
            <w:pPr>
              <w:jc w:val="center"/>
              <w:spacing w:after="0"/>
              <w:rPr>
                <w:sz w:val="20"/>
                <w:szCs w:val="20"/>
                <w:color w:val="auto"/>
              </w:rPr>
            </w:pPr>
            <w:r>
              <w:rPr>
                <w:rFonts w:ascii="Arial" w:cs="Arial" w:eastAsia="Arial" w:hAnsi="Arial"/>
                <w:sz w:val="20"/>
                <w:szCs w:val="20"/>
                <w:color w:val="auto"/>
              </w:rPr>
              <w:t>F S  A  E</w:t>
            </w:r>
          </w:p>
        </w:tc>
        <w:tc>
          <w:tcPr>
            <w:tcW w:w="140" w:type="dxa"/>
            <w:vAlign w:val="bottom"/>
          </w:tcPr>
          <w:p>
            <w:pPr>
              <w:spacing w:after="0"/>
              <w:rPr>
                <w:sz w:val="20"/>
                <w:szCs w:val="20"/>
                <w:color w:val="auto"/>
              </w:rPr>
            </w:pPr>
          </w:p>
        </w:tc>
        <w:tc>
          <w:tcPr>
            <w:tcW w:w="1240" w:type="dxa"/>
            <w:vAlign w:val="bottom"/>
          </w:tcPr>
          <w:p>
            <w:pPr>
              <w:jc w:val="center"/>
              <w:ind w:right="61"/>
              <w:spacing w:after="0"/>
              <w:rPr>
                <w:sz w:val="20"/>
                <w:szCs w:val="20"/>
                <w:color w:val="auto"/>
              </w:rPr>
            </w:pPr>
            <w:r>
              <w:rPr>
                <w:rFonts w:ascii="Arial" w:cs="Arial" w:eastAsia="Arial" w:hAnsi="Arial"/>
                <w:sz w:val="20"/>
                <w:szCs w:val="20"/>
                <w:color w:val="auto"/>
              </w:rPr>
              <w:t>LDE  S E</w:t>
            </w:r>
          </w:p>
        </w:tc>
        <w:tc>
          <w:tcPr>
            <w:tcW w:w="1060" w:type="dxa"/>
            <w:vAlign w:val="bottom"/>
            <w:gridSpan w:val="2"/>
          </w:tcPr>
          <w:p>
            <w:pPr>
              <w:jc w:val="right"/>
              <w:ind w:right="620"/>
              <w:spacing w:after="0"/>
              <w:rPr>
                <w:sz w:val="20"/>
                <w:szCs w:val="20"/>
                <w:color w:val="auto"/>
              </w:rPr>
            </w:pPr>
            <w:r>
              <w:rPr>
                <w:rFonts w:ascii="Arial" w:cs="Arial" w:eastAsia="Arial" w:hAnsi="Arial"/>
                <w:sz w:val="20"/>
                <w:szCs w:val="20"/>
                <w:color w:val="auto"/>
              </w:rPr>
              <w:t>ITY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60"/>
              <w:spacing w:after="0"/>
              <w:rPr>
                <w:sz w:val="20"/>
                <w:szCs w:val="20"/>
                <w:color w:val="auto"/>
              </w:rPr>
            </w:pPr>
            <w:r>
              <w:rPr>
                <w:rFonts w:ascii="Arial" w:cs="Arial" w:eastAsia="Arial" w:hAnsi="Arial"/>
                <w:sz w:val="20"/>
                <w:szCs w:val="20"/>
                <w:color w:val="auto"/>
              </w:rPr>
              <w:t>IN</w:t>
            </w:r>
          </w:p>
        </w:tc>
        <w:tc>
          <w:tcPr>
            <w:tcW w:w="480" w:type="dxa"/>
            <w:vAlign w:val="bottom"/>
          </w:tcPr>
          <w:p>
            <w:pPr>
              <w:ind w:left="80"/>
              <w:spacing w:after="0"/>
              <w:rPr>
                <w:sz w:val="20"/>
                <w:szCs w:val="20"/>
                <w:color w:val="auto"/>
              </w:rPr>
            </w:pPr>
            <w:r>
              <w:rPr>
                <w:rFonts w:ascii="Arial" w:cs="Arial" w:eastAsia="Arial" w:hAnsi="Arial"/>
                <w:sz w:val="20"/>
                <w:szCs w:val="20"/>
                <w:color w:val="auto"/>
              </w:rPr>
              <w:t>ILLI</w:t>
            </w:r>
          </w:p>
        </w:tc>
        <w:tc>
          <w:tcPr>
            <w:tcW w:w="860" w:type="dxa"/>
            <w:vAlign w:val="bottom"/>
          </w:tcPr>
          <w:p>
            <w:pPr>
              <w:ind w:left="120"/>
              <w:spacing w:after="0"/>
              <w:rPr>
                <w:sz w:val="20"/>
                <w:szCs w:val="20"/>
                <w:color w:val="auto"/>
              </w:rPr>
            </w:pPr>
            <w:r>
              <w:rPr>
                <w:rFonts w:ascii="Arial" w:cs="Arial" w:eastAsia="Arial" w:hAnsi="Arial"/>
                <w:sz w:val="20"/>
                <w:szCs w:val="20"/>
                <w:color w:val="auto"/>
              </w:rPr>
              <w:t>NS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4"/>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20"/>
                <w:szCs w:val="20"/>
                <w:color w:val="auto"/>
              </w:rPr>
              <w:t>Common Stock</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20"/>
                <w:szCs w:val="20"/>
                <w:color w:val="auto"/>
                <w:w w:val="93"/>
              </w:rPr>
              <w:t>Accumulated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7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340" w:type="dxa"/>
            <w:vAlign w:val="bottom"/>
            <w:gridSpan w:val="2"/>
            <w:vMerge w:val="restart"/>
          </w:tcPr>
          <w:p>
            <w:pPr>
              <w:ind w:left="240"/>
              <w:spacing w:after="0" w:line="155" w:lineRule="exact"/>
              <w:rPr>
                <w:sz w:val="20"/>
                <w:szCs w:val="20"/>
                <w:color w:val="auto"/>
              </w:rPr>
            </w:pPr>
            <w:r>
              <w:rPr>
                <w:rFonts w:ascii="Arial" w:cs="Arial" w:eastAsia="Arial" w:hAnsi="Arial"/>
                <w:sz w:val="17"/>
                <w:szCs w:val="17"/>
                <w:color w:val="auto"/>
              </w:rPr>
              <w:t>Additional</w:t>
            </w:r>
          </w:p>
        </w:tc>
        <w:tc>
          <w:tcPr>
            <w:tcW w:w="140" w:type="dxa"/>
            <w:vAlign w:val="bottom"/>
          </w:tcPr>
          <w:p>
            <w:pPr>
              <w:spacing w:after="0"/>
              <w:rPr>
                <w:sz w:val="5"/>
                <w:szCs w:val="5"/>
                <w:color w:val="auto"/>
              </w:rPr>
            </w:pPr>
          </w:p>
        </w:tc>
        <w:tc>
          <w:tcPr>
            <w:tcW w:w="1240" w:type="dxa"/>
            <w:vAlign w:val="bottom"/>
            <w:vMerge w:val="restart"/>
          </w:tcPr>
          <w:p>
            <w:pPr>
              <w:jc w:val="right"/>
              <w:ind w:right="382"/>
              <w:spacing w:after="0" w:line="155" w:lineRule="exact"/>
              <w:rPr>
                <w:sz w:val="20"/>
                <w:szCs w:val="20"/>
                <w:color w:val="auto"/>
              </w:rPr>
            </w:pPr>
            <w:r>
              <w:rPr>
                <w:rFonts w:ascii="Arial" w:cs="Arial" w:eastAsia="Arial" w:hAnsi="Arial"/>
                <w:sz w:val="17"/>
                <w:szCs w:val="17"/>
                <w:color w:val="auto"/>
              </w:rPr>
              <w:t>ther</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Par  alue</w:t>
            </w:r>
          </w:p>
        </w:tc>
        <w:tc>
          <w:tcPr>
            <w:tcW w:w="13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etained</w:t>
            </w: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ind w:right="100"/>
              <w:spacing w:after="0"/>
              <w:rPr>
                <w:sz w:val="20"/>
                <w:szCs w:val="20"/>
                <w:color w:val="auto"/>
              </w:rPr>
            </w:pPr>
            <w:r>
              <w:rPr>
                <w:rFonts w:ascii="Arial" w:cs="Arial" w:eastAsia="Arial" w:hAnsi="Arial"/>
                <w:sz w:val="20"/>
                <w:szCs w:val="20"/>
                <w:color w:val="auto"/>
                <w:w w:val="97"/>
              </w:rPr>
              <w:t>Shares</w:t>
            </w:r>
          </w:p>
        </w:tc>
        <w:tc>
          <w:tcPr>
            <w:tcW w:w="1140" w:type="dxa"/>
            <w:vAlign w:val="bottom"/>
            <w:gridSpan w:val="2"/>
            <w:vMerge w:val="continue"/>
          </w:tcPr>
          <w:p>
            <w:pPr>
              <w:spacing w:after="0"/>
              <w:rPr>
                <w:sz w:val="17"/>
                <w:szCs w:val="17"/>
                <w:color w:val="auto"/>
              </w:rPr>
            </w:pPr>
          </w:p>
        </w:tc>
        <w:tc>
          <w:tcPr>
            <w:tcW w:w="1340" w:type="dxa"/>
            <w:vAlign w:val="bottom"/>
            <w:gridSpan w:val="2"/>
          </w:tcPr>
          <w:p>
            <w:pPr>
              <w:ind w:left="360"/>
              <w:spacing w:after="0" w:line="200" w:lineRule="exact"/>
              <w:rPr>
                <w:sz w:val="20"/>
                <w:szCs w:val="20"/>
                <w:color w:val="auto"/>
              </w:rPr>
            </w:pPr>
            <w:r>
              <w:rPr>
                <w:rFonts w:ascii="Arial" w:cs="Arial" w:eastAsia="Arial" w:hAnsi="Arial"/>
                <w:sz w:val="20"/>
                <w:szCs w:val="20"/>
                <w:color w:val="auto"/>
              </w:rPr>
              <w:t>Paid-In</w:t>
            </w:r>
          </w:p>
        </w:tc>
        <w:tc>
          <w:tcPr>
            <w:tcW w:w="1380" w:type="dxa"/>
            <w:vAlign w:val="bottom"/>
            <w:gridSpan w:val="2"/>
          </w:tcPr>
          <w:p>
            <w:pPr>
              <w:ind w:left="60"/>
              <w:spacing w:after="0" w:line="200" w:lineRule="exact"/>
              <w:rPr>
                <w:sz w:val="20"/>
                <w:szCs w:val="20"/>
                <w:color w:val="auto"/>
              </w:rPr>
            </w:pPr>
            <w:r>
              <w:rPr>
                <w:rFonts w:ascii="Arial" w:cs="Arial" w:eastAsia="Arial" w:hAnsi="Arial"/>
                <w:sz w:val="20"/>
                <w:szCs w:val="20"/>
                <w:color w:val="auto"/>
                <w:w w:val="92"/>
              </w:rPr>
              <w:t>Comprehensive</w:t>
            </w: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ind w:right="36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63"/>
        </w:trPr>
        <w:tc>
          <w:tcPr>
            <w:tcW w:w="27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$1</w:t>
            </w:r>
          </w:p>
        </w:tc>
        <w:tc>
          <w:tcPr>
            <w:tcW w:w="1340" w:type="dxa"/>
            <w:vAlign w:val="bottom"/>
            <w:tcBorders>
              <w:bottom w:val="single" w:sz="8" w:color="auto"/>
            </w:tcBorders>
            <w:gridSpan w:val="2"/>
          </w:tcPr>
          <w:p>
            <w:pPr>
              <w:ind w:left="380"/>
              <w:spacing w:after="0"/>
              <w:rPr>
                <w:sz w:val="20"/>
                <w:szCs w:val="20"/>
                <w:color w:val="auto"/>
              </w:rPr>
            </w:pPr>
            <w:r>
              <w:rPr>
                <w:rFonts w:ascii="Arial" w:cs="Arial" w:eastAsia="Arial" w:hAnsi="Arial"/>
                <w:sz w:val="20"/>
                <w:szCs w:val="20"/>
                <w:color w:val="auto"/>
              </w:rPr>
              <w:t>Capital</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1"/>
              </w:rPr>
              <w:t>(Loss) Income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Earnings</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90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alance, January 28, 2023</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1,155</w:t>
            </w:r>
          </w:p>
        </w:tc>
        <w:tc>
          <w:tcPr>
            <w:tcW w:w="340" w:type="dxa"/>
            <w:vAlign w:val="bottom"/>
            <w:shd w:val="clear" w:color="auto" w:fill="E4E4E4"/>
          </w:tcPr>
          <w:p>
            <w:pPr>
              <w:jc w:val="right"/>
              <w:ind w:right="23"/>
              <w:spacing w:after="0"/>
              <w:rPr>
                <w:sz w:val="20"/>
                <w:szCs w:val="20"/>
                <w:color w:val="auto"/>
              </w:rPr>
            </w:pPr>
            <w:r>
              <w:rPr>
                <w:rFonts w:ascii="Arial" w:cs="Arial" w:eastAsia="Arial" w:hAnsi="Arial"/>
                <w:sz w:val="20"/>
                <w:szCs w:val="20"/>
                <w:color w:val="auto"/>
              </w:rPr>
              <w:t>$</w:t>
            </w:r>
          </w:p>
        </w:tc>
        <w:tc>
          <w:tcPr>
            <w:tcW w:w="8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1,155</w:t>
            </w:r>
          </w:p>
        </w:tc>
        <w:tc>
          <w:tcPr>
            <w:tcW w:w="480" w:type="dxa"/>
            <w:vAlign w:val="bottom"/>
            <w:shd w:val="clear" w:color="auto" w:fill="E4E4E4"/>
          </w:tcPr>
          <w:p>
            <w:pPr>
              <w:ind w:lef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ind w:left="40"/>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606</w:t>
            </w:r>
          </w:p>
        </w:tc>
        <w:tc>
          <w:tcPr>
            <w:tcW w:w="2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5,815</w:t>
            </w:r>
          </w:p>
        </w:tc>
        <w:tc>
          <w:tcPr>
            <w:tcW w:w="2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6,364</w:t>
            </w:r>
          </w:p>
        </w:tc>
        <w:tc>
          <w:tcPr>
            <w:tcW w:w="0" w:type="dxa"/>
            <w:vAlign w:val="bottom"/>
          </w:tcPr>
          <w:p>
            <w:pPr>
              <w:spacing w:after="0"/>
              <w:rPr>
                <w:sz w:val="1"/>
                <w:szCs w:val="1"/>
                <w:color w:val="auto"/>
              </w:rPr>
            </w:pPr>
          </w:p>
        </w:tc>
      </w:tr>
      <w:tr>
        <w:trPr>
          <w:trHeight w:val="294"/>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Net income</w:t>
            </w:r>
          </w:p>
        </w:tc>
        <w:tc>
          <w:tcPr>
            <w:tcW w:w="840" w:type="dxa"/>
            <w:vAlign w:val="bottom"/>
            <w:shd w:val="clear" w:color="auto" w:fill="FEFEFE"/>
          </w:tcPr>
          <w:p>
            <w:pPr>
              <w:spacing w:after="0"/>
              <w:rPr>
                <w:sz w:val="24"/>
                <w:szCs w:val="24"/>
                <w:color w:val="auto"/>
              </w:rPr>
            </w:pPr>
          </w:p>
        </w:tc>
        <w:tc>
          <w:tcPr>
            <w:tcW w:w="340" w:type="dxa"/>
            <w:vAlign w:val="bottom"/>
            <w:shd w:val="clear" w:color="auto" w:fill="FEFEFE"/>
          </w:tcPr>
          <w:p>
            <w:pPr>
              <w:spacing w:after="0"/>
              <w:rPr>
                <w:sz w:val="24"/>
                <w:szCs w:val="24"/>
                <w:color w:val="auto"/>
              </w:rPr>
            </w:pPr>
          </w:p>
        </w:tc>
        <w:tc>
          <w:tcPr>
            <w:tcW w:w="80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12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4,474</w:t>
            </w:r>
          </w:p>
        </w:tc>
        <w:tc>
          <w:tcPr>
            <w:tcW w:w="280" w:type="dxa"/>
            <w:vAlign w:val="bottom"/>
            <w:shd w:val="clear" w:color="auto" w:fill="FEFEFE"/>
          </w:tcPr>
          <w:p>
            <w:pPr>
              <w:spacing w:after="0"/>
              <w:rPr>
                <w:sz w:val="24"/>
                <w:szCs w:val="24"/>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4,474</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180"/>
              <w:spacing w:after="0" w:line="220" w:lineRule="exact"/>
              <w:rPr>
                <w:sz w:val="20"/>
                <w:szCs w:val="20"/>
                <w:color w:val="auto"/>
              </w:rPr>
            </w:pPr>
            <w:r>
              <w:rPr>
                <w:rFonts w:ascii="Arial" w:cs="Arial" w:eastAsia="Arial" w:hAnsi="Arial"/>
                <w:sz w:val="20"/>
                <w:szCs w:val="20"/>
                <w:color w:val="auto"/>
              </w:rPr>
              <w:t>ther comprehensive income,</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74</w:t>
            </w: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81"/>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net of tax</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vMerge w:val="continue"/>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FEFEFE"/>
          </w:tcPr>
          <w:p>
            <w:pPr>
              <w:ind w:left="40"/>
              <w:spacing w:after="0" w:line="213" w:lineRule="exact"/>
              <w:rPr>
                <w:sz w:val="20"/>
                <w:szCs w:val="20"/>
                <w:color w:val="auto"/>
              </w:rPr>
            </w:pPr>
            <w:r>
              <w:rPr>
                <w:rFonts w:ascii="Arial" w:cs="Arial" w:eastAsia="Arial" w:hAnsi="Arial"/>
                <w:sz w:val="20"/>
                <w:szCs w:val="20"/>
                <w:color w:val="auto"/>
              </w:rPr>
              <w:t>Cash dividends declared on</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120" w:type="dxa"/>
            <w:vAlign w:val="bottom"/>
            <w:gridSpan w:val="2"/>
            <w:vMerge w:val="restart"/>
            <w:shd w:val="clear" w:color="auto" w:fill="FEFEFE"/>
          </w:tcPr>
          <w:p>
            <w:pPr>
              <w:jc w:val="right"/>
              <w:spacing w:after="0"/>
              <w:rPr>
                <w:sz w:val="20"/>
                <w:szCs w:val="20"/>
                <w:color w:val="auto"/>
              </w:rPr>
            </w:pPr>
            <w:r>
              <w:rPr>
                <w:rFonts w:ascii="Arial" w:cs="Arial" w:eastAsia="Arial" w:hAnsi="Arial"/>
                <w:sz w:val="20"/>
                <w:szCs w:val="20"/>
                <w:color w:val="auto"/>
              </w:rPr>
              <w:t>(1,522)</w:t>
            </w:r>
          </w:p>
        </w:tc>
        <w:tc>
          <w:tcPr>
            <w:tcW w:w="280" w:type="dxa"/>
            <w:vAlign w:val="bottom"/>
            <w:shd w:val="clear" w:color="auto" w:fill="FEFEFE"/>
          </w:tcPr>
          <w:p>
            <w:pPr>
              <w:spacing w:after="0"/>
              <w:rPr>
                <w:sz w:val="18"/>
                <w:szCs w:val="18"/>
                <w:color w:val="auto"/>
              </w:rPr>
            </w:pPr>
          </w:p>
        </w:tc>
        <w:tc>
          <w:tcPr>
            <w:tcW w:w="10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(1,522)</w:t>
            </w: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common stock</w:t>
            </w:r>
          </w:p>
        </w:tc>
        <w:tc>
          <w:tcPr>
            <w:tcW w:w="840" w:type="dxa"/>
            <w:vAlign w:val="bottom"/>
            <w:shd w:val="clear" w:color="auto" w:fill="FEFEFE"/>
          </w:tcPr>
          <w:p>
            <w:pPr>
              <w:spacing w:after="0"/>
              <w:rPr>
                <w:sz w:val="23"/>
                <w:szCs w:val="23"/>
                <w:color w:val="auto"/>
              </w:rPr>
            </w:pPr>
          </w:p>
        </w:tc>
        <w:tc>
          <w:tcPr>
            <w:tcW w:w="340" w:type="dxa"/>
            <w:vAlign w:val="bottom"/>
            <w:shd w:val="clear" w:color="auto" w:fill="FEFEFE"/>
          </w:tcPr>
          <w:p>
            <w:pPr>
              <w:spacing w:after="0"/>
              <w:rPr>
                <w:sz w:val="23"/>
                <w:szCs w:val="23"/>
                <w:color w:val="auto"/>
              </w:rPr>
            </w:pPr>
          </w:p>
        </w:tc>
        <w:tc>
          <w:tcPr>
            <w:tcW w:w="800" w:type="dxa"/>
            <w:vAlign w:val="bottom"/>
            <w:shd w:val="clear" w:color="auto" w:fill="FEFEFE"/>
          </w:tcPr>
          <w:p>
            <w:pPr>
              <w:spacing w:after="0"/>
              <w:rPr>
                <w:sz w:val="23"/>
                <w:szCs w:val="23"/>
                <w:color w:val="auto"/>
              </w:rPr>
            </w:pPr>
          </w:p>
        </w:tc>
        <w:tc>
          <w:tcPr>
            <w:tcW w:w="4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140" w:type="dxa"/>
            <w:vAlign w:val="bottom"/>
            <w:shd w:val="clear" w:color="auto" w:fill="FEFEFE"/>
          </w:tcPr>
          <w:p>
            <w:pPr>
              <w:spacing w:after="0"/>
              <w:rPr>
                <w:sz w:val="23"/>
                <w:szCs w:val="23"/>
                <w:color w:val="auto"/>
              </w:rPr>
            </w:pPr>
          </w:p>
        </w:tc>
        <w:tc>
          <w:tcPr>
            <w:tcW w:w="1240" w:type="dxa"/>
            <w:vAlign w:val="bottom"/>
            <w:shd w:val="clear" w:color="auto" w:fill="FEFEFE"/>
          </w:tcPr>
          <w:p>
            <w:pPr>
              <w:spacing w:after="0"/>
              <w:rPr>
                <w:sz w:val="23"/>
                <w:szCs w:val="23"/>
                <w:color w:val="auto"/>
              </w:rPr>
            </w:pPr>
          </w:p>
        </w:tc>
        <w:tc>
          <w:tcPr>
            <w:tcW w:w="220" w:type="dxa"/>
            <w:vAlign w:val="bottom"/>
            <w:shd w:val="clear" w:color="auto" w:fill="FEFEFE"/>
          </w:tcPr>
          <w:p>
            <w:pPr>
              <w:spacing w:after="0"/>
              <w:rPr>
                <w:sz w:val="23"/>
                <w:szCs w:val="23"/>
                <w:color w:val="auto"/>
              </w:rPr>
            </w:pPr>
          </w:p>
        </w:tc>
        <w:tc>
          <w:tcPr>
            <w:tcW w:w="1120" w:type="dxa"/>
            <w:vAlign w:val="bottom"/>
            <w:gridSpan w:val="2"/>
            <w:vMerge w:val="continue"/>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104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180"/>
              <w:spacing w:after="0" w:line="220" w:lineRule="exact"/>
              <w:rPr>
                <w:sz w:val="20"/>
                <w:szCs w:val="20"/>
                <w:color w:val="auto"/>
              </w:rPr>
            </w:pPr>
            <w:r>
              <w:rPr>
                <w:rFonts w:ascii="Arial" w:cs="Arial" w:eastAsia="Arial" w:hAnsi="Arial"/>
                <w:sz w:val="20"/>
                <w:szCs w:val="20"/>
                <w:color w:val="auto"/>
              </w:rPr>
              <w:t>ecognition of share-based</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vMerge w:val="restart"/>
            <w:shd w:val="clear" w:color="auto" w:fill="E4E4E4"/>
          </w:tcPr>
          <w:p>
            <w:pPr>
              <w:jc w:val="center"/>
              <w:ind w:left="260"/>
              <w:spacing w:after="0"/>
              <w:rPr>
                <w:sz w:val="20"/>
                <w:szCs w:val="20"/>
                <w:color w:val="auto"/>
              </w:rPr>
            </w:pPr>
            <w:r>
              <w:rPr>
                <w:rFonts w:ascii="Arial" w:cs="Arial" w:eastAsia="Arial" w:hAnsi="Arial"/>
                <w:sz w:val="20"/>
                <w:szCs w:val="20"/>
                <w:color w:val="auto"/>
                <w:w w:val="89"/>
              </w:rPr>
              <w:t>160</w:t>
            </w: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81"/>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compensation</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FEFEFE"/>
          </w:tcPr>
          <w:p>
            <w:pPr>
              <w:ind w:left="40"/>
              <w:spacing w:after="0" w:line="213" w:lineRule="exact"/>
              <w:rPr>
                <w:sz w:val="20"/>
                <w:szCs w:val="20"/>
                <w:color w:val="auto"/>
              </w:rPr>
            </w:pPr>
            <w:r>
              <w:rPr>
                <w:rFonts w:ascii="Arial" w:cs="Arial" w:eastAsia="Arial" w:hAnsi="Arial"/>
                <w:sz w:val="20"/>
                <w:szCs w:val="20"/>
                <w:color w:val="auto"/>
                <w:w w:val="96"/>
              </w:rPr>
              <w:t>Issuance of common stock under</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4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shd w:val="clear" w:color="auto" w:fill="FEFEFE"/>
          </w:tcPr>
          <w:p>
            <w:pPr>
              <w:ind w:left="40"/>
              <w:spacing w:after="0" w:line="200" w:lineRule="exact"/>
              <w:rPr>
                <w:sz w:val="20"/>
                <w:szCs w:val="20"/>
                <w:color w:val="auto"/>
              </w:rPr>
            </w:pPr>
            <w:r>
              <w:rPr>
                <w:rFonts w:ascii="Arial" w:cs="Arial" w:eastAsia="Arial" w:hAnsi="Arial"/>
                <w:sz w:val="20"/>
                <w:szCs w:val="20"/>
                <w:color w:val="auto"/>
              </w:rPr>
              <w:t>stock incentive plan and related</w:t>
            </w:r>
          </w:p>
        </w:tc>
        <w:tc>
          <w:tcPr>
            <w:tcW w:w="840" w:type="dxa"/>
            <w:vAlign w:val="bottom"/>
            <w:shd w:val="clear" w:color="auto" w:fill="FEFEFE"/>
          </w:tcPr>
          <w:p>
            <w:pPr>
              <w:spacing w:after="0"/>
              <w:rPr>
                <w:sz w:val="17"/>
                <w:szCs w:val="17"/>
                <w:color w:val="auto"/>
              </w:rPr>
            </w:pPr>
          </w:p>
        </w:tc>
        <w:tc>
          <w:tcPr>
            <w:tcW w:w="34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480" w:type="dxa"/>
            <w:vAlign w:val="bottom"/>
            <w:shd w:val="clear" w:color="auto" w:fill="FEFEFE"/>
          </w:tcPr>
          <w:p>
            <w:pPr>
              <w:spacing w:after="0"/>
              <w:rPr>
                <w:sz w:val="17"/>
                <w:szCs w:val="17"/>
                <w:color w:val="auto"/>
              </w:rPr>
            </w:pPr>
          </w:p>
        </w:tc>
        <w:tc>
          <w:tcPr>
            <w:tcW w:w="8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40" w:type="dxa"/>
            <w:vAlign w:val="bottom"/>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8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tax effect</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w:t>
            </w:r>
          </w:p>
        </w:tc>
        <w:tc>
          <w:tcPr>
            <w:tcW w:w="340" w:type="dxa"/>
            <w:vAlign w:val="bottom"/>
            <w:shd w:val="clear" w:color="auto" w:fill="FEFEFE"/>
          </w:tcPr>
          <w:p>
            <w:pPr>
              <w:spacing w:after="0"/>
              <w:rPr>
                <w:sz w:val="24"/>
                <w:szCs w:val="24"/>
                <w:color w:val="auto"/>
              </w:rPr>
            </w:pPr>
          </w:p>
        </w:tc>
        <w:tc>
          <w:tcPr>
            <w:tcW w:w="8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w:t>
            </w:r>
          </w:p>
        </w:tc>
        <w:tc>
          <w:tcPr>
            <w:tcW w:w="480" w:type="dxa"/>
            <w:vAlign w:val="bottom"/>
            <w:shd w:val="clear" w:color="auto" w:fill="FEFEFE"/>
          </w:tcPr>
          <w:p>
            <w:pPr>
              <w:spacing w:after="0"/>
              <w:rPr>
                <w:sz w:val="24"/>
                <w:szCs w:val="24"/>
                <w:color w:val="auto"/>
              </w:rPr>
            </w:pPr>
          </w:p>
        </w:tc>
        <w:tc>
          <w:tcPr>
            <w:tcW w:w="860" w:type="dxa"/>
            <w:vAlign w:val="bottom"/>
            <w:shd w:val="clear" w:color="auto" w:fill="FEFEFE"/>
          </w:tcPr>
          <w:p>
            <w:pPr>
              <w:jc w:val="center"/>
              <w:ind w:left="260"/>
              <w:spacing w:after="0"/>
              <w:rPr>
                <w:sz w:val="20"/>
                <w:szCs w:val="20"/>
                <w:color w:val="auto"/>
              </w:rPr>
            </w:pPr>
            <w:r>
              <w:rPr>
                <w:rFonts w:ascii="Arial" w:cs="Arial" w:eastAsia="Arial" w:hAnsi="Arial"/>
                <w:sz w:val="20"/>
                <w:szCs w:val="20"/>
                <w:color w:val="auto"/>
                <w:w w:val="89"/>
              </w:rPr>
              <w:t>248</w:t>
            </w:r>
          </w:p>
        </w:tc>
        <w:tc>
          <w:tcPr>
            <w:tcW w:w="14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28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9"/>
              </w:rPr>
              <w:t>(1)</w:t>
            </w:r>
          </w:p>
        </w:tc>
        <w:tc>
          <w:tcPr>
            <w:tcW w:w="280" w:type="dxa"/>
            <w:vAlign w:val="bottom"/>
            <w:shd w:val="clear" w:color="auto" w:fill="FEFEFE"/>
          </w:tcPr>
          <w:p>
            <w:pPr>
              <w:spacing w:after="0"/>
              <w:rPr>
                <w:sz w:val="24"/>
                <w:szCs w:val="24"/>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255</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40"/>
              <w:spacing w:after="0" w:line="220" w:lineRule="exact"/>
              <w:rPr>
                <w:sz w:val="20"/>
                <w:szCs w:val="20"/>
                <w:color w:val="auto"/>
              </w:rPr>
            </w:pPr>
            <w:r>
              <w:rPr>
                <w:rFonts w:ascii="Arial" w:cs="Arial" w:eastAsia="Arial" w:hAnsi="Arial"/>
                <w:sz w:val="20"/>
                <w:szCs w:val="20"/>
                <w:color w:val="auto"/>
                <w:w w:val="98"/>
              </w:rPr>
              <w:t>Common stock repurchased and</w:t>
            </w: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340" w:type="dxa"/>
            <w:vAlign w:val="bottom"/>
            <w:vMerge w:val="restart"/>
            <w:shd w:val="clear" w:color="auto" w:fill="E4E4E4"/>
          </w:tcPr>
          <w:p>
            <w:pPr>
              <w:jc w:val="right"/>
              <w:ind w:right="183"/>
              <w:spacing w:after="0"/>
              <w:rPr>
                <w:sz w:val="20"/>
                <w:szCs w:val="20"/>
                <w:color w:val="auto"/>
              </w:rPr>
            </w:pPr>
            <w:r>
              <w:rPr>
                <w:rFonts w:ascii="Arial" w:cs="Arial" w:eastAsia="Arial" w:hAnsi="Arial"/>
                <w:sz w:val="16"/>
                <w:szCs w:val="16"/>
                <w:color w:val="auto"/>
                <w:w w:val="74"/>
              </w:rPr>
              <w:t>)</w:t>
            </w:r>
          </w:p>
        </w:tc>
        <w:tc>
          <w:tcPr>
            <w:tcW w:w="8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(2 )</w:t>
            </w:r>
          </w:p>
        </w:tc>
        <w:tc>
          <w:tcPr>
            <w:tcW w:w="480" w:type="dxa"/>
            <w:vAlign w:val="bottom"/>
            <w:shd w:val="clear" w:color="auto" w:fill="E4E4E4"/>
          </w:tcPr>
          <w:p>
            <w:pPr>
              <w:spacing w:after="0"/>
              <w:rPr>
                <w:sz w:val="19"/>
                <w:szCs w:val="19"/>
                <w:color w:val="auto"/>
              </w:rPr>
            </w:pPr>
          </w:p>
        </w:tc>
        <w:tc>
          <w:tcPr>
            <w:tcW w:w="860" w:type="dxa"/>
            <w:vAlign w:val="bottom"/>
            <w:vMerge w:val="restart"/>
            <w:shd w:val="clear" w:color="auto" w:fill="E4E4E4"/>
          </w:tcPr>
          <w:p>
            <w:pPr>
              <w:jc w:val="center"/>
              <w:ind w:left="260"/>
              <w:spacing w:after="0"/>
              <w:rPr>
                <w:sz w:val="20"/>
                <w:szCs w:val="20"/>
                <w:color w:val="auto"/>
              </w:rPr>
            </w:pPr>
            <w:r>
              <w:rPr>
                <w:rFonts w:ascii="Arial" w:cs="Arial" w:eastAsia="Arial" w:hAnsi="Arial"/>
                <w:sz w:val="20"/>
                <w:szCs w:val="20"/>
                <w:color w:val="auto"/>
                <w:w w:val="89"/>
              </w:rPr>
              <w:t>(408)</w:t>
            </w: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20" w:type="dxa"/>
            <w:vAlign w:val="bottom"/>
            <w:gridSpan w:val="2"/>
            <w:vMerge w:val="restart"/>
            <w:shd w:val="clear" w:color="auto" w:fill="E4E4E4"/>
          </w:tcPr>
          <w:p>
            <w:pPr>
              <w:jc w:val="right"/>
              <w:spacing w:after="0"/>
              <w:rPr>
                <w:sz w:val="20"/>
                <w:szCs w:val="20"/>
                <w:color w:val="auto"/>
              </w:rPr>
            </w:pPr>
            <w:r>
              <w:rPr>
                <w:rFonts w:ascii="Arial" w:cs="Arial" w:eastAsia="Arial" w:hAnsi="Arial"/>
                <w:sz w:val="20"/>
                <w:szCs w:val="20"/>
                <w:color w:val="auto"/>
              </w:rPr>
              <w:t>(2,066)</w:t>
            </w: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(2,503)</w:t>
            </w:r>
          </w:p>
        </w:tc>
        <w:tc>
          <w:tcPr>
            <w:tcW w:w="0" w:type="dxa"/>
            <w:vAlign w:val="bottom"/>
          </w:tcPr>
          <w:p>
            <w:pPr>
              <w:spacing w:after="0"/>
              <w:rPr>
                <w:sz w:val="1"/>
                <w:szCs w:val="1"/>
                <w:color w:val="auto"/>
              </w:rPr>
            </w:pPr>
          </w:p>
        </w:tc>
      </w:tr>
      <w:tr>
        <w:trPr>
          <w:trHeight w:val="256"/>
        </w:trPr>
        <w:tc>
          <w:tcPr>
            <w:tcW w:w="2900" w:type="dxa"/>
            <w:vAlign w:val="bottom"/>
            <w:tcBorders>
              <w:bottom w:val="single" w:sz="8" w:color="auto"/>
            </w:tcBorders>
            <w:gridSpan w:val="2"/>
            <w:shd w:val="clear" w:color="auto" w:fill="E4E4E4"/>
          </w:tcPr>
          <w:p>
            <w:pPr>
              <w:ind w:left="40"/>
              <w:spacing w:after="0"/>
              <w:rPr>
                <w:sz w:val="20"/>
                <w:szCs w:val="20"/>
                <w:color w:val="auto"/>
              </w:rPr>
            </w:pPr>
            <w:r>
              <w:rPr>
                <w:rFonts w:ascii="Arial" w:cs="Arial" w:eastAsia="Arial" w:hAnsi="Arial"/>
                <w:sz w:val="20"/>
                <w:szCs w:val="20"/>
                <w:color w:val="auto"/>
              </w:rPr>
              <w:t>retired</w:t>
            </w:r>
          </w:p>
        </w:tc>
        <w:tc>
          <w:tcPr>
            <w:tcW w:w="840" w:type="dxa"/>
            <w:vAlign w:val="bottom"/>
            <w:tcBorders>
              <w:bottom w:val="single" w:sz="8" w:color="auto"/>
            </w:tcBorders>
            <w:vMerge w:val="continue"/>
            <w:shd w:val="clear" w:color="auto" w:fill="E4E4E4"/>
          </w:tcPr>
          <w:p>
            <w:pPr>
              <w:spacing w:after="0"/>
              <w:rPr>
                <w:sz w:val="22"/>
                <w:szCs w:val="22"/>
                <w:color w:val="auto"/>
              </w:rPr>
            </w:pPr>
          </w:p>
        </w:tc>
        <w:tc>
          <w:tcPr>
            <w:tcW w:w="340" w:type="dxa"/>
            <w:vAlign w:val="bottom"/>
            <w:tcBorders>
              <w:bottom w:val="single" w:sz="8" w:color="auto"/>
            </w:tcBorders>
            <w:vMerge w:val="continue"/>
            <w:shd w:val="clear" w:color="auto" w:fill="E4E4E4"/>
          </w:tcPr>
          <w:p>
            <w:pPr>
              <w:spacing w:after="0"/>
              <w:rPr>
                <w:sz w:val="22"/>
                <w:szCs w:val="22"/>
                <w:color w:val="auto"/>
              </w:rPr>
            </w:pPr>
          </w:p>
        </w:tc>
        <w:tc>
          <w:tcPr>
            <w:tcW w:w="800" w:type="dxa"/>
            <w:vAlign w:val="bottom"/>
            <w:tcBorders>
              <w:bottom w:val="single" w:sz="8" w:color="auto"/>
            </w:tcBorders>
            <w:vMerge w:val="continue"/>
            <w:shd w:val="clear" w:color="auto" w:fill="E4E4E4"/>
          </w:tcPr>
          <w:p>
            <w:pPr>
              <w:spacing w:after="0"/>
              <w:rPr>
                <w:sz w:val="22"/>
                <w:szCs w:val="22"/>
                <w:color w:val="auto"/>
              </w:rPr>
            </w:pPr>
          </w:p>
        </w:tc>
        <w:tc>
          <w:tcPr>
            <w:tcW w:w="48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vMerge w:val="continue"/>
            <w:shd w:val="clear" w:color="auto" w:fill="E4E4E4"/>
          </w:tcPr>
          <w:p>
            <w:pPr>
              <w:spacing w:after="0"/>
              <w:rPr>
                <w:sz w:val="22"/>
                <w:szCs w:val="22"/>
                <w:color w:val="auto"/>
              </w:rPr>
            </w:pPr>
          </w:p>
        </w:tc>
        <w:tc>
          <w:tcPr>
            <w:tcW w:w="14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gridSpan w:val="2"/>
            <w:vMerge w:val="continue"/>
            <w:shd w:val="clear" w:color="auto" w:fill="E4E4E4"/>
          </w:tcPr>
          <w:p>
            <w:pPr>
              <w:spacing w:after="0"/>
              <w:rPr>
                <w:sz w:val="22"/>
                <w:szCs w:val="22"/>
                <w:color w:val="auto"/>
              </w:rPr>
            </w:pPr>
          </w:p>
        </w:tc>
        <w:tc>
          <w:tcPr>
            <w:tcW w:w="28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vMerge w:val="continue"/>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900" w:type="dxa"/>
            <w:vAlign w:val="bottom"/>
            <w:gridSpan w:val="2"/>
            <w:shd w:val="clear" w:color="auto" w:fill="FEFEFE"/>
          </w:tcPr>
          <w:p>
            <w:pPr>
              <w:ind w:left="180"/>
              <w:spacing w:after="0"/>
              <w:rPr>
                <w:sz w:val="20"/>
                <w:szCs w:val="20"/>
                <w:color w:val="auto"/>
              </w:rPr>
            </w:pPr>
            <w:r>
              <w:rPr>
                <w:rFonts w:ascii="Arial" w:cs="Arial" w:eastAsia="Arial" w:hAnsi="Arial"/>
                <w:sz w:val="20"/>
                <w:szCs w:val="20"/>
                <w:color w:val="auto"/>
              </w:rPr>
              <w:t>alance, February 3, 2024</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1,134</w:t>
            </w:r>
          </w:p>
        </w:tc>
        <w:tc>
          <w:tcPr>
            <w:tcW w:w="340" w:type="dxa"/>
            <w:vAlign w:val="bottom"/>
            <w:shd w:val="clear" w:color="auto" w:fill="FEFEFE"/>
          </w:tcPr>
          <w:p>
            <w:pPr>
              <w:jc w:val="right"/>
              <w:ind w:right="23"/>
              <w:spacing w:after="0"/>
              <w:rPr>
                <w:sz w:val="20"/>
                <w:szCs w:val="20"/>
                <w:color w:val="auto"/>
              </w:rPr>
            </w:pPr>
            <w:r>
              <w:rPr>
                <w:rFonts w:ascii="Arial" w:cs="Arial" w:eastAsia="Arial" w:hAnsi="Arial"/>
                <w:sz w:val="20"/>
                <w:szCs w:val="20"/>
                <w:color w:val="auto"/>
              </w:rPr>
              <w:t>$</w:t>
            </w:r>
          </w:p>
        </w:tc>
        <w:tc>
          <w:tcPr>
            <w:tcW w:w="8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1,134</w:t>
            </w:r>
          </w:p>
        </w:tc>
        <w:tc>
          <w:tcPr>
            <w:tcW w:w="480" w:type="dxa"/>
            <w:vAlign w:val="bottom"/>
            <w:shd w:val="clear" w:color="auto" w:fill="FEFEFE"/>
          </w:tcPr>
          <w:p>
            <w:pPr>
              <w:ind w:lef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FEFEFE"/>
          </w:tcPr>
          <w:p>
            <w:pPr>
              <w:spacing w:after="0"/>
              <w:rPr>
                <w:sz w:val="24"/>
                <w:szCs w:val="24"/>
                <w:color w:val="auto"/>
              </w:rPr>
            </w:pPr>
          </w:p>
        </w:tc>
        <w:tc>
          <w:tcPr>
            <w:tcW w:w="140" w:type="dxa"/>
            <w:vAlign w:val="bottom"/>
            <w:shd w:val="clear" w:color="auto" w:fill="FEFEFE"/>
          </w:tcPr>
          <w:p>
            <w:pPr>
              <w:ind w:left="40"/>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532</w:t>
            </w:r>
          </w:p>
        </w:tc>
        <w:tc>
          <w:tcPr>
            <w:tcW w:w="2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6,700</w:t>
            </w:r>
          </w:p>
        </w:tc>
        <w:tc>
          <w:tcPr>
            <w:tcW w:w="28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7,302</w:t>
            </w:r>
          </w:p>
        </w:tc>
        <w:tc>
          <w:tcPr>
            <w:tcW w:w="0" w:type="dxa"/>
            <w:vAlign w:val="bottom"/>
          </w:tcPr>
          <w:p>
            <w:pPr>
              <w:spacing w:after="0"/>
              <w:rPr>
                <w:sz w:val="1"/>
                <w:szCs w:val="1"/>
                <w:color w:val="auto"/>
              </w:rPr>
            </w:pPr>
          </w:p>
        </w:tc>
      </w:tr>
      <w:tr>
        <w:trPr>
          <w:trHeight w:val="303"/>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Net income</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4,864</w:t>
            </w:r>
          </w:p>
        </w:tc>
        <w:tc>
          <w:tcPr>
            <w:tcW w:w="280" w:type="dxa"/>
            <w:vAlign w:val="bottom"/>
            <w:shd w:val="clear" w:color="auto" w:fill="E4E4E4"/>
          </w:tcPr>
          <w:p>
            <w:pPr>
              <w:spacing w:after="0"/>
              <w:rPr>
                <w:sz w:val="24"/>
                <w:szCs w:val="24"/>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4,864</w:t>
            </w:r>
          </w:p>
        </w:tc>
        <w:tc>
          <w:tcPr>
            <w:tcW w:w="0" w:type="dxa"/>
            <w:vAlign w:val="bottom"/>
          </w:tcPr>
          <w:p>
            <w:pPr>
              <w:spacing w:after="0"/>
              <w:rPr>
                <w:sz w:val="1"/>
                <w:szCs w:val="1"/>
                <w:color w:val="auto"/>
              </w:rPr>
            </w:pPr>
          </w:p>
        </w:tc>
      </w:tr>
      <w:tr>
        <w:trPr>
          <w:trHeight w:val="217"/>
        </w:trPr>
        <w:tc>
          <w:tcPr>
            <w:tcW w:w="2900" w:type="dxa"/>
            <w:vAlign w:val="bottom"/>
            <w:gridSpan w:val="2"/>
            <w:shd w:val="clear" w:color="auto" w:fill="FEFEFE"/>
          </w:tcPr>
          <w:p>
            <w:pPr>
              <w:ind w:left="180"/>
              <w:spacing w:after="0" w:line="217" w:lineRule="exact"/>
              <w:rPr>
                <w:sz w:val="20"/>
                <w:szCs w:val="20"/>
                <w:color w:val="auto"/>
              </w:rPr>
            </w:pPr>
            <w:r>
              <w:rPr>
                <w:rFonts w:ascii="Arial" w:cs="Arial" w:eastAsia="Arial" w:hAnsi="Arial"/>
                <w:sz w:val="20"/>
                <w:szCs w:val="20"/>
                <w:color w:val="auto"/>
              </w:rPr>
              <w:t>ther comprehensive (loss), net</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2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(77)</w:t>
            </w:r>
          </w:p>
        </w:tc>
        <w:tc>
          <w:tcPr>
            <w:tcW w:w="220" w:type="dxa"/>
            <w:vAlign w:val="bottom"/>
            <w:shd w:val="clear" w:color="auto" w:fill="FEFEFE"/>
          </w:tcPr>
          <w:p>
            <w:pPr>
              <w:spacing w:after="0"/>
              <w:rPr>
                <w:sz w:val="18"/>
                <w:szCs w:val="18"/>
                <w:color w:val="auto"/>
              </w:rPr>
            </w:pPr>
          </w:p>
        </w:tc>
        <w:tc>
          <w:tcPr>
            <w:tcW w:w="8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of tax</w:t>
            </w:r>
          </w:p>
        </w:tc>
        <w:tc>
          <w:tcPr>
            <w:tcW w:w="840" w:type="dxa"/>
            <w:vAlign w:val="bottom"/>
            <w:shd w:val="clear" w:color="auto" w:fill="FEFEFE"/>
          </w:tcPr>
          <w:p>
            <w:pPr>
              <w:spacing w:after="0"/>
              <w:rPr>
                <w:sz w:val="23"/>
                <w:szCs w:val="23"/>
                <w:color w:val="auto"/>
              </w:rPr>
            </w:pPr>
          </w:p>
        </w:tc>
        <w:tc>
          <w:tcPr>
            <w:tcW w:w="340" w:type="dxa"/>
            <w:vAlign w:val="bottom"/>
            <w:shd w:val="clear" w:color="auto" w:fill="FEFEFE"/>
          </w:tcPr>
          <w:p>
            <w:pPr>
              <w:spacing w:after="0"/>
              <w:rPr>
                <w:sz w:val="23"/>
                <w:szCs w:val="23"/>
                <w:color w:val="auto"/>
              </w:rPr>
            </w:pPr>
          </w:p>
        </w:tc>
        <w:tc>
          <w:tcPr>
            <w:tcW w:w="800" w:type="dxa"/>
            <w:vAlign w:val="bottom"/>
            <w:shd w:val="clear" w:color="auto" w:fill="FEFEFE"/>
          </w:tcPr>
          <w:p>
            <w:pPr>
              <w:spacing w:after="0"/>
              <w:rPr>
                <w:sz w:val="23"/>
                <w:szCs w:val="23"/>
                <w:color w:val="auto"/>
              </w:rPr>
            </w:pPr>
          </w:p>
        </w:tc>
        <w:tc>
          <w:tcPr>
            <w:tcW w:w="4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140" w:type="dxa"/>
            <w:vAlign w:val="bottom"/>
            <w:shd w:val="clear" w:color="auto" w:fill="FEFEFE"/>
          </w:tcPr>
          <w:p>
            <w:pPr>
              <w:spacing w:after="0"/>
              <w:rPr>
                <w:sz w:val="23"/>
                <w:szCs w:val="23"/>
                <w:color w:val="auto"/>
              </w:rPr>
            </w:pPr>
          </w:p>
        </w:tc>
        <w:tc>
          <w:tcPr>
            <w:tcW w:w="1240" w:type="dxa"/>
            <w:vAlign w:val="bottom"/>
            <w:vMerge w:val="continue"/>
            <w:shd w:val="clear" w:color="auto" w:fill="FEFEFE"/>
          </w:tcPr>
          <w:p>
            <w:pPr>
              <w:spacing w:after="0"/>
              <w:rPr>
                <w:sz w:val="23"/>
                <w:szCs w:val="23"/>
                <w:color w:val="auto"/>
              </w:rPr>
            </w:pPr>
          </w:p>
        </w:tc>
        <w:tc>
          <w:tcPr>
            <w:tcW w:w="22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104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40"/>
              <w:spacing w:after="0" w:line="220" w:lineRule="exact"/>
              <w:rPr>
                <w:sz w:val="20"/>
                <w:szCs w:val="20"/>
                <w:color w:val="auto"/>
              </w:rPr>
            </w:pPr>
            <w:r>
              <w:rPr>
                <w:rFonts w:ascii="Arial" w:cs="Arial" w:eastAsia="Arial" w:hAnsi="Arial"/>
                <w:sz w:val="20"/>
                <w:szCs w:val="20"/>
                <w:color w:val="auto"/>
              </w:rPr>
              <w:t>Cash dividends declared on</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vMerge w:val="restart"/>
            <w:shd w:val="clear" w:color="auto" w:fill="E4E4E4"/>
          </w:tcPr>
          <w:p>
            <w:pPr>
              <w:ind w:left="500"/>
              <w:spacing w:after="0"/>
              <w:rPr>
                <w:sz w:val="20"/>
                <w:szCs w:val="20"/>
                <w:color w:val="auto"/>
              </w:rPr>
            </w:pPr>
            <w:r>
              <w:rPr>
                <w:rFonts w:ascii="Arial" w:cs="Arial" w:eastAsia="Arial" w:hAnsi="Arial"/>
                <w:sz w:val="20"/>
                <w:szCs w:val="20"/>
                <w:color w:val="auto"/>
                <w:w w:val="92"/>
              </w:rPr>
              <w:t>(1,6</w:t>
            </w:r>
          </w:p>
        </w:tc>
        <w:tc>
          <w:tcPr>
            <w:tcW w:w="2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w:t>
            </w: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(1,6 1)</w:t>
            </w:r>
          </w:p>
        </w:tc>
        <w:tc>
          <w:tcPr>
            <w:tcW w:w="0" w:type="dxa"/>
            <w:vAlign w:val="bottom"/>
          </w:tcPr>
          <w:p>
            <w:pPr>
              <w:spacing w:after="0"/>
              <w:rPr>
                <w:sz w:val="1"/>
                <w:szCs w:val="1"/>
                <w:color w:val="auto"/>
              </w:rPr>
            </w:pPr>
          </w:p>
        </w:tc>
      </w:tr>
      <w:tr>
        <w:trPr>
          <w:trHeight w:val="281"/>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common stock</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vMerge w:val="continue"/>
            <w:shd w:val="clear" w:color="auto" w:fill="E4E4E4"/>
          </w:tcPr>
          <w:p>
            <w:pPr>
              <w:spacing w:after="0"/>
              <w:rPr>
                <w:sz w:val="24"/>
                <w:szCs w:val="24"/>
                <w:color w:val="auto"/>
              </w:rPr>
            </w:pPr>
          </w:p>
        </w:tc>
        <w:tc>
          <w:tcPr>
            <w:tcW w:w="280" w:type="dxa"/>
            <w:vAlign w:val="bottom"/>
            <w:vMerge w:val="continue"/>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FEFEFE"/>
          </w:tcPr>
          <w:p>
            <w:pPr>
              <w:ind w:left="180"/>
              <w:spacing w:after="0" w:line="213" w:lineRule="exact"/>
              <w:rPr>
                <w:sz w:val="20"/>
                <w:szCs w:val="20"/>
                <w:color w:val="auto"/>
              </w:rPr>
            </w:pPr>
            <w:r>
              <w:rPr>
                <w:rFonts w:ascii="Arial" w:cs="Arial" w:eastAsia="Arial" w:hAnsi="Arial"/>
                <w:sz w:val="20"/>
                <w:szCs w:val="20"/>
                <w:color w:val="auto"/>
              </w:rPr>
              <w:t>ecognition of share-based</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vMerge w:val="restart"/>
            <w:shd w:val="clear" w:color="auto" w:fill="FEFEFE"/>
          </w:tcPr>
          <w:p>
            <w:pPr>
              <w:jc w:val="center"/>
              <w:ind w:left="260"/>
              <w:spacing w:after="0"/>
              <w:rPr>
                <w:sz w:val="20"/>
                <w:szCs w:val="20"/>
                <w:color w:val="auto"/>
              </w:rPr>
            </w:pPr>
            <w:r>
              <w:rPr>
                <w:rFonts w:ascii="Arial" w:cs="Arial" w:eastAsia="Arial" w:hAnsi="Arial"/>
                <w:sz w:val="20"/>
                <w:szCs w:val="20"/>
                <w:color w:val="auto"/>
                <w:w w:val="89"/>
              </w:rPr>
              <w:t>183</w:t>
            </w: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compensation</w:t>
            </w:r>
          </w:p>
        </w:tc>
        <w:tc>
          <w:tcPr>
            <w:tcW w:w="840" w:type="dxa"/>
            <w:vAlign w:val="bottom"/>
            <w:shd w:val="clear" w:color="auto" w:fill="FEFEFE"/>
          </w:tcPr>
          <w:p>
            <w:pPr>
              <w:spacing w:after="0"/>
              <w:rPr>
                <w:sz w:val="23"/>
                <w:szCs w:val="23"/>
                <w:color w:val="auto"/>
              </w:rPr>
            </w:pPr>
          </w:p>
        </w:tc>
        <w:tc>
          <w:tcPr>
            <w:tcW w:w="340" w:type="dxa"/>
            <w:vAlign w:val="bottom"/>
            <w:shd w:val="clear" w:color="auto" w:fill="FEFEFE"/>
          </w:tcPr>
          <w:p>
            <w:pPr>
              <w:spacing w:after="0"/>
              <w:rPr>
                <w:sz w:val="23"/>
                <w:szCs w:val="23"/>
                <w:color w:val="auto"/>
              </w:rPr>
            </w:pPr>
          </w:p>
        </w:tc>
        <w:tc>
          <w:tcPr>
            <w:tcW w:w="800" w:type="dxa"/>
            <w:vAlign w:val="bottom"/>
            <w:shd w:val="clear" w:color="auto" w:fill="FEFEFE"/>
          </w:tcPr>
          <w:p>
            <w:pPr>
              <w:spacing w:after="0"/>
              <w:rPr>
                <w:sz w:val="23"/>
                <w:szCs w:val="23"/>
                <w:color w:val="auto"/>
              </w:rPr>
            </w:pPr>
          </w:p>
        </w:tc>
        <w:tc>
          <w:tcPr>
            <w:tcW w:w="480" w:type="dxa"/>
            <w:vAlign w:val="bottom"/>
            <w:shd w:val="clear" w:color="auto" w:fill="FEFEFE"/>
          </w:tcPr>
          <w:p>
            <w:pPr>
              <w:spacing w:after="0"/>
              <w:rPr>
                <w:sz w:val="23"/>
                <w:szCs w:val="23"/>
                <w:color w:val="auto"/>
              </w:rPr>
            </w:pPr>
          </w:p>
        </w:tc>
        <w:tc>
          <w:tcPr>
            <w:tcW w:w="860" w:type="dxa"/>
            <w:vAlign w:val="bottom"/>
            <w:vMerge w:val="continue"/>
            <w:shd w:val="clear" w:color="auto" w:fill="FEFEFE"/>
          </w:tcPr>
          <w:p>
            <w:pPr>
              <w:spacing w:after="0"/>
              <w:rPr>
                <w:sz w:val="23"/>
                <w:szCs w:val="23"/>
                <w:color w:val="auto"/>
              </w:rPr>
            </w:pPr>
          </w:p>
        </w:tc>
        <w:tc>
          <w:tcPr>
            <w:tcW w:w="140" w:type="dxa"/>
            <w:vAlign w:val="bottom"/>
            <w:shd w:val="clear" w:color="auto" w:fill="FEFEFE"/>
          </w:tcPr>
          <w:p>
            <w:pPr>
              <w:spacing w:after="0"/>
              <w:rPr>
                <w:sz w:val="23"/>
                <w:szCs w:val="23"/>
                <w:color w:val="auto"/>
              </w:rPr>
            </w:pPr>
          </w:p>
        </w:tc>
        <w:tc>
          <w:tcPr>
            <w:tcW w:w="1240" w:type="dxa"/>
            <w:vAlign w:val="bottom"/>
            <w:shd w:val="clear" w:color="auto" w:fill="FEFEFE"/>
          </w:tcPr>
          <w:p>
            <w:pPr>
              <w:spacing w:after="0"/>
              <w:rPr>
                <w:sz w:val="23"/>
                <w:szCs w:val="23"/>
                <w:color w:val="auto"/>
              </w:rPr>
            </w:pPr>
          </w:p>
        </w:tc>
        <w:tc>
          <w:tcPr>
            <w:tcW w:w="22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104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40"/>
              <w:spacing w:after="0" w:line="220" w:lineRule="exact"/>
              <w:rPr>
                <w:sz w:val="20"/>
                <w:szCs w:val="20"/>
                <w:color w:val="auto"/>
              </w:rPr>
            </w:pPr>
            <w:r>
              <w:rPr>
                <w:rFonts w:ascii="Arial" w:cs="Arial" w:eastAsia="Arial" w:hAnsi="Arial"/>
                <w:sz w:val="20"/>
                <w:szCs w:val="20"/>
                <w:color w:val="auto"/>
                <w:w w:val="96"/>
              </w:rPr>
              <w:t>Issuance of common stock under</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00" w:type="dxa"/>
            <w:vAlign w:val="bottom"/>
            <w:gridSpan w:val="2"/>
            <w:shd w:val="clear" w:color="auto" w:fill="E4E4E4"/>
          </w:tcPr>
          <w:p>
            <w:pPr>
              <w:ind w:left="40"/>
              <w:spacing w:after="0" w:line="200" w:lineRule="exact"/>
              <w:rPr>
                <w:sz w:val="20"/>
                <w:szCs w:val="20"/>
                <w:color w:val="auto"/>
              </w:rPr>
            </w:pPr>
            <w:r>
              <w:rPr>
                <w:rFonts w:ascii="Arial" w:cs="Arial" w:eastAsia="Arial" w:hAnsi="Arial"/>
                <w:sz w:val="20"/>
                <w:szCs w:val="20"/>
                <w:color w:val="auto"/>
              </w:rPr>
              <w:t>stock incentive plan and related</w:t>
            </w:r>
          </w:p>
        </w:tc>
        <w:tc>
          <w:tcPr>
            <w:tcW w:w="840" w:type="dxa"/>
            <w:vAlign w:val="bottom"/>
            <w:shd w:val="clear" w:color="auto" w:fill="E4E4E4"/>
          </w:tcPr>
          <w:p>
            <w:pPr>
              <w:spacing w:after="0"/>
              <w:rPr>
                <w:sz w:val="17"/>
                <w:szCs w:val="17"/>
                <w:color w:val="auto"/>
              </w:rPr>
            </w:pPr>
          </w:p>
        </w:tc>
        <w:tc>
          <w:tcPr>
            <w:tcW w:w="34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480" w:type="dxa"/>
            <w:vAlign w:val="bottom"/>
            <w:shd w:val="clear" w:color="auto" w:fill="E4E4E4"/>
          </w:tcPr>
          <w:p>
            <w:pPr>
              <w:spacing w:after="0"/>
              <w:rPr>
                <w:sz w:val="17"/>
                <w:szCs w:val="17"/>
                <w:color w:val="auto"/>
              </w:rPr>
            </w:pPr>
          </w:p>
        </w:tc>
        <w:tc>
          <w:tcPr>
            <w:tcW w:w="86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40" w:type="dxa"/>
            <w:vAlign w:val="bottom"/>
            <w:shd w:val="clear" w:color="auto" w:fill="E4E4E4"/>
          </w:tcPr>
          <w:p>
            <w:pPr>
              <w:spacing w:after="0"/>
              <w:rPr>
                <w:sz w:val="17"/>
                <w:szCs w:val="17"/>
                <w:color w:val="auto"/>
              </w:rPr>
            </w:pPr>
          </w:p>
        </w:tc>
        <w:tc>
          <w:tcPr>
            <w:tcW w:w="220" w:type="dxa"/>
            <w:vAlign w:val="bottom"/>
            <w:shd w:val="clear" w:color="auto" w:fill="E4E4E4"/>
          </w:tcPr>
          <w:p>
            <w:pPr>
              <w:spacing w:after="0"/>
              <w:rPr>
                <w:sz w:val="17"/>
                <w:szCs w:val="17"/>
                <w:color w:val="auto"/>
              </w:rPr>
            </w:pPr>
          </w:p>
        </w:tc>
        <w:tc>
          <w:tcPr>
            <w:tcW w:w="84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tax effect</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c>
          <w:tcPr>
            <w:tcW w:w="480" w:type="dxa"/>
            <w:vAlign w:val="bottom"/>
            <w:shd w:val="clear" w:color="auto" w:fill="E4E4E4"/>
          </w:tcPr>
          <w:p>
            <w:pPr>
              <w:spacing w:after="0"/>
              <w:rPr>
                <w:sz w:val="24"/>
                <w:szCs w:val="24"/>
                <w:color w:val="auto"/>
              </w:rPr>
            </w:pPr>
          </w:p>
        </w:tc>
        <w:tc>
          <w:tcPr>
            <w:tcW w:w="860" w:type="dxa"/>
            <w:vAlign w:val="bottom"/>
            <w:shd w:val="clear" w:color="auto" w:fill="E4E4E4"/>
          </w:tcPr>
          <w:p>
            <w:pPr>
              <w:jc w:val="center"/>
              <w:ind w:left="260"/>
              <w:spacing w:after="0"/>
              <w:rPr>
                <w:sz w:val="20"/>
                <w:szCs w:val="20"/>
                <w:color w:val="auto"/>
              </w:rPr>
            </w:pPr>
            <w:r>
              <w:rPr>
                <w:rFonts w:ascii="Arial" w:cs="Arial" w:eastAsia="Arial" w:hAnsi="Arial"/>
                <w:sz w:val="20"/>
                <w:szCs w:val="20"/>
                <w:color w:val="auto"/>
                <w:w w:val="89"/>
              </w:rPr>
              <w:t>316</w:t>
            </w:r>
          </w:p>
        </w:tc>
        <w:tc>
          <w:tcPr>
            <w:tcW w:w="14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323</w:t>
            </w:r>
          </w:p>
        </w:tc>
        <w:tc>
          <w:tcPr>
            <w:tcW w:w="0" w:type="dxa"/>
            <w:vAlign w:val="bottom"/>
          </w:tcPr>
          <w:p>
            <w:pPr>
              <w:spacing w:after="0"/>
              <w:rPr>
                <w:sz w:val="1"/>
                <w:szCs w:val="1"/>
                <w:color w:val="auto"/>
              </w:rPr>
            </w:pPr>
          </w:p>
        </w:tc>
      </w:tr>
      <w:tr>
        <w:trPr>
          <w:trHeight w:val="217"/>
        </w:trPr>
        <w:tc>
          <w:tcPr>
            <w:tcW w:w="2900" w:type="dxa"/>
            <w:vAlign w:val="bottom"/>
            <w:gridSpan w:val="2"/>
            <w:shd w:val="clear" w:color="auto" w:fill="FEFEFE"/>
          </w:tcPr>
          <w:p>
            <w:pPr>
              <w:ind w:left="40"/>
              <w:spacing w:after="0" w:line="217" w:lineRule="exact"/>
              <w:rPr>
                <w:sz w:val="20"/>
                <w:szCs w:val="20"/>
                <w:color w:val="auto"/>
              </w:rPr>
            </w:pPr>
            <w:r>
              <w:rPr>
                <w:rFonts w:ascii="Arial" w:cs="Arial" w:eastAsia="Arial" w:hAnsi="Arial"/>
                <w:sz w:val="20"/>
                <w:szCs w:val="20"/>
                <w:color w:val="auto"/>
                <w:w w:val="98"/>
              </w:rPr>
              <w:t>Common stock repurchased and</w:t>
            </w:r>
          </w:p>
        </w:tc>
        <w:tc>
          <w:tcPr>
            <w:tcW w:w="1180" w:type="dxa"/>
            <w:vAlign w:val="bottom"/>
            <w:gridSpan w:val="2"/>
            <w:vMerge w:val="restart"/>
            <w:shd w:val="clear" w:color="auto" w:fill="FEFEFE"/>
          </w:tcPr>
          <w:p>
            <w:pPr>
              <w:jc w:val="right"/>
              <w:ind w:right="183"/>
              <w:spacing w:after="0"/>
              <w:rPr>
                <w:sz w:val="20"/>
                <w:szCs w:val="20"/>
                <w:color w:val="auto"/>
              </w:rPr>
            </w:pPr>
            <w:r>
              <w:rPr>
                <w:rFonts w:ascii="Arial" w:cs="Arial" w:eastAsia="Arial" w:hAnsi="Arial"/>
                <w:sz w:val="20"/>
                <w:szCs w:val="20"/>
                <w:color w:val="auto"/>
              </w:rPr>
              <w:t>(22)</w:t>
            </w:r>
          </w:p>
        </w:tc>
        <w:tc>
          <w:tcPr>
            <w:tcW w:w="8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(22)</w:t>
            </w:r>
          </w:p>
        </w:tc>
        <w:tc>
          <w:tcPr>
            <w:tcW w:w="480" w:type="dxa"/>
            <w:vAlign w:val="bottom"/>
            <w:shd w:val="clear" w:color="auto" w:fill="FEFEFE"/>
          </w:tcPr>
          <w:p>
            <w:pPr>
              <w:spacing w:after="0"/>
              <w:rPr>
                <w:sz w:val="18"/>
                <w:szCs w:val="18"/>
                <w:color w:val="auto"/>
              </w:rPr>
            </w:pPr>
          </w:p>
        </w:tc>
        <w:tc>
          <w:tcPr>
            <w:tcW w:w="860" w:type="dxa"/>
            <w:vAlign w:val="bottom"/>
            <w:vMerge w:val="restart"/>
            <w:shd w:val="clear" w:color="auto" w:fill="FEFEFE"/>
          </w:tcPr>
          <w:p>
            <w:pPr>
              <w:jc w:val="center"/>
              <w:ind w:left="260"/>
              <w:spacing w:after="0"/>
              <w:rPr>
                <w:sz w:val="20"/>
                <w:szCs w:val="20"/>
                <w:color w:val="auto"/>
              </w:rPr>
            </w:pPr>
            <w:r>
              <w:rPr>
                <w:rFonts w:ascii="Arial" w:cs="Arial" w:eastAsia="Arial" w:hAnsi="Arial"/>
                <w:sz w:val="20"/>
                <w:szCs w:val="20"/>
                <w:color w:val="auto"/>
              </w:rPr>
              <w:t>(4  )</w:t>
            </w: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40" w:type="dxa"/>
            <w:vAlign w:val="bottom"/>
            <w:vMerge w:val="restart"/>
            <w:shd w:val="clear" w:color="auto" w:fill="FEFEFE"/>
          </w:tcPr>
          <w:p>
            <w:pPr>
              <w:ind w:left="500"/>
              <w:spacing w:after="0"/>
              <w:rPr>
                <w:sz w:val="20"/>
                <w:szCs w:val="20"/>
                <w:color w:val="auto"/>
              </w:rPr>
            </w:pPr>
            <w:r>
              <w:rPr>
                <w:rFonts w:ascii="Arial" w:cs="Arial" w:eastAsia="Arial" w:hAnsi="Arial"/>
                <w:sz w:val="20"/>
                <w:szCs w:val="20"/>
                <w:color w:val="auto"/>
              </w:rPr>
              <w:t>(1,</w:t>
            </w:r>
          </w:p>
        </w:tc>
        <w:tc>
          <w:tcPr>
            <w:tcW w:w="2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w:t>
            </w:r>
          </w:p>
        </w:tc>
        <w:tc>
          <w:tcPr>
            <w:tcW w:w="280" w:type="dxa"/>
            <w:vAlign w:val="bottom"/>
            <w:shd w:val="clear" w:color="auto" w:fill="FEFEFE"/>
          </w:tcPr>
          <w:p>
            <w:pPr>
              <w:spacing w:after="0"/>
              <w:rPr>
                <w:sz w:val="18"/>
                <w:szCs w:val="18"/>
                <w:color w:val="auto"/>
              </w:rPr>
            </w:pPr>
          </w:p>
        </w:tc>
        <w:tc>
          <w:tcPr>
            <w:tcW w:w="10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(2,511)</w:t>
            </w:r>
          </w:p>
        </w:tc>
        <w:tc>
          <w:tcPr>
            <w:tcW w:w="0" w:type="dxa"/>
            <w:vAlign w:val="bottom"/>
          </w:tcPr>
          <w:p>
            <w:pPr>
              <w:spacing w:after="0"/>
              <w:rPr>
                <w:sz w:val="1"/>
                <w:szCs w:val="1"/>
                <w:color w:val="auto"/>
              </w:rPr>
            </w:pPr>
          </w:p>
        </w:tc>
      </w:tr>
      <w:tr>
        <w:trPr>
          <w:trHeight w:val="271"/>
        </w:trPr>
        <w:tc>
          <w:tcPr>
            <w:tcW w:w="2900" w:type="dxa"/>
            <w:vAlign w:val="bottom"/>
            <w:tcBorders>
              <w:bottom w:val="single" w:sz="8" w:color="auto"/>
            </w:tcBorders>
            <w:gridSpan w:val="2"/>
            <w:shd w:val="clear" w:color="auto" w:fill="FEFEFE"/>
          </w:tcPr>
          <w:p>
            <w:pPr>
              <w:ind w:left="40"/>
              <w:spacing w:after="0"/>
              <w:rPr>
                <w:sz w:val="20"/>
                <w:szCs w:val="20"/>
                <w:color w:val="auto"/>
              </w:rPr>
            </w:pPr>
            <w:r>
              <w:rPr>
                <w:rFonts w:ascii="Arial" w:cs="Arial" w:eastAsia="Arial" w:hAnsi="Arial"/>
                <w:sz w:val="20"/>
                <w:szCs w:val="20"/>
                <w:color w:val="auto"/>
              </w:rPr>
              <w:t>retired</w:t>
            </w:r>
          </w:p>
        </w:tc>
        <w:tc>
          <w:tcPr>
            <w:tcW w:w="1180" w:type="dxa"/>
            <w:vAlign w:val="bottom"/>
            <w:tcBorders>
              <w:bottom w:val="single" w:sz="8" w:color="auto"/>
            </w:tcBorders>
            <w:gridSpan w:val="2"/>
            <w:vMerge w:val="continue"/>
            <w:shd w:val="clear" w:color="auto" w:fill="FEFEFE"/>
          </w:tcPr>
          <w:p>
            <w:pPr>
              <w:spacing w:after="0"/>
              <w:rPr>
                <w:sz w:val="23"/>
                <w:szCs w:val="23"/>
                <w:color w:val="auto"/>
              </w:rPr>
            </w:pPr>
          </w:p>
        </w:tc>
        <w:tc>
          <w:tcPr>
            <w:tcW w:w="800" w:type="dxa"/>
            <w:vAlign w:val="bottom"/>
            <w:tcBorders>
              <w:bottom w:val="single" w:sz="8" w:color="auto"/>
            </w:tcBorders>
            <w:vMerge w:val="continue"/>
            <w:shd w:val="clear" w:color="auto" w:fill="FEFEFE"/>
          </w:tcPr>
          <w:p>
            <w:pPr>
              <w:spacing w:after="0"/>
              <w:rPr>
                <w:sz w:val="23"/>
                <w:szCs w:val="23"/>
                <w:color w:val="auto"/>
              </w:rPr>
            </w:pPr>
          </w:p>
        </w:tc>
        <w:tc>
          <w:tcPr>
            <w:tcW w:w="480" w:type="dxa"/>
            <w:vAlign w:val="bottom"/>
            <w:tcBorders>
              <w:bottom w:val="single" w:sz="8" w:color="auto"/>
            </w:tcBorders>
            <w:shd w:val="clear" w:color="auto" w:fill="FEFEFE"/>
          </w:tcPr>
          <w:p>
            <w:pPr>
              <w:spacing w:after="0"/>
              <w:rPr>
                <w:sz w:val="23"/>
                <w:szCs w:val="23"/>
                <w:color w:val="auto"/>
              </w:rPr>
            </w:pPr>
          </w:p>
        </w:tc>
        <w:tc>
          <w:tcPr>
            <w:tcW w:w="860" w:type="dxa"/>
            <w:vAlign w:val="bottom"/>
            <w:tcBorders>
              <w:bottom w:val="single" w:sz="8" w:color="auto"/>
            </w:tcBorders>
            <w:vMerge w:val="continue"/>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spacing w:after="0"/>
              <w:rPr>
                <w:sz w:val="23"/>
                <w:szCs w:val="23"/>
                <w:color w:val="auto"/>
              </w:rPr>
            </w:pPr>
          </w:p>
        </w:tc>
        <w:tc>
          <w:tcPr>
            <w:tcW w:w="1240" w:type="dxa"/>
            <w:vAlign w:val="bottom"/>
            <w:tcBorders>
              <w:bottom w:val="single" w:sz="8" w:color="auto"/>
            </w:tcBorders>
            <w:shd w:val="clear" w:color="auto" w:fill="FEFEFE"/>
          </w:tcPr>
          <w:p>
            <w:pPr>
              <w:spacing w:after="0"/>
              <w:rPr>
                <w:sz w:val="23"/>
                <w:szCs w:val="23"/>
                <w:color w:val="auto"/>
              </w:rPr>
            </w:pPr>
          </w:p>
        </w:tc>
        <w:tc>
          <w:tcPr>
            <w:tcW w:w="220" w:type="dxa"/>
            <w:vAlign w:val="bottom"/>
            <w:tcBorders>
              <w:bottom w:val="single" w:sz="8" w:color="auto"/>
            </w:tcBorders>
            <w:shd w:val="clear" w:color="auto" w:fill="FEFEFE"/>
          </w:tcPr>
          <w:p>
            <w:pPr>
              <w:spacing w:after="0"/>
              <w:rPr>
                <w:sz w:val="23"/>
                <w:szCs w:val="23"/>
                <w:color w:val="auto"/>
              </w:rPr>
            </w:pPr>
          </w:p>
        </w:tc>
        <w:tc>
          <w:tcPr>
            <w:tcW w:w="840" w:type="dxa"/>
            <w:vAlign w:val="bottom"/>
            <w:tcBorders>
              <w:bottom w:val="single" w:sz="8" w:color="auto"/>
            </w:tcBorders>
            <w:vMerge w:val="continue"/>
            <w:shd w:val="clear" w:color="auto" w:fill="FEFEFE"/>
          </w:tcPr>
          <w:p>
            <w:pPr>
              <w:spacing w:after="0"/>
              <w:rPr>
                <w:sz w:val="23"/>
                <w:szCs w:val="23"/>
                <w:color w:val="auto"/>
              </w:rPr>
            </w:pPr>
          </w:p>
        </w:tc>
        <w:tc>
          <w:tcPr>
            <w:tcW w:w="280" w:type="dxa"/>
            <w:vAlign w:val="bottom"/>
            <w:tcBorders>
              <w:bottom w:val="single" w:sz="8" w:color="auto"/>
            </w:tcBorders>
            <w:vMerge w:val="continue"/>
            <w:shd w:val="clear" w:color="auto" w:fill="FEFEFE"/>
          </w:tcPr>
          <w:p>
            <w:pPr>
              <w:spacing w:after="0"/>
              <w:rPr>
                <w:sz w:val="23"/>
                <w:szCs w:val="23"/>
                <w:color w:val="auto"/>
              </w:rPr>
            </w:pPr>
          </w:p>
        </w:tc>
        <w:tc>
          <w:tcPr>
            <w:tcW w:w="280" w:type="dxa"/>
            <w:vAlign w:val="bottom"/>
            <w:tcBorders>
              <w:bottom w:val="single" w:sz="8" w:color="auto"/>
            </w:tcBorders>
            <w:shd w:val="clear" w:color="auto" w:fill="FEFEFE"/>
          </w:tcPr>
          <w:p>
            <w:pPr>
              <w:spacing w:after="0"/>
              <w:rPr>
                <w:sz w:val="23"/>
                <w:szCs w:val="23"/>
                <w:color w:val="auto"/>
              </w:rPr>
            </w:pPr>
          </w:p>
        </w:tc>
        <w:tc>
          <w:tcPr>
            <w:tcW w:w="1040" w:type="dxa"/>
            <w:vAlign w:val="bottom"/>
            <w:tcBorders>
              <w:bottom w:val="single" w:sz="8" w:color="auto"/>
            </w:tcBorders>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90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alance, February 1, 2025</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1,119</w:t>
            </w:r>
          </w:p>
        </w:tc>
        <w:tc>
          <w:tcPr>
            <w:tcW w:w="340" w:type="dxa"/>
            <w:vAlign w:val="bottom"/>
            <w:shd w:val="clear" w:color="auto" w:fill="E4E4E4"/>
          </w:tcPr>
          <w:p>
            <w:pPr>
              <w:jc w:val="right"/>
              <w:ind w:right="23"/>
              <w:spacing w:after="0"/>
              <w:rPr>
                <w:sz w:val="20"/>
                <w:szCs w:val="20"/>
                <w:color w:val="auto"/>
              </w:rPr>
            </w:pPr>
            <w:r>
              <w:rPr>
                <w:rFonts w:ascii="Arial" w:cs="Arial" w:eastAsia="Arial" w:hAnsi="Arial"/>
                <w:sz w:val="20"/>
                <w:szCs w:val="20"/>
                <w:color w:val="auto"/>
              </w:rPr>
              <w:t>$</w:t>
            </w:r>
          </w:p>
        </w:tc>
        <w:tc>
          <w:tcPr>
            <w:tcW w:w="8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1,119</w:t>
            </w:r>
          </w:p>
        </w:tc>
        <w:tc>
          <w:tcPr>
            <w:tcW w:w="480" w:type="dxa"/>
            <w:vAlign w:val="bottom"/>
            <w:shd w:val="clear" w:color="auto" w:fill="E4E4E4"/>
          </w:tcPr>
          <w:p>
            <w:pPr>
              <w:ind w:lef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ind w:left="40"/>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609</w:t>
            </w:r>
          </w:p>
        </w:tc>
        <w:tc>
          <w:tcPr>
            <w:tcW w:w="2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7,883</w:t>
            </w:r>
          </w:p>
        </w:tc>
        <w:tc>
          <w:tcPr>
            <w:tcW w:w="28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8,393</w:t>
            </w:r>
          </w:p>
        </w:tc>
        <w:tc>
          <w:tcPr>
            <w:tcW w:w="0" w:type="dxa"/>
            <w:vAlign w:val="bottom"/>
          </w:tcPr>
          <w:p>
            <w:pPr>
              <w:spacing w:after="0"/>
              <w:rPr>
                <w:sz w:val="1"/>
                <w:szCs w:val="1"/>
                <w:color w:val="auto"/>
              </w:rPr>
            </w:pPr>
          </w:p>
        </w:tc>
      </w:tr>
      <w:tr>
        <w:trPr>
          <w:trHeight w:val="293"/>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Net income</w:t>
            </w:r>
          </w:p>
        </w:tc>
        <w:tc>
          <w:tcPr>
            <w:tcW w:w="840" w:type="dxa"/>
            <w:vAlign w:val="bottom"/>
            <w:shd w:val="clear" w:color="auto" w:fill="FEFEFE"/>
          </w:tcPr>
          <w:p>
            <w:pPr>
              <w:spacing w:after="0"/>
              <w:rPr>
                <w:sz w:val="24"/>
                <w:szCs w:val="24"/>
                <w:color w:val="auto"/>
              </w:rPr>
            </w:pPr>
          </w:p>
        </w:tc>
        <w:tc>
          <w:tcPr>
            <w:tcW w:w="340" w:type="dxa"/>
            <w:vAlign w:val="bottom"/>
            <w:shd w:val="clear" w:color="auto" w:fill="FEFEFE"/>
          </w:tcPr>
          <w:p>
            <w:pPr>
              <w:spacing w:after="0"/>
              <w:rPr>
                <w:sz w:val="24"/>
                <w:szCs w:val="24"/>
                <w:color w:val="auto"/>
              </w:rPr>
            </w:pPr>
          </w:p>
        </w:tc>
        <w:tc>
          <w:tcPr>
            <w:tcW w:w="80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112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5,494</w:t>
            </w:r>
          </w:p>
        </w:tc>
        <w:tc>
          <w:tcPr>
            <w:tcW w:w="280" w:type="dxa"/>
            <w:vAlign w:val="bottom"/>
            <w:shd w:val="clear" w:color="auto" w:fill="FEFEFE"/>
          </w:tcPr>
          <w:p>
            <w:pPr>
              <w:spacing w:after="0"/>
              <w:rPr>
                <w:sz w:val="24"/>
                <w:szCs w:val="24"/>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5,494</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180"/>
              <w:spacing w:after="0" w:line="220" w:lineRule="exact"/>
              <w:rPr>
                <w:sz w:val="20"/>
                <w:szCs w:val="20"/>
                <w:color w:val="auto"/>
              </w:rPr>
            </w:pPr>
            <w:r>
              <w:rPr>
                <w:rFonts w:ascii="Arial" w:cs="Arial" w:eastAsia="Arial" w:hAnsi="Arial"/>
                <w:sz w:val="20"/>
                <w:szCs w:val="20"/>
                <w:color w:val="auto"/>
              </w:rPr>
              <w:t>ther comprehensive income,</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258</w:t>
            </w: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258</w:t>
            </w:r>
          </w:p>
        </w:tc>
        <w:tc>
          <w:tcPr>
            <w:tcW w:w="0" w:type="dxa"/>
            <w:vAlign w:val="bottom"/>
          </w:tcPr>
          <w:p>
            <w:pPr>
              <w:spacing w:after="0"/>
              <w:rPr>
                <w:sz w:val="1"/>
                <w:szCs w:val="1"/>
                <w:color w:val="auto"/>
              </w:rPr>
            </w:pPr>
          </w:p>
        </w:tc>
      </w:tr>
      <w:tr>
        <w:trPr>
          <w:trHeight w:val="281"/>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net of tax</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vMerge w:val="continue"/>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FEFEFE"/>
          </w:tcPr>
          <w:p>
            <w:pPr>
              <w:ind w:left="40"/>
              <w:spacing w:after="0" w:line="213" w:lineRule="exact"/>
              <w:rPr>
                <w:sz w:val="20"/>
                <w:szCs w:val="20"/>
                <w:color w:val="auto"/>
              </w:rPr>
            </w:pPr>
            <w:r>
              <w:rPr>
                <w:rFonts w:ascii="Arial" w:cs="Arial" w:eastAsia="Arial" w:hAnsi="Arial"/>
                <w:sz w:val="20"/>
                <w:szCs w:val="20"/>
                <w:color w:val="auto"/>
              </w:rPr>
              <w:t>Cash dividends declared on</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120" w:type="dxa"/>
            <w:vAlign w:val="bottom"/>
            <w:gridSpan w:val="2"/>
            <w:vMerge w:val="restart"/>
            <w:shd w:val="clear" w:color="auto" w:fill="FEFEFE"/>
          </w:tcPr>
          <w:p>
            <w:pPr>
              <w:jc w:val="right"/>
              <w:spacing w:after="0"/>
              <w:rPr>
                <w:sz w:val="20"/>
                <w:szCs w:val="20"/>
                <w:color w:val="auto"/>
              </w:rPr>
            </w:pPr>
            <w:r>
              <w:rPr>
                <w:rFonts w:ascii="Arial" w:cs="Arial" w:eastAsia="Arial" w:hAnsi="Arial"/>
                <w:sz w:val="20"/>
                <w:szCs w:val="20"/>
                <w:color w:val="auto"/>
              </w:rPr>
              <w:t>1,893</w:t>
            </w:r>
          </w:p>
        </w:tc>
        <w:tc>
          <w:tcPr>
            <w:tcW w:w="280" w:type="dxa"/>
            <w:vAlign w:val="bottom"/>
            <w:shd w:val="clear" w:color="auto" w:fill="FEFEFE"/>
          </w:tcPr>
          <w:p>
            <w:pPr>
              <w:spacing w:after="0"/>
              <w:rPr>
                <w:sz w:val="18"/>
                <w:szCs w:val="18"/>
                <w:color w:val="auto"/>
              </w:rPr>
            </w:pPr>
          </w:p>
        </w:tc>
        <w:tc>
          <w:tcPr>
            <w:tcW w:w="10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1,893</w:t>
            </w: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common stock</w:t>
            </w:r>
          </w:p>
        </w:tc>
        <w:tc>
          <w:tcPr>
            <w:tcW w:w="840" w:type="dxa"/>
            <w:vAlign w:val="bottom"/>
            <w:shd w:val="clear" w:color="auto" w:fill="FEFEFE"/>
          </w:tcPr>
          <w:p>
            <w:pPr>
              <w:spacing w:after="0"/>
              <w:rPr>
                <w:sz w:val="23"/>
                <w:szCs w:val="23"/>
                <w:color w:val="auto"/>
              </w:rPr>
            </w:pPr>
          </w:p>
        </w:tc>
        <w:tc>
          <w:tcPr>
            <w:tcW w:w="340" w:type="dxa"/>
            <w:vAlign w:val="bottom"/>
            <w:shd w:val="clear" w:color="auto" w:fill="FEFEFE"/>
          </w:tcPr>
          <w:p>
            <w:pPr>
              <w:spacing w:after="0"/>
              <w:rPr>
                <w:sz w:val="23"/>
                <w:szCs w:val="23"/>
                <w:color w:val="auto"/>
              </w:rPr>
            </w:pPr>
          </w:p>
        </w:tc>
        <w:tc>
          <w:tcPr>
            <w:tcW w:w="800" w:type="dxa"/>
            <w:vAlign w:val="bottom"/>
            <w:shd w:val="clear" w:color="auto" w:fill="FEFEFE"/>
          </w:tcPr>
          <w:p>
            <w:pPr>
              <w:spacing w:after="0"/>
              <w:rPr>
                <w:sz w:val="23"/>
                <w:szCs w:val="23"/>
                <w:color w:val="auto"/>
              </w:rPr>
            </w:pPr>
          </w:p>
        </w:tc>
        <w:tc>
          <w:tcPr>
            <w:tcW w:w="4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140" w:type="dxa"/>
            <w:vAlign w:val="bottom"/>
            <w:shd w:val="clear" w:color="auto" w:fill="FEFEFE"/>
          </w:tcPr>
          <w:p>
            <w:pPr>
              <w:spacing w:after="0"/>
              <w:rPr>
                <w:sz w:val="23"/>
                <w:szCs w:val="23"/>
                <w:color w:val="auto"/>
              </w:rPr>
            </w:pPr>
          </w:p>
        </w:tc>
        <w:tc>
          <w:tcPr>
            <w:tcW w:w="1240" w:type="dxa"/>
            <w:vAlign w:val="bottom"/>
            <w:shd w:val="clear" w:color="auto" w:fill="FEFEFE"/>
          </w:tcPr>
          <w:p>
            <w:pPr>
              <w:spacing w:after="0"/>
              <w:rPr>
                <w:sz w:val="23"/>
                <w:szCs w:val="23"/>
                <w:color w:val="auto"/>
              </w:rPr>
            </w:pPr>
          </w:p>
        </w:tc>
        <w:tc>
          <w:tcPr>
            <w:tcW w:w="220" w:type="dxa"/>
            <w:vAlign w:val="bottom"/>
            <w:shd w:val="clear" w:color="auto" w:fill="FEFEFE"/>
          </w:tcPr>
          <w:p>
            <w:pPr>
              <w:spacing w:after="0"/>
              <w:rPr>
                <w:sz w:val="23"/>
                <w:szCs w:val="23"/>
                <w:color w:val="auto"/>
              </w:rPr>
            </w:pPr>
          </w:p>
        </w:tc>
        <w:tc>
          <w:tcPr>
            <w:tcW w:w="1120" w:type="dxa"/>
            <w:vAlign w:val="bottom"/>
            <w:gridSpan w:val="2"/>
            <w:vMerge w:val="continue"/>
            <w:shd w:val="clear" w:color="auto" w:fill="FEFEFE"/>
          </w:tcPr>
          <w:p>
            <w:pPr>
              <w:spacing w:after="0"/>
              <w:rPr>
                <w:sz w:val="23"/>
                <w:szCs w:val="23"/>
                <w:color w:val="auto"/>
              </w:rPr>
            </w:pPr>
          </w:p>
        </w:tc>
        <w:tc>
          <w:tcPr>
            <w:tcW w:w="280" w:type="dxa"/>
            <w:vAlign w:val="bottom"/>
            <w:shd w:val="clear" w:color="auto" w:fill="FEFEFE"/>
          </w:tcPr>
          <w:p>
            <w:pPr>
              <w:spacing w:after="0"/>
              <w:rPr>
                <w:sz w:val="23"/>
                <w:szCs w:val="23"/>
                <w:color w:val="auto"/>
              </w:rPr>
            </w:pPr>
          </w:p>
        </w:tc>
        <w:tc>
          <w:tcPr>
            <w:tcW w:w="104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180"/>
              <w:spacing w:after="0" w:line="220" w:lineRule="exact"/>
              <w:rPr>
                <w:sz w:val="20"/>
                <w:szCs w:val="20"/>
                <w:color w:val="auto"/>
              </w:rPr>
            </w:pPr>
            <w:r>
              <w:rPr>
                <w:rFonts w:ascii="Arial" w:cs="Arial" w:eastAsia="Arial" w:hAnsi="Arial"/>
                <w:sz w:val="20"/>
                <w:szCs w:val="20"/>
                <w:color w:val="auto"/>
              </w:rPr>
              <w:t>ecognition of share-based</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vMerge w:val="restart"/>
            <w:shd w:val="clear" w:color="auto" w:fill="E4E4E4"/>
          </w:tcPr>
          <w:p>
            <w:pPr>
              <w:jc w:val="center"/>
              <w:ind w:left="260"/>
              <w:spacing w:after="0"/>
              <w:rPr>
                <w:sz w:val="20"/>
                <w:szCs w:val="20"/>
                <w:color w:val="auto"/>
              </w:rPr>
            </w:pPr>
            <w:r>
              <w:rPr>
                <w:rFonts w:ascii="Arial" w:cs="Arial" w:eastAsia="Arial" w:hAnsi="Arial"/>
                <w:sz w:val="20"/>
                <w:szCs w:val="20"/>
                <w:color w:val="auto"/>
                <w:w w:val="89"/>
              </w:rPr>
              <w:t>214</w:t>
            </w: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214</w:t>
            </w:r>
          </w:p>
        </w:tc>
        <w:tc>
          <w:tcPr>
            <w:tcW w:w="0" w:type="dxa"/>
            <w:vAlign w:val="bottom"/>
          </w:tcPr>
          <w:p>
            <w:pPr>
              <w:spacing w:after="0"/>
              <w:rPr>
                <w:sz w:val="1"/>
                <w:szCs w:val="1"/>
                <w:color w:val="auto"/>
              </w:rPr>
            </w:pPr>
          </w:p>
        </w:tc>
      </w:tr>
      <w:tr>
        <w:trPr>
          <w:trHeight w:val="281"/>
        </w:trPr>
        <w:tc>
          <w:tcPr>
            <w:tcW w:w="29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compensation</w:t>
            </w:r>
          </w:p>
        </w:tc>
        <w:tc>
          <w:tcPr>
            <w:tcW w:w="840" w:type="dxa"/>
            <w:vAlign w:val="bottom"/>
            <w:shd w:val="clear" w:color="auto" w:fill="E4E4E4"/>
          </w:tcPr>
          <w:p>
            <w:pPr>
              <w:spacing w:after="0"/>
              <w:rPr>
                <w:sz w:val="24"/>
                <w:szCs w:val="24"/>
                <w:color w:val="auto"/>
              </w:rPr>
            </w:pPr>
          </w:p>
        </w:tc>
        <w:tc>
          <w:tcPr>
            <w:tcW w:w="34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24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FEFEFE"/>
          </w:tcPr>
          <w:p>
            <w:pPr>
              <w:ind w:left="40"/>
              <w:spacing w:after="0" w:line="213" w:lineRule="exact"/>
              <w:rPr>
                <w:sz w:val="20"/>
                <w:szCs w:val="20"/>
                <w:color w:val="auto"/>
              </w:rPr>
            </w:pPr>
            <w:r>
              <w:rPr>
                <w:rFonts w:ascii="Arial" w:cs="Arial" w:eastAsia="Arial" w:hAnsi="Arial"/>
                <w:sz w:val="20"/>
                <w:szCs w:val="20"/>
                <w:color w:val="auto"/>
                <w:w w:val="96"/>
              </w:rPr>
              <w:t>Issuance of common stock under</w:t>
            </w:r>
          </w:p>
        </w:tc>
        <w:tc>
          <w:tcPr>
            <w:tcW w:w="840" w:type="dxa"/>
            <w:vAlign w:val="bottom"/>
            <w:shd w:val="clear" w:color="auto" w:fill="FEFEFE"/>
          </w:tcPr>
          <w:p>
            <w:pPr>
              <w:spacing w:after="0"/>
              <w:rPr>
                <w:sz w:val="18"/>
                <w:szCs w:val="18"/>
                <w:color w:val="auto"/>
              </w:rPr>
            </w:pPr>
          </w:p>
        </w:tc>
        <w:tc>
          <w:tcPr>
            <w:tcW w:w="340" w:type="dxa"/>
            <w:vAlign w:val="bottom"/>
            <w:shd w:val="clear" w:color="auto" w:fill="FEFEFE"/>
          </w:tcPr>
          <w:p>
            <w:pPr>
              <w:spacing w:after="0"/>
              <w:rPr>
                <w:sz w:val="18"/>
                <w:szCs w:val="18"/>
                <w:color w:val="auto"/>
              </w:rPr>
            </w:pPr>
          </w:p>
        </w:tc>
        <w:tc>
          <w:tcPr>
            <w:tcW w:w="8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2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04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shd w:val="clear" w:color="auto" w:fill="FEFEFE"/>
          </w:tcPr>
          <w:p>
            <w:pPr>
              <w:ind w:left="40"/>
              <w:spacing w:after="0" w:line="200" w:lineRule="exact"/>
              <w:rPr>
                <w:sz w:val="20"/>
                <w:szCs w:val="20"/>
                <w:color w:val="auto"/>
              </w:rPr>
            </w:pPr>
            <w:r>
              <w:rPr>
                <w:rFonts w:ascii="Arial" w:cs="Arial" w:eastAsia="Arial" w:hAnsi="Arial"/>
                <w:sz w:val="20"/>
                <w:szCs w:val="20"/>
                <w:color w:val="auto"/>
              </w:rPr>
              <w:t>stock incentive plan and related</w:t>
            </w:r>
          </w:p>
        </w:tc>
        <w:tc>
          <w:tcPr>
            <w:tcW w:w="840" w:type="dxa"/>
            <w:vAlign w:val="bottom"/>
            <w:shd w:val="clear" w:color="auto" w:fill="FEFEFE"/>
          </w:tcPr>
          <w:p>
            <w:pPr>
              <w:spacing w:after="0"/>
              <w:rPr>
                <w:sz w:val="17"/>
                <w:szCs w:val="17"/>
                <w:color w:val="auto"/>
              </w:rPr>
            </w:pPr>
          </w:p>
        </w:tc>
        <w:tc>
          <w:tcPr>
            <w:tcW w:w="34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480" w:type="dxa"/>
            <w:vAlign w:val="bottom"/>
            <w:shd w:val="clear" w:color="auto" w:fill="FEFEFE"/>
          </w:tcPr>
          <w:p>
            <w:pPr>
              <w:spacing w:after="0"/>
              <w:rPr>
                <w:sz w:val="17"/>
                <w:szCs w:val="17"/>
                <w:color w:val="auto"/>
              </w:rPr>
            </w:pPr>
          </w:p>
        </w:tc>
        <w:tc>
          <w:tcPr>
            <w:tcW w:w="8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40" w:type="dxa"/>
            <w:vAlign w:val="bottom"/>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84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10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900" w:type="dxa"/>
            <w:vAlign w:val="bottom"/>
            <w:gridSpan w:val="2"/>
            <w:shd w:val="clear" w:color="auto" w:fill="FEFEFE"/>
          </w:tcPr>
          <w:p>
            <w:pPr>
              <w:ind w:left="40"/>
              <w:spacing w:after="0"/>
              <w:rPr>
                <w:sz w:val="20"/>
                <w:szCs w:val="20"/>
                <w:color w:val="auto"/>
              </w:rPr>
            </w:pPr>
            <w:r>
              <w:rPr>
                <w:rFonts w:ascii="Arial" w:cs="Arial" w:eastAsia="Arial" w:hAnsi="Arial"/>
                <w:sz w:val="20"/>
                <w:szCs w:val="20"/>
                <w:color w:val="auto"/>
              </w:rPr>
              <w:t>tax effect</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c>
          <w:tcPr>
            <w:tcW w:w="340" w:type="dxa"/>
            <w:vAlign w:val="bottom"/>
            <w:shd w:val="clear" w:color="auto" w:fill="FEFEFE"/>
          </w:tcPr>
          <w:p>
            <w:pPr>
              <w:spacing w:after="0"/>
              <w:rPr>
                <w:sz w:val="24"/>
                <w:szCs w:val="24"/>
                <w:color w:val="auto"/>
              </w:rPr>
            </w:pPr>
          </w:p>
        </w:tc>
        <w:tc>
          <w:tcPr>
            <w:tcW w:w="8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c>
          <w:tcPr>
            <w:tcW w:w="480" w:type="dxa"/>
            <w:vAlign w:val="bottom"/>
            <w:shd w:val="clear" w:color="auto" w:fill="FEFEFE"/>
          </w:tcPr>
          <w:p>
            <w:pPr>
              <w:spacing w:after="0"/>
              <w:rPr>
                <w:sz w:val="24"/>
                <w:szCs w:val="24"/>
                <w:color w:val="auto"/>
              </w:rPr>
            </w:pPr>
          </w:p>
        </w:tc>
        <w:tc>
          <w:tcPr>
            <w:tcW w:w="860" w:type="dxa"/>
            <w:vAlign w:val="bottom"/>
            <w:shd w:val="clear" w:color="auto" w:fill="FEFEFE"/>
          </w:tcPr>
          <w:p>
            <w:pPr>
              <w:jc w:val="center"/>
              <w:ind w:left="260"/>
              <w:spacing w:after="0"/>
              <w:rPr>
                <w:sz w:val="20"/>
                <w:szCs w:val="20"/>
                <w:color w:val="auto"/>
              </w:rPr>
            </w:pPr>
            <w:r>
              <w:rPr>
                <w:rFonts w:ascii="Arial" w:cs="Arial" w:eastAsia="Arial" w:hAnsi="Arial"/>
                <w:sz w:val="20"/>
                <w:szCs w:val="20"/>
                <w:color w:val="auto"/>
                <w:w w:val="89"/>
              </w:rPr>
              <w:t>240</w:t>
            </w:r>
          </w:p>
        </w:tc>
        <w:tc>
          <w:tcPr>
            <w:tcW w:w="140" w:type="dxa"/>
            <w:vAlign w:val="bottom"/>
            <w:shd w:val="clear" w:color="auto" w:fill="FEFEFE"/>
          </w:tcPr>
          <w:p>
            <w:pPr>
              <w:spacing w:after="0"/>
              <w:rPr>
                <w:sz w:val="24"/>
                <w:szCs w:val="24"/>
                <w:color w:val="auto"/>
              </w:rPr>
            </w:pPr>
          </w:p>
        </w:tc>
        <w:tc>
          <w:tcPr>
            <w:tcW w:w="124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2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280" w:type="dxa"/>
            <w:vAlign w:val="bottom"/>
            <w:shd w:val="clear" w:color="auto" w:fill="FEFEFE"/>
          </w:tcPr>
          <w:p>
            <w:pPr>
              <w:spacing w:after="0"/>
              <w:rPr>
                <w:sz w:val="24"/>
                <w:szCs w:val="24"/>
                <w:color w:val="auto"/>
              </w:rPr>
            </w:pP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E4E4E4"/>
          </w:tcPr>
          <w:p>
            <w:pPr>
              <w:ind w:left="40"/>
              <w:spacing w:after="0" w:line="220" w:lineRule="exact"/>
              <w:rPr>
                <w:sz w:val="20"/>
                <w:szCs w:val="20"/>
                <w:color w:val="auto"/>
              </w:rPr>
            </w:pPr>
            <w:r>
              <w:rPr>
                <w:rFonts w:ascii="Arial" w:cs="Arial" w:eastAsia="Arial" w:hAnsi="Arial"/>
                <w:sz w:val="20"/>
                <w:szCs w:val="20"/>
                <w:color w:val="auto"/>
                <w:w w:val="98"/>
              </w:rPr>
              <w:t>Common stock repurchased and</w:t>
            </w:r>
          </w:p>
        </w:tc>
        <w:tc>
          <w:tcPr>
            <w:tcW w:w="8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900" w:type="dxa"/>
            <w:vAlign w:val="bottom"/>
            <w:tcBorders>
              <w:bottom w:val="single" w:sz="8" w:color="auto"/>
            </w:tcBorders>
            <w:gridSpan w:val="2"/>
            <w:shd w:val="clear" w:color="auto" w:fill="E4E4E4"/>
          </w:tcPr>
          <w:p>
            <w:pPr>
              <w:ind w:left="40"/>
              <w:spacing w:after="0"/>
              <w:rPr>
                <w:sz w:val="20"/>
                <w:szCs w:val="20"/>
                <w:color w:val="auto"/>
              </w:rPr>
            </w:pPr>
            <w:r>
              <w:rPr>
                <w:rFonts w:ascii="Arial" w:cs="Arial" w:eastAsia="Arial" w:hAnsi="Arial"/>
                <w:sz w:val="20"/>
                <w:szCs w:val="20"/>
                <w:color w:val="auto"/>
              </w:rPr>
              <w:t>retired</w:t>
            </w: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19</w:t>
            </w:r>
          </w:p>
        </w:tc>
        <w:tc>
          <w:tcPr>
            <w:tcW w:w="340" w:type="dxa"/>
            <w:vAlign w:val="bottom"/>
            <w:tcBorders>
              <w:bottom w:val="single" w:sz="8" w:color="auto"/>
            </w:tcBorders>
            <w:shd w:val="clear" w:color="auto" w:fill="E4E4E4"/>
          </w:tcPr>
          <w:p>
            <w:pPr>
              <w:spacing w:after="0"/>
              <w:rPr>
                <w:sz w:val="24"/>
                <w:szCs w:val="24"/>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19</w:t>
            </w:r>
          </w:p>
        </w:tc>
        <w:tc>
          <w:tcPr>
            <w:tcW w:w="480" w:type="dxa"/>
            <w:vAlign w:val="bottom"/>
            <w:tcBorders>
              <w:bottom w:val="single" w:sz="8" w:color="auto"/>
            </w:tcBorders>
            <w:shd w:val="clear" w:color="auto" w:fill="E4E4E4"/>
          </w:tcPr>
          <w:p>
            <w:pPr>
              <w:spacing w:after="0"/>
              <w:rPr>
                <w:sz w:val="24"/>
                <w:szCs w:val="24"/>
                <w:color w:val="auto"/>
              </w:rPr>
            </w:pPr>
          </w:p>
        </w:tc>
        <w:tc>
          <w:tcPr>
            <w:tcW w:w="860" w:type="dxa"/>
            <w:vAlign w:val="bottom"/>
            <w:tcBorders>
              <w:bottom w:val="single" w:sz="8" w:color="auto"/>
            </w:tcBorders>
            <w:shd w:val="clear" w:color="auto" w:fill="E4E4E4"/>
          </w:tcPr>
          <w:p>
            <w:pPr>
              <w:jc w:val="center"/>
              <w:ind w:left="260"/>
              <w:spacing w:after="0"/>
              <w:rPr>
                <w:sz w:val="20"/>
                <w:szCs w:val="20"/>
                <w:color w:val="auto"/>
              </w:rPr>
            </w:pPr>
            <w:r>
              <w:rPr>
                <w:rFonts w:ascii="Arial" w:cs="Arial" w:eastAsia="Arial" w:hAnsi="Arial"/>
                <w:sz w:val="20"/>
                <w:szCs w:val="20"/>
                <w:color w:val="auto"/>
                <w:w w:val="89"/>
              </w:rPr>
              <w:t>454</w:t>
            </w:r>
          </w:p>
        </w:tc>
        <w:tc>
          <w:tcPr>
            <w:tcW w:w="14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2,049</w:t>
            </w:r>
          </w:p>
        </w:tc>
        <w:tc>
          <w:tcPr>
            <w:tcW w:w="280" w:type="dxa"/>
            <w:vAlign w:val="bottom"/>
            <w:tcBorders>
              <w:bottom w:val="single" w:sz="8" w:color="auto"/>
            </w:tcBorders>
            <w:shd w:val="clear" w:color="auto" w:fill="E4E4E4"/>
          </w:tcPr>
          <w:p>
            <w:pPr>
              <w:spacing w:after="0"/>
              <w:rPr>
                <w:sz w:val="24"/>
                <w:szCs w:val="24"/>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2,522</w:t>
            </w:r>
          </w:p>
        </w:tc>
        <w:tc>
          <w:tcPr>
            <w:tcW w:w="0" w:type="dxa"/>
            <w:vAlign w:val="bottom"/>
          </w:tcPr>
          <w:p>
            <w:pPr>
              <w:spacing w:after="0"/>
              <w:rPr>
                <w:sz w:val="1"/>
                <w:szCs w:val="1"/>
                <w:color w:val="auto"/>
              </w:rPr>
            </w:pPr>
          </w:p>
        </w:tc>
      </w:tr>
      <w:tr>
        <w:trPr>
          <w:trHeight w:val="280"/>
        </w:trPr>
        <w:tc>
          <w:tcPr>
            <w:tcW w:w="2900" w:type="dxa"/>
            <w:vAlign w:val="bottom"/>
            <w:tcBorders>
              <w:bottom w:val="single" w:sz="8" w:color="auto"/>
            </w:tcBorders>
            <w:gridSpan w:val="2"/>
            <w:shd w:val="clear" w:color="auto" w:fill="FEFEFE"/>
          </w:tcPr>
          <w:p>
            <w:pPr>
              <w:ind w:left="180"/>
              <w:spacing w:after="0"/>
              <w:rPr>
                <w:sz w:val="20"/>
                <w:szCs w:val="20"/>
                <w:color w:val="auto"/>
              </w:rPr>
            </w:pPr>
            <w:r>
              <w:rPr>
                <w:rFonts w:ascii="Arial" w:cs="Arial" w:eastAsia="Arial" w:hAnsi="Arial"/>
                <w:sz w:val="20"/>
                <w:szCs w:val="20"/>
                <w:color w:val="auto"/>
              </w:rPr>
              <w:t>alance, January 31, 2026</w:t>
            </w: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1,107</w:t>
            </w:r>
          </w:p>
        </w:tc>
        <w:tc>
          <w:tcPr>
            <w:tcW w:w="340" w:type="dxa"/>
            <w:vAlign w:val="bottom"/>
            <w:tcBorders>
              <w:bottom w:val="single" w:sz="8" w:color="auto"/>
            </w:tcBorders>
            <w:shd w:val="clear" w:color="auto" w:fill="FEFEFE"/>
          </w:tcPr>
          <w:p>
            <w:pPr>
              <w:jc w:val="right"/>
              <w:ind w:right="23"/>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1,107</w:t>
            </w:r>
          </w:p>
        </w:tc>
        <w:tc>
          <w:tcPr>
            <w:tcW w:w="480" w:type="dxa"/>
            <w:vAlign w:val="bottom"/>
            <w:tcBorders>
              <w:bottom w:val="single" w:sz="8" w:color="auto"/>
            </w:tcBorders>
            <w:shd w:val="clear" w:color="auto" w:fill="FEFEFE"/>
          </w:tcPr>
          <w:p>
            <w:pPr>
              <w:ind w:left="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351</w:t>
            </w:r>
          </w:p>
        </w:tc>
        <w:tc>
          <w:tcPr>
            <w:tcW w:w="2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9,434</w:t>
            </w:r>
          </w:p>
        </w:tc>
        <w:tc>
          <w:tcPr>
            <w:tcW w:w="280" w:type="dxa"/>
            <w:vAlign w:val="bottom"/>
            <w:tcBorders>
              <w:bottom w:val="single" w:sz="8" w:color="auto"/>
            </w:tcBorders>
            <w:shd w:val="clear" w:color="auto" w:fill="FEFEFE"/>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10,190</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ectPr>
          <w:pgSz w:w="12240" w:h="15841" w:orient="portrait"/>
          <w:cols w:equalWidth="0" w:num="1">
            <w:col w:w="10260"/>
          </w:cols>
          <w:pgMar w:left="1000" w:top="792" w:right="981" w:bottom="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Franklin Gothic Book" w:cs="Franklin Gothic Book" w:eastAsia="Franklin Gothic Book" w:hAnsi="Franklin Gothic Book"/>
          <w:sz w:val="20"/>
          <w:szCs w:val="20"/>
          <w:color w:val="auto"/>
        </w:rPr>
        <w:t>[THIS PAGE INTENTIONALLY LEFT BLANK]</w:t>
      </w:r>
    </w:p>
    <w:p>
      <w:pPr>
        <w:sectPr>
          <w:pgSz w:w="12240" w:h="15841" w:orient="portrait"/>
          <w:cols w:equalWidth="0" w:num="1">
            <w:col w:w="9361"/>
          </w:cols>
          <w:pgMar w:left="1440" w:top="1440" w:right="1440" w:bottom="1440" w:gutter="0" w:footer="0" w:header="0"/>
        </w:sectPr>
      </w:pPr>
    </w:p>
    <w:bookmarkStart w:id="64" w:name="page65"/>
    <w:bookmarkEnd w:id="64"/>
    <w:p>
      <w:pPr>
        <w:spacing w:after="0"/>
        <w:tabs>
          <w:tab w:leader="none" w:pos="600" w:val="left"/>
          <w:tab w:leader="none" w:pos="920" w:val="left"/>
          <w:tab w:leader="none" w:pos="2980" w:val="left"/>
          <w:tab w:leader="none" w:pos="4280" w:val="left"/>
          <w:tab w:leader="none" w:pos="536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w:t>
        <w:tab/>
        <w:t>S</w:t>
        <w:tab/>
        <w:t>O CONSO I</w:t>
      </w:r>
      <w:r>
        <w:rPr>
          <w:sz w:val="20"/>
          <w:szCs w:val="20"/>
          <w:color w:val="auto"/>
        </w:rPr>
        <w:tab/>
      </w:r>
      <w:r>
        <w:rPr>
          <w:rFonts w:ascii="Arial" w:cs="Arial" w:eastAsia="Arial" w:hAnsi="Arial"/>
          <w:sz w:val="22"/>
          <w:szCs w:val="22"/>
          <w:color w:val="auto"/>
        </w:rPr>
        <w:t>FIN  NCI</w:t>
        <w:tab/>
        <w:t>S</w:t>
      </w:r>
      <w:r>
        <w:rPr>
          <w:sz w:val="20"/>
          <w:szCs w:val="20"/>
          <w:color w:val="auto"/>
        </w:rPr>
        <w:tab/>
      </w:r>
      <w:r>
        <w:rPr>
          <w:rFonts w:ascii="Arial" w:cs="Arial" w:eastAsia="Arial" w:hAnsi="Arial"/>
          <w:sz w:val="22"/>
          <w:szCs w:val="22"/>
          <w:color w:val="auto"/>
        </w:rPr>
        <w:t>N S</w:t>
      </w:r>
    </w:p>
    <w:p>
      <w:pPr>
        <w:spacing w:after="0" w:line="4" w:lineRule="exact"/>
        <w:rPr>
          <w:sz w:val="20"/>
          <w:szCs w:val="20"/>
          <w:color w:val="auto"/>
        </w:rPr>
      </w:pPr>
    </w:p>
    <w:p>
      <w:pPr>
        <w:spacing w:after="0"/>
        <w:tabs>
          <w:tab w:leader="none" w:pos="680" w:val="left"/>
          <w:tab w:leader="none" w:pos="960" w:val="left"/>
          <w:tab w:leader="none" w:pos="1800" w:val="left"/>
          <w:tab w:leader="none" w:pos="4960" w:val="left"/>
          <w:tab w:leader="none" w:pos="6160" w:val="left"/>
        </w:tabs>
        <w:rPr>
          <w:sz w:val="20"/>
          <w:szCs w:val="20"/>
          <w:color w:val="auto"/>
        </w:rPr>
      </w:pPr>
      <w:r>
        <w:rPr>
          <w:rFonts w:ascii="Arial" w:cs="Arial" w:eastAsia="Arial" w:hAnsi="Arial"/>
          <w:sz w:val="24"/>
          <w:szCs w:val="24"/>
          <w:color w:val="auto"/>
        </w:rPr>
        <w:t>Note</w:t>
        <w:tab/>
        <w:t>.</w:t>
        <w:tab/>
        <w:t>asis of</w:t>
        <w:tab/>
        <w:t>resentation and Summary of</w:t>
        <w:tab/>
        <w:t>ccounting</w:t>
      </w:r>
      <w:r>
        <w:rPr>
          <w:sz w:val="20"/>
          <w:szCs w:val="20"/>
          <w:color w:val="auto"/>
        </w:rPr>
        <w:tab/>
      </w:r>
      <w:r>
        <w:rPr>
          <w:rFonts w:ascii="Arial" w:cs="Arial" w:eastAsia="Arial" w:hAnsi="Arial"/>
          <w:sz w:val="23"/>
          <w:szCs w:val="23"/>
          <w:color w:val="auto"/>
        </w:rPr>
        <w:t>olicies</w:t>
      </w:r>
    </w:p>
    <w:p>
      <w:pPr>
        <w:spacing w:after="0" w:line="138"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22"/>
          <w:szCs w:val="22"/>
          <w:i w:val="1"/>
          <w:iCs w:val="1"/>
          <w:color w:val="auto"/>
        </w:rPr>
        <w:t>asis of</w:t>
      </w:r>
      <w:r>
        <w:rPr>
          <w:sz w:val="20"/>
          <w:szCs w:val="20"/>
          <w:color w:val="auto"/>
        </w:rPr>
        <w:tab/>
      </w:r>
      <w:r>
        <w:rPr>
          <w:rFonts w:ascii="Arial" w:cs="Arial" w:eastAsia="Arial" w:hAnsi="Arial"/>
          <w:sz w:val="20"/>
          <w:szCs w:val="20"/>
          <w:i w:val="1"/>
          <w:iCs w:val="1"/>
          <w:color w:val="auto"/>
        </w:rPr>
        <w:t>resentation</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Consolidated Financial Statements and Notes thereto of The TJX Companies, Inc. (referred to as TJX or the Company ) have been prepared in accordance with accounting principles generally accepted in the nited States of America ( AAP ) and include the Consolidated Financial Statements of all of TJX’s subsidiaries, all of which are wholly owned. All of the Company s activities are conducted by TJX or its subsidiaries and are consolidated in these Consolidated Financial Statements. All intercompany transactions have been eliminated in consolidation. Investments for which the Company exercises significant influence but does not have control are accounted for under the e uity method.</w:t>
      </w:r>
    </w:p>
    <w:p>
      <w:pPr>
        <w:spacing w:after="0" w:line="53" w:lineRule="exact"/>
        <w:rPr>
          <w:sz w:val="20"/>
          <w:szCs w:val="20"/>
          <w:color w:val="auto"/>
        </w:rPr>
      </w:pPr>
    </w:p>
    <w:p>
      <w:pPr>
        <w:ind w:left="140"/>
        <w:spacing w:after="0"/>
        <w:tabs>
          <w:tab w:leader="none" w:pos="720" w:val="left"/>
        </w:tabs>
        <w:rPr>
          <w:sz w:val="20"/>
          <w:szCs w:val="20"/>
          <w:color w:val="auto"/>
        </w:rPr>
      </w:pPr>
      <w:r>
        <w:rPr>
          <w:rFonts w:ascii="Arial" w:cs="Arial" w:eastAsia="Arial" w:hAnsi="Arial"/>
          <w:sz w:val="22"/>
          <w:szCs w:val="22"/>
          <w:i w:val="1"/>
          <w:iCs w:val="1"/>
          <w:color w:val="auto"/>
        </w:rPr>
        <w:t>iscal</w:t>
      </w:r>
      <w:r>
        <w:rPr>
          <w:sz w:val="20"/>
          <w:szCs w:val="20"/>
          <w:color w:val="auto"/>
        </w:rPr>
        <w:tab/>
      </w:r>
      <w:r>
        <w:rPr>
          <w:rFonts w:ascii="Arial" w:cs="Arial" w:eastAsia="Arial" w:hAnsi="Arial"/>
          <w:sz w:val="20"/>
          <w:szCs w:val="20"/>
          <w:i w:val="1"/>
          <w:iCs w:val="1"/>
          <w:color w:val="auto"/>
        </w:rPr>
        <w:t>ear</w:t>
      </w:r>
    </w:p>
    <w:p>
      <w:pPr>
        <w:spacing w:after="0" w:line="146"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TJX’s fiscal year ends on the Saturday nearest to the last day of January of each year. The fiscal year ended January 31, 2026 ( fiscal 2026 ) is a 52-week fiscal year. The fiscal year ended February 1, 2025 ( fiscal 2025 ) was a 52-week fiscal year, and the fiscal year ended February 3, 2024 ( fiscal 2024 ) was a 53-week fiscal year. Fiscal 2027 will be 52-week fiscal year and will end January 30, 2027.</w:t>
      </w:r>
    </w:p>
    <w:p>
      <w:pPr>
        <w:spacing w:after="0" w:line="64" w:lineRule="exact"/>
        <w:rPr>
          <w:sz w:val="20"/>
          <w:szCs w:val="20"/>
          <w:color w:val="auto"/>
        </w:rPr>
      </w:pPr>
    </w:p>
    <w:p>
      <w:pPr>
        <w:ind w:left="140"/>
        <w:spacing w:after="0"/>
        <w:tabs>
          <w:tab w:leader="none" w:pos="760" w:val="left"/>
          <w:tab w:leader="none" w:pos="1140" w:val="left"/>
        </w:tabs>
        <w:rPr>
          <w:sz w:val="20"/>
          <w:szCs w:val="20"/>
          <w:color w:val="auto"/>
        </w:rPr>
      </w:pPr>
      <w:r>
        <w:rPr>
          <w:rFonts w:ascii="Arial" w:cs="Arial" w:eastAsia="Arial" w:hAnsi="Arial"/>
          <w:sz w:val="22"/>
          <w:szCs w:val="22"/>
          <w:i w:val="1"/>
          <w:iCs w:val="1"/>
          <w:color w:val="auto"/>
        </w:rPr>
        <w:t>se of</w:t>
        <w:tab/>
        <w:t>sti</w:t>
      </w:r>
      <w:r>
        <w:rPr>
          <w:sz w:val="20"/>
          <w:szCs w:val="20"/>
          <w:color w:val="auto"/>
        </w:rPr>
        <w:tab/>
      </w:r>
      <w:r>
        <w:rPr>
          <w:rFonts w:ascii="Arial" w:cs="Arial" w:eastAsia="Arial" w:hAnsi="Arial"/>
          <w:sz w:val="17"/>
          <w:szCs w:val="17"/>
          <w:i w:val="1"/>
          <w:iCs w:val="1"/>
          <w:color w:val="auto"/>
        </w:rPr>
        <w:t>ates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The preparation of financial statements, in conformity with AAP, re 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spacing w:after="0" w:line="68" w:lineRule="exact"/>
        <w:rPr>
          <w:sz w:val="20"/>
          <w:szCs w:val="20"/>
          <w:color w:val="auto"/>
        </w:rPr>
      </w:pPr>
    </w:p>
    <w:p>
      <w:pPr>
        <w:spacing w:after="0"/>
        <w:tabs>
          <w:tab w:leader="none" w:pos="1360" w:val="left"/>
          <w:tab w:leader="none" w:pos="2460" w:val="left"/>
        </w:tabs>
        <w:rPr>
          <w:sz w:val="20"/>
          <w:szCs w:val="20"/>
          <w:color w:val="auto"/>
        </w:rPr>
      </w:pPr>
      <w:r>
        <w:rPr>
          <w:rFonts w:ascii="Arial" w:cs="Arial" w:eastAsia="Arial" w:hAnsi="Arial"/>
          <w:sz w:val="22"/>
          <w:szCs w:val="22"/>
          <w:color w:val="auto"/>
        </w:rPr>
        <w:t>Summary of</w:t>
        <w:tab/>
        <w:t>ccounting</w:t>
      </w:r>
      <w:r>
        <w:rPr>
          <w:sz w:val="20"/>
          <w:szCs w:val="20"/>
          <w:color w:val="auto"/>
        </w:rPr>
        <w:tab/>
      </w:r>
      <w:r>
        <w:rPr>
          <w:rFonts w:ascii="Arial" w:cs="Arial" w:eastAsia="Arial" w:hAnsi="Arial"/>
          <w:sz w:val="20"/>
          <w:szCs w:val="20"/>
          <w:color w:val="auto"/>
        </w:rPr>
        <w:t>olicies</w:t>
      </w:r>
    </w:p>
    <w:p>
      <w:pPr>
        <w:spacing w:after="0" w:line="130" w:lineRule="exact"/>
        <w:rPr>
          <w:sz w:val="20"/>
          <w:szCs w:val="20"/>
          <w:color w:val="auto"/>
        </w:rPr>
      </w:pPr>
    </w:p>
    <w:p>
      <w:pPr>
        <w:ind w:left="140"/>
        <w:spacing w:after="0"/>
        <w:tabs>
          <w:tab w:leader="none" w:pos="960" w:val="left"/>
        </w:tabs>
        <w:rPr>
          <w:sz w:val="20"/>
          <w:szCs w:val="20"/>
          <w:color w:val="auto"/>
        </w:rPr>
      </w:pPr>
      <w:r>
        <w:rPr>
          <w:rFonts w:ascii="Arial" w:cs="Arial" w:eastAsia="Arial" w:hAnsi="Arial"/>
          <w:sz w:val="22"/>
          <w:szCs w:val="22"/>
          <w:i w:val="1"/>
          <w:iCs w:val="1"/>
          <w:color w:val="auto"/>
        </w:rPr>
        <w:t>e enue</w:t>
      </w:r>
      <w:r>
        <w:rPr>
          <w:sz w:val="20"/>
          <w:szCs w:val="20"/>
          <w:color w:val="auto"/>
        </w:rPr>
        <w:tab/>
      </w:r>
      <w:r>
        <w:rPr>
          <w:rFonts w:ascii="Arial" w:cs="Arial" w:eastAsia="Arial" w:hAnsi="Arial"/>
          <w:sz w:val="20"/>
          <w:szCs w:val="20"/>
          <w:i w:val="1"/>
          <w:iCs w:val="1"/>
          <w:color w:val="auto"/>
        </w:rPr>
        <w:t>ecognition</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et  ales</w:t>
      </w:r>
    </w:p>
    <w:p>
      <w:pPr>
        <w:spacing w:after="0" w:line="14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Net sales consist primarily of merchandise sales, which are recorded net of a reserve for estimated returns, any discounts and sales taxes, for the sales of merchandise both within TJX’s stores and online. Net sales also include an immaterial amount of other revenues that represent less than 1 of total revenues, including revenue generated by the TJX-branded credit card program. In addition, certain customers, primarily Associates, may receive discounts that are accounted for as consideration reducing the transaction price. erchandise sales from TJX’s stores are recogni ed at the point of sale when TJX provides the merchandise to the customer. The performance obligation is fulfilled at this point when the customer has obtained control by paying for and leaving with the merchandise. erchandise sales made online are recogni ed when the product has been shipped, which is when legal title has passed and when TJX is entitled to payment, and the customer has obtained the ability to direct the use of and obtain substantially all of the remaining benefits from the goods. Shipping and handling activities related to online sales occur after the customer obtains control of the goods. TJX’s policy is to treat shipping costs as part of its fulfillment center costs within operating expenditures. As a result, shipping fee revenues received are recogni ed when control of the goods transfer to the customer and are recorded as net sales. Shipping and handling costs incurred by TJX are included in cost of sales, including buying and occupancy costs. TJX disaggregates revenue by segment, see Note Segment Information.</w:t>
      </w:r>
    </w:p>
    <w:p>
      <w:pPr>
        <w:spacing w:after="0" w:line="67" w:lineRule="exact"/>
        <w:rPr>
          <w:sz w:val="20"/>
          <w:szCs w:val="20"/>
          <w:color w:val="auto"/>
        </w:rPr>
      </w:pPr>
    </w:p>
    <w:p>
      <w:pPr>
        <w:spacing w:after="0"/>
        <w:tabs>
          <w:tab w:leader="none" w:pos="980" w:val="left"/>
          <w:tab w:leader="none" w:pos="1860" w:val="left"/>
        </w:tabs>
        <w:rPr>
          <w:sz w:val="20"/>
          <w:szCs w:val="20"/>
          <w:color w:val="auto"/>
        </w:rPr>
      </w:pPr>
      <w:r>
        <w:rPr>
          <w:rFonts w:ascii="Arial" w:cs="Arial" w:eastAsia="Arial" w:hAnsi="Arial"/>
          <w:sz w:val="22"/>
          <w:szCs w:val="22"/>
          <w:i w:val="1"/>
          <w:iCs w:val="1"/>
          <w:color w:val="auto"/>
        </w:rPr>
        <w:t>De erred</w:t>
        <w:tab/>
        <w:t>i t Card</w:t>
      </w:r>
      <w:r>
        <w:rPr>
          <w:sz w:val="20"/>
          <w:szCs w:val="20"/>
          <w:color w:val="auto"/>
        </w:rPr>
        <w:tab/>
      </w:r>
      <w:r>
        <w:rPr>
          <w:rFonts w:ascii="Arial" w:cs="Arial" w:eastAsia="Arial" w:hAnsi="Arial"/>
          <w:sz w:val="18"/>
          <w:szCs w:val="18"/>
          <w:i w:val="1"/>
          <w:iCs w:val="1"/>
          <w:color w:val="auto"/>
        </w:rPr>
        <w:t>evenue</w:t>
      </w:r>
    </w:p>
    <w:p>
      <w:pPr>
        <w:spacing w:after="0" w:line="141"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Proceeds from the sale of gift cards as well as the value of store cards issued to customers as a result of a return or exchange are deferred until the customers use the cards to ac uire merchandise, as TJX does not fulfill its performance obligation until the gift card has been redeemed. hile gift cards have an indefinite life, substantially all are redeemed in the first year of issuance.</w:t>
      </w:r>
    </w:p>
    <w:p>
      <w:pPr>
        <w:sectPr>
          <w:pgSz w:w="12240" w:h="15841" w:orient="portrait"/>
          <w:cols w:equalWidth="0" w:num="1">
            <w:col w:w="10240"/>
          </w:cols>
          <w:pgMar w:left="1000" w:top="77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w:t>
      </w:r>
    </w:p>
    <w:p>
      <w:pPr>
        <w:sectPr>
          <w:pgSz w:w="12240" w:h="15841" w:orient="portrait"/>
          <w:cols w:equalWidth="0" w:num="1">
            <w:col w:w="10240"/>
          </w:cols>
          <w:pgMar w:left="1000" w:top="778" w:right="1001"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61"/>
        </w:trPr>
        <w:tc>
          <w:tcPr>
            <w:tcW w:w="6380" w:type="dxa"/>
            <w:vAlign w:val="bottom"/>
          </w:tcPr>
          <w:p>
            <w:pPr>
              <w:spacing w:after="0"/>
              <w:rPr>
                <w:sz w:val="20"/>
                <w:szCs w:val="20"/>
                <w:color w:val="auto"/>
              </w:rPr>
            </w:pPr>
            <w:r>
              <w:rPr>
                <w:rFonts w:ascii="Arial" w:cs="Arial" w:eastAsia="Arial" w:hAnsi="Arial"/>
                <w:sz w:val="20"/>
                <w:szCs w:val="20"/>
                <w:color w:val="auto"/>
              </w:rPr>
              <w:t>The following table presents deferred gift card revenue activity:</w:t>
            </w:r>
          </w:p>
        </w:tc>
        <w:tc>
          <w:tcPr>
            <w:tcW w:w="1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53"/>
        </w:trPr>
        <w:tc>
          <w:tcPr>
            <w:tcW w:w="6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w w:val="95"/>
              </w:rPr>
              <w:t>January 31,</w:t>
            </w:r>
          </w:p>
        </w:tc>
        <w:tc>
          <w:tcPr>
            <w:tcW w:w="18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20"/>
                <w:szCs w:val="20"/>
                <w:color w:val="auto"/>
                <w:w w:val="91"/>
              </w:rPr>
              <w:t>February 1,</w:t>
            </w:r>
          </w:p>
        </w:tc>
      </w:tr>
      <w:tr>
        <w:trPr>
          <w:trHeight w:val="263"/>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63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beginning of year</w:t>
            </w:r>
          </w:p>
        </w:tc>
        <w:tc>
          <w:tcPr>
            <w:tcW w:w="13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824</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773</w:t>
            </w:r>
          </w:p>
        </w:tc>
      </w:tr>
      <w:tr>
        <w:trPr>
          <w:trHeight w:val="293"/>
        </w:trPr>
        <w:tc>
          <w:tcPr>
            <w:tcW w:w="6380" w:type="dxa"/>
            <w:vAlign w:val="bottom"/>
            <w:shd w:val="clear" w:color="auto" w:fill="FEFEFE"/>
          </w:tcPr>
          <w:p>
            <w:pPr>
              <w:ind w:left="40"/>
              <w:spacing w:after="0"/>
              <w:rPr>
                <w:sz w:val="20"/>
                <w:szCs w:val="20"/>
                <w:color w:val="auto"/>
              </w:rPr>
            </w:pPr>
            <w:r>
              <w:rPr>
                <w:rFonts w:ascii="Arial" w:cs="Arial" w:eastAsia="Arial" w:hAnsi="Arial"/>
                <w:sz w:val="20"/>
                <w:szCs w:val="20"/>
                <w:color w:val="auto"/>
              </w:rPr>
              <w:t>Deferred revenue</w:t>
            </w:r>
          </w:p>
        </w:tc>
        <w:tc>
          <w:tcPr>
            <w:tcW w:w="13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2,017</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2,005</w:t>
            </w:r>
          </w:p>
        </w:tc>
      </w:tr>
      <w:tr>
        <w:trPr>
          <w:trHeight w:val="307"/>
        </w:trPr>
        <w:tc>
          <w:tcPr>
            <w:tcW w:w="6380" w:type="dxa"/>
            <w:vAlign w:val="bottom"/>
            <w:shd w:val="clear" w:color="auto" w:fill="E4E4E4"/>
          </w:tcPr>
          <w:p>
            <w:pPr>
              <w:ind w:left="40"/>
              <w:spacing w:after="0"/>
              <w:rPr>
                <w:sz w:val="20"/>
                <w:szCs w:val="20"/>
                <w:color w:val="auto"/>
              </w:rPr>
            </w:pPr>
            <w:r>
              <w:rPr>
                <w:rFonts w:ascii="Arial" w:cs="Arial" w:eastAsia="Arial" w:hAnsi="Arial"/>
                <w:sz w:val="20"/>
                <w:szCs w:val="20"/>
                <w:color w:val="auto"/>
              </w:rPr>
              <w:t>Effect of exchange rate changes on deferred revenue</w:t>
            </w:r>
          </w:p>
        </w:tc>
        <w:tc>
          <w:tcPr>
            <w:tcW w:w="13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13</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w:t>
            </w:r>
          </w:p>
        </w:tc>
      </w:tr>
      <w:tr>
        <w:trPr>
          <w:trHeight w:val="290"/>
        </w:trPr>
        <w:tc>
          <w:tcPr>
            <w:tcW w:w="638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evenue recogni ed</w:t>
            </w:r>
          </w:p>
        </w:tc>
        <w:tc>
          <w:tcPr>
            <w:tcW w:w="138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1,957</w:t>
            </w:r>
          </w:p>
        </w:tc>
        <w:tc>
          <w:tcPr>
            <w:tcW w:w="18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(1, 46)</w:t>
            </w:r>
          </w:p>
        </w:tc>
      </w:tr>
      <w:tr>
        <w:trPr>
          <w:trHeight w:val="280"/>
        </w:trPr>
        <w:tc>
          <w:tcPr>
            <w:tcW w:w="638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alance, end of year</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897</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824</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right="120"/>
        <w:spacing w:after="0" w:line="294" w:lineRule="auto"/>
        <w:rPr>
          <w:sz w:val="20"/>
          <w:szCs w:val="20"/>
          <w:color w:val="auto"/>
        </w:rPr>
      </w:pPr>
      <w:r>
        <w:rPr>
          <w:rFonts w:ascii="Arial" w:cs="Arial" w:eastAsia="Arial" w:hAnsi="Arial"/>
          <w:sz w:val="17"/>
          <w:szCs w:val="17"/>
          <w:color w:val="auto"/>
        </w:rPr>
        <w:t>TJX also recogni ed approximately $2 billion in gift card revenue in fiscal 2024. ift cards are combined in one homogeneous pool and are not separately identifiable. As such, the revenue recogni ed consists of gift cards that were part of the deferred revenue balance at the beginning of the period as well as gift cards that were issued during the period. Based on historical experience, the Company estimates the amount of gift cards and store cards that will not be redeemed (referred to as breakage) and, to the extent allowed by local law, these amounts are amorti ed into income over the estimated redemption period.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evenue recogni ed from breakage was $51 million in fiscal 2026, $38 million in fiscal 2025 and $36 million in fiscal 2024.</w:t>
      </w:r>
    </w:p>
    <w:p>
      <w:pPr>
        <w:spacing w:after="0" w:line="132" w:lineRule="exact"/>
        <w:rPr>
          <w:sz w:val="20"/>
          <w:szCs w:val="20"/>
          <w:color w:val="auto"/>
        </w:rPr>
      </w:pPr>
    </w:p>
    <w:p>
      <w:pPr>
        <w:ind w:left="100"/>
        <w:spacing w:after="0"/>
        <w:tabs>
          <w:tab w:leader="none" w:pos="620" w:val="left"/>
          <w:tab w:leader="none" w:pos="1280" w:val="left"/>
        </w:tabs>
        <w:rPr>
          <w:sz w:val="20"/>
          <w:szCs w:val="20"/>
          <w:color w:val="auto"/>
        </w:rPr>
      </w:pPr>
      <w:r>
        <w:rPr>
          <w:rFonts w:ascii="Arial" w:cs="Arial" w:eastAsia="Arial" w:hAnsi="Arial"/>
          <w:sz w:val="22"/>
          <w:szCs w:val="22"/>
          <w:i w:val="1"/>
          <w:iCs w:val="1"/>
          <w:color w:val="auto"/>
        </w:rPr>
        <w:t>ales</w:t>
        <w:tab/>
        <w:t>eturn</w:t>
      </w:r>
      <w:r>
        <w:rPr>
          <w:sz w:val="20"/>
          <w:szCs w:val="20"/>
          <w:color w:val="auto"/>
        </w:rPr>
        <w:tab/>
      </w:r>
      <w:r>
        <w:rPr>
          <w:rFonts w:ascii="Arial" w:cs="Arial" w:eastAsia="Arial" w:hAnsi="Arial"/>
          <w:sz w:val="18"/>
          <w:szCs w:val="18"/>
          <w:i w:val="1"/>
          <w:iCs w:val="1"/>
          <w:color w:val="auto"/>
        </w:rPr>
        <w:t>eserve</w:t>
      </w:r>
    </w:p>
    <w:p>
      <w:pPr>
        <w:spacing w:after="0" w:line="141"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The Company s products are generally sold with a right of return and the Company may provide other credits or incentives, which are accounted for as variable consideration when estimating the amount of revenue to recogni e. The Company has elected to apply the portfolio practical expedient. The Company estimates the variable consideration using the expected value method when calculating the returns reserve because the difference in applying it to the individual contract would not differ materially. eturns are estimated based on historical experience and are re uired to be established and presented at the gross sales value with an asset established for the estimated value of the merchandise returned separately from the refund liability. Liabilities for return allowances are included in Accrued expenses and other current liabilities and the estimated value of the merchandise to be returned is included in Prepaid expenses and other current assets on the Company’s Consolidated Balance Sheets.</w:t>
      </w:r>
    </w:p>
    <w:p>
      <w:pPr>
        <w:spacing w:after="0" w:line="61" w:lineRule="exact"/>
        <w:rPr>
          <w:sz w:val="20"/>
          <w:szCs w:val="20"/>
          <w:color w:val="auto"/>
        </w:rPr>
      </w:pPr>
    </w:p>
    <w:p>
      <w:pPr>
        <w:spacing w:after="0"/>
        <w:tabs>
          <w:tab w:leader="none" w:pos="1340" w:val="left"/>
          <w:tab w:leader="none" w:pos="1840" w:val="left"/>
          <w:tab w:leader="none" w:pos="3080" w:val="left"/>
        </w:tabs>
        <w:rPr>
          <w:sz w:val="20"/>
          <w:szCs w:val="20"/>
          <w:color w:val="auto"/>
        </w:rPr>
      </w:pPr>
      <w:r>
        <w:rPr>
          <w:rFonts w:ascii="Arial" w:cs="Arial" w:eastAsia="Arial" w:hAnsi="Arial"/>
          <w:sz w:val="22"/>
          <w:szCs w:val="22"/>
          <w:i w:val="1"/>
          <w:iCs w:val="1"/>
          <w:color w:val="auto"/>
        </w:rPr>
        <w:t>Consolidated</w:t>
        <w:tab/>
        <w:t>tate</w:t>
        <w:tab/>
        <w:t>ents of nco</w:t>
      </w:r>
      <w:r>
        <w:rPr>
          <w:sz w:val="20"/>
          <w:szCs w:val="20"/>
          <w:color w:val="auto"/>
        </w:rPr>
        <w:tab/>
      </w:r>
      <w:r>
        <w:rPr>
          <w:rFonts w:ascii="Arial" w:cs="Arial" w:eastAsia="Arial" w:hAnsi="Arial"/>
          <w:sz w:val="20"/>
          <w:szCs w:val="20"/>
          <w:i w:val="1"/>
          <w:iCs w:val="1"/>
          <w:color w:val="auto"/>
        </w:rPr>
        <w:t>e Classifications</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Cost of sales, including buying and occupancy costs, includes the cost of merchandise sold including foreign currency gains and losses on merchandise purchases denominated in other currencies gains and losses on inventory and fuel-related derivative contracts asset retirement obligation costs divisional occupancy costs (including real estate taxes, utility and maintenance costs and fixed asset depreciation) the costs of operating distribution centers payroll, benefits and travel costs directly associated with buying inventory and systems costs related to the buying and tracking of inventory.</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Selling, general and administrative ( S A ) expenses include store payroll, benefits and supplies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64" w:lineRule="exact"/>
        <w:rPr>
          <w:sz w:val="20"/>
          <w:szCs w:val="20"/>
          <w:color w:val="auto"/>
        </w:rPr>
      </w:pPr>
    </w:p>
    <w:p>
      <w:pPr>
        <w:spacing w:after="0"/>
        <w:tabs>
          <w:tab w:leader="none" w:pos="500" w:val="left"/>
          <w:tab w:leader="none" w:pos="1660" w:val="left"/>
        </w:tabs>
        <w:rPr>
          <w:sz w:val="20"/>
          <w:szCs w:val="20"/>
          <w:color w:val="auto"/>
        </w:rPr>
      </w:pPr>
      <w:r>
        <w:rPr>
          <w:rFonts w:ascii="Arial" w:cs="Arial" w:eastAsia="Arial" w:hAnsi="Arial"/>
          <w:sz w:val="22"/>
          <w:szCs w:val="22"/>
          <w:i w:val="1"/>
          <w:iCs w:val="1"/>
          <w:color w:val="auto"/>
        </w:rPr>
        <w:t>Cas</w:t>
        <w:tab/>
        <w:t>and Cas</w:t>
      </w:r>
      <w:r>
        <w:rPr>
          <w:sz w:val="20"/>
          <w:szCs w:val="20"/>
          <w:color w:val="auto"/>
        </w:rPr>
        <w:tab/>
      </w:r>
      <w:r>
        <w:rPr>
          <w:rFonts w:ascii="Arial" w:cs="Arial" w:eastAsia="Arial" w:hAnsi="Arial"/>
          <w:sz w:val="22"/>
          <w:szCs w:val="22"/>
          <w:i w:val="1"/>
          <w:iCs w:val="1"/>
          <w:color w:val="auto"/>
        </w:rPr>
        <w:t>ui alents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TJX generally considers highly li uid investments with a maturity of  0 days or less at the date of purchase to be cash</w:t>
      </w:r>
    </w:p>
    <w:p>
      <w:pPr>
        <w:spacing w:after="0" w:line="22"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e uivalents. If applicable, investments with maturities greater than 0 days but less than one year at the date of purchase are included in short-term investments. These investments are classified as trading securities and are stated at fair value. Investments are classified as either short-term or long-term based on their original maturities. TJX’s investments are primarily institutional money market funds, bank investment products with major banks (such as time deposits), and high-grade commercial paper.</w:t>
      </w:r>
    </w:p>
    <w:p>
      <w:pPr>
        <w:spacing w:after="0" w:line="84"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As of January 31, 2026, TJX’s cash and cash e uivalents held outside the .S. were $2 billion, of which $1.5 billion was held in countries where we have indefinitely reinvested the undistributed earnings.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F-10</w:t>
      </w:r>
    </w:p>
    <w:p>
      <w:pPr>
        <w:sectPr>
          <w:pgSz w:w="12240" w:h="15841" w:orient="portrait"/>
          <w:cols w:equalWidth="0" w:num="1">
            <w:col w:w="10260"/>
          </w:cols>
          <w:pgMar w:left="1000" w:top="792" w:right="981" w:bottom="0" w:gutter="0" w:footer="0" w:header="0"/>
          <w:type w:val="continuous"/>
        </w:sectPr>
      </w:pPr>
    </w:p>
    <w:bookmarkStart w:id="66" w:name="page67"/>
    <w:bookmarkEnd w:id="66"/>
    <w:p>
      <w:pPr>
        <w:ind w:left="19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erc andise n entories</w:t>
      </w:r>
    </w:p>
    <w:p>
      <w:pPr>
        <w:spacing w:after="0" w:line="146" w:lineRule="exact"/>
        <w:rPr>
          <w:sz w:val="20"/>
          <w:szCs w:val="20"/>
          <w:color w:val="auto"/>
        </w:rPr>
      </w:pPr>
    </w:p>
    <w:p>
      <w:pPr>
        <w:ind w:left="10" w:right="20"/>
        <w:spacing w:after="0" w:line="254" w:lineRule="auto"/>
        <w:rPr>
          <w:sz w:val="20"/>
          <w:szCs w:val="20"/>
          <w:color w:val="auto"/>
        </w:rPr>
      </w:pPr>
      <w:r>
        <w:rPr>
          <w:rFonts w:ascii="Arial" w:cs="Arial" w:eastAsia="Arial" w:hAnsi="Arial"/>
          <w:sz w:val="20"/>
          <w:szCs w:val="20"/>
          <w:color w:val="auto"/>
        </w:rPr>
        <w:t>Inventories are stated at the lower of cost or market. TJX uses the retail method for valuing inventories at all of its businesses, except T axx in Australia which is immaterial to TJX’s total inventory. The businesses that utili e the retail method have some inventory that is initially valued at cost before the retail method is applied as that inventory has not been fully processed for sale (i.e. inventory in transit and unprocessed inventory in the Company’s distribution centers). nder the retail method, TJX utili es a permanent markdown strategy and lowers the cost value of the inventory that is subject to markdown at the time the retail prices are lowered in the stores. TJX records inventory at the time title transfers, which is typically at the time when inventory is shipped. As a result, erchandise inventories on TJX’s Consolidated Balance Sheets include in-transit inventory of $1.8 billion at January 31, 2026 and $1.6 billion at February 1, 2025. Comparable amounts were reflected in Accounts payable at those dates.</w:t>
      </w:r>
    </w:p>
    <w:p>
      <w:pPr>
        <w:spacing w:after="0" w:line="74" w:lineRule="exact"/>
        <w:rPr>
          <w:sz w:val="20"/>
          <w:szCs w:val="20"/>
          <w:color w:val="auto"/>
        </w:rPr>
      </w:pPr>
    </w:p>
    <w:p>
      <w:pPr>
        <w:ind w:left="10"/>
        <w:spacing w:after="0"/>
        <w:tabs>
          <w:tab w:leader="none" w:pos="569" w:val="left"/>
          <w:tab w:leader="none" w:pos="989" w:val="left"/>
          <w:tab w:leader="none" w:pos="2069" w:val="left"/>
        </w:tabs>
        <w:rPr>
          <w:sz w:val="20"/>
          <w:szCs w:val="20"/>
          <w:color w:val="auto"/>
        </w:rPr>
      </w:pPr>
      <w:r>
        <w:rPr>
          <w:rFonts w:ascii="Arial" w:cs="Arial" w:eastAsia="Arial" w:hAnsi="Arial"/>
          <w:sz w:val="22"/>
          <w:szCs w:val="22"/>
          <w:i w:val="1"/>
          <w:iCs w:val="1"/>
          <w:color w:val="auto"/>
        </w:rPr>
        <w:t>Co</w:t>
        <w:tab/>
        <w:t>on</w:t>
        <w:tab/>
        <w:t>toc  and</w:t>
        <w:tab/>
        <w:t>uit</w:t>
      </w:r>
    </w:p>
    <w:p>
      <w:pPr>
        <w:spacing w:after="0" w:line="146" w:lineRule="exact"/>
        <w:rPr>
          <w:sz w:val="20"/>
          <w:szCs w:val="20"/>
          <w:color w:val="auto"/>
        </w:rPr>
      </w:pPr>
    </w:p>
    <w:p>
      <w:pPr>
        <w:ind w:left="10" w:right="20" w:hanging="10"/>
        <w:spacing w:after="0" w:line="294" w:lineRule="auto"/>
        <w:tabs>
          <w:tab w:leader="none" w:pos="2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uity transactions consist primarily of the repurchase by TJX of its common stock under its stock repurchase programs and the recognition of compensation expense and issuance of common stock under TJX’s Stock Incentive Plan. nder TJX’s stock repurchase programs, the Company repurchases its common stock on the open market. The par value of the shares repurchased is charged to Common stock with the excess of the purchase price over par first charged against any available Additional paid-</w:t>
      </w:r>
    </w:p>
    <w:p>
      <w:pPr>
        <w:spacing w:after="0" w:line="2" w:lineRule="exact"/>
        <w:rPr>
          <w:sz w:val="20"/>
          <w:szCs w:val="20"/>
          <w:color w:val="auto"/>
        </w:rPr>
      </w:pPr>
    </w:p>
    <w:p>
      <w:pPr>
        <w:ind w:left="10" w:right="540"/>
        <w:spacing w:after="0" w:line="341" w:lineRule="auto"/>
        <w:rPr>
          <w:sz w:val="20"/>
          <w:szCs w:val="20"/>
          <w:color w:val="auto"/>
        </w:rPr>
      </w:pPr>
      <w:r>
        <w:rPr>
          <w:rFonts w:ascii="Arial" w:cs="Arial" w:eastAsia="Arial" w:hAnsi="Arial"/>
          <w:sz w:val="18"/>
          <w:szCs w:val="18"/>
          <w:color w:val="auto"/>
        </w:rPr>
        <w:t>in capital ( APIC ) and the balance charged to etained earnings. Due to the volume of share repurchases under previous programs, TJX has historically had no remaining balance in APIC. All shares repurchased have been retired.</w:t>
      </w:r>
    </w:p>
    <w:p>
      <w:pPr>
        <w:spacing w:after="0" w:line="12" w:lineRule="exact"/>
        <w:rPr>
          <w:sz w:val="20"/>
          <w:szCs w:val="20"/>
          <w:color w:val="auto"/>
        </w:rPr>
      </w:pPr>
    </w:p>
    <w:p>
      <w:pPr>
        <w:ind w:left="10" w:right="220"/>
        <w:spacing w:after="0" w:line="261" w:lineRule="auto"/>
        <w:rPr>
          <w:sz w:val="20"/>
          <w:szCs w:val="20"/>
          <w:color w:val="auto"/>
        </w:rPr>
      </w:pPr>
      <w:r>
        <w:rPr>
          <w:rFonts w:ascii="Arial" w:cs="Arial" w:eastAsia="Arial" w:hAnsi="Arial"/>
          <w:sz w:val="20"/>
          <w:szCs w:val="20"/>
          <w:color w:val="auto"/>
        </w:rPr>
        <w:t>The Inflation eduction Act of 2022 ( I A ) introduced a 1 excise tax after December 31, 2022 on the fair market value of certain stock that is repurchased during the taxable year. The taxable amount is reduced by the fair market value of certain issuances of stock throughout the year. Any excise tax incurred on repurchases is recogni ed as part of the cost of the repurchase.</w:t>
      </w:r>
    </w:p>
    <w:p>
      <w:pPr>
        <w:spacing w:after="0" w:line="80" w:lineRule="exact"/>
        <w:rPr>
          <w:sz w:val="20"/>
          <w:szCs w:val="20"/>
          <w:color w:val="auto"/>
        </w:rPr>
      </w:pPr>
    </w:p>
    <w:p>
      <w:pPr>
        <w:ind w:left="10" w:right="180"/>
        <w:spacing w:after="0" w:line="255" w:lineRule="auto"/>
        <w:rPr>
          <w:sz w:val="20"/>
          <w:szCs w:val="20"/>
          <w:color w:val="auto"/>
        </w:rPr>
      </w:pPr>
      <w:r>
        <w:rPr>
          <w:rFonts w:ascii="Arial" w:cs="Arial" w:eastAsia="Arial" w:hAnsi="Arial"/>
          <w:sz w:val="20"/>
          <w:szCs w:val="20"/>
          <w:color w:val="auto"/>
        </w:rPr>
        <w:t>Shares issued under TJX’s Stock Incentive Plan are issued from authori ed but unissued shares, and proceeds received are recorded by increasing common stock for the par value of the shares with the excess over par added to APIC. A deferred tax asset is recorded upon expensing of stock compensation in the financial statements. This deferred tax asset is recogni ed upon the exercise of the related stock grants. Any excess tax benefits or deficiencies are included in the provision for income taxes. The par value of performance share units and restricted stock units is added to common stock when shares are delivered following performance measurement date or service period to the extent vesting re uirements have been achieved. The fair value of stock awards and units are added to APIC as the awards are amorti ed into earnings over the related re uisite service periods.</w:t>
      </w:r>
    </w:p>
    <w:p>
      <w:pPr>
        <w:spacing w:after="0" w:line="70" w:lineRule="exact"/>
        <w:rPr>
          <w:sz w:val="20"/>
          <w:szCs w:val="20"/>
          <w:color w:val="auto"/>
        </w:rPr>
      </w:pPr>
    </w:p>
    <w:p>
      <w:pPr>
        <w:ind w:left="250"/>
        <w:spacing w:after="0"/>
        <w:tabs>
          <w:tab w:leader="none" w:pos="729" w:val="left"/>
          <w:tab w:leader="none" w:pos="1729" w:val="left"/>
        </w:tabs>
        <w:rPr>
          <w:sz w:val="20"/>
          <w:szCs w:val="20"/>
          <w:color w:val="auto"/>
        </w:rPr>
      </w:pPr>
      <w:r>
        <w:rPr>
          <w:rFonts w:ascii="Arial" w:cs="Arial" w:eastAsia="Arial" w:hAnsi="Arial"/>
          <w:sz w:val="22"/>
          <w:szCs w:val="22"/>
          <w:i w:val="1"/>
          <w:iCs w:val="1"/>
          <w:color w:val="auto"/>
        </w:rPr>
        <w:t>are</w:t>
        <w:tab/>
        <w:t>ased Co</w:t>
      </w:r>
      <w:r>
        <w:rPr>
          <w:sz w:val="20"/>
          <w:szCs w:val="20"/>
          <w:color w:val="auto"/>
        </w:rPr>
        <w:tab/>
      </w:r>
      <w:r>
        <w:rPr>
          <w:rFonts w:ascii="Arial" w:cs="Arial" w:eastAsia="Arial" w:hAnsi="Arial"/>
          <w:sz w:val="20"/>
          <w:szCs w:val="20"/>
          <w:i w:val="1"/>
          <w:iCs w:val="1"/>
          <w:color w:val="auto"/>
        </w:rPr>
        <w:t>ensation</w:t>
      </w:r>
    </w:p>
    <w:p>
      <w:pPr>
        <w:spacing w:after="0" w:line="146" w:lineRule="exact"/>
        <w:rPr>
          <w:sz w:val="20"/>
          <w:szCs w:val="20"/>
          <w:color w:val="auto"/>
        </w:rPr>
      </w:pPr>
    </w:p>
    <w:p>
      <w:pPr>
        <w:ind w:left="10" w:right="20"/>
        <w:spacing w:after="0" w:line="275" w:lineRule="auto"/>
        <w:rPr>
          <w:sz w:val="20"/>
          <w:szCs w:val="20"/>
          <w:color w:val="auto"/>
        </w:rPr>
      </w:pPr>
      <w:r>
        <w:rPr>
          <w:rFonts w:ascii="Arial" w:cs="Arial" w:eastAsia="Arial" w:hAnsi="Arial"/>
          <w:sz w:val="19"/>
          <w:szCs w:val="19"/>
          <w:color w:val="auto"/>
        </w:rPr>
        <w:t>TJX accounts for share-based compensation by estimating the fair value of each award on the date of grant. TJX uses the Black-Scholes option pricing model for options awarded and the market price on the grant date for stock awards. Compensation expense is recogni ed over the re uisite service period for each award with forfeitures recogni ed as they occur. Performance-based awards are evaluated uarterly for probability of vesting and performance achievement levels. See Note Stock Incentive Plan for a detailed discussion of share-based compensation.</w:t>
      </w:r>
    </w:p>
    <w:p>
      <w:pPr>
        <w:spacing w:after="0" w:line="53" w:lineRule="exact"/>
        <w:rPr>
          <w:sz w:val="20"/>
          <w:szCs w:val="20"/>
          <w:color w:val="auto"/>
        </w:rPr>
      </w:pPr>
    </w:p>
    <w:p>
      <w:pPr>
        <w:ind w:left="90"/>
        <w:spacing w:after="0"/>
        <w:tabs>
          <w:tab w:leader="none" w:pos="889" w:val="left"/>
          <w:tab w:leader="none" w:pos="1389" w:val="left"/>
          <w:tab w:leader="none" w:pos="1989" w:val="left"/>
        </w:tabs>
        <w:rPr>
          <w:sz w:val="20"/>
          <w:szCs w:val="20"/>
          <w:color w:val="auto"/>
        </w:rPr>
      </w:pPr>
      <w:r>
        <w:rPr>
          <w:rFonts w:ascii="Arial" w:cs="Arial" w:eastAsia="Arial" w:hAnsi="Arial"/>
          <w:sz w:val="22"/>
          <w:szCs w:val="22"/>
          <w:i w:val="1"/>
          <w:iCs w:val="1"/>
          <w:color w:val="auto"/>
        </w:rPr>
        <w:t>nterest</w:t>
        <w:tab/>
        <w:t>nco</w:t>
        <w:tab/>
        <w:t>e</w:t>
      </w:r>
      <w:r>
        <w:rPr>
          <w:sz w:val="20"/>
          <w:szCs w:val="20"/>
          <w:color w:val="auto"/>
        </w:rPr>
        <w:tab/>
      </w:r>
      <w:r>
        <w:rPr>
          <w:rFonts w:ascii="Arial" w:cs="Arial" w:eastAsia="Arial" w:hAnsi="Arial"/>
          <w:sz w:val="20"/>
          <w:szCs w:val="20"/>
          <w:i w:val="1"/>
          <w:iCs w:val="1"/>
          <w:color w:val="auto"/>
        </w:rPr>
        <w:t>ense net</w:t>
      </w:r>
    </w:p>
    <w:p>
      <w:pPr>
        <w:spacing w:after="0" w:line="146" w:lineRule="exact"/>
        <w:rPr>
          <w:sz w:val="20"/>
          <w:szCs w:val="20"/>
          <w:color w:val="auto"/>
        </w:rPr>
      </w:pPr>
    </w:p>
    <w:p>
      <w:pPr>
        <w:ind w:left="10" w:right="80"/>
        <w:spacing w:after="0" w:line="283" w:lineRule="auto"/>
        <w:rPr>
          <w:sz w:val="20"/>
          <w:szCs w:val="20"/>
          <w:color w:val="auto"/>
        </w:rPr>
      </w:pPr>
      <w:r>
        <w:rPr>
          <w:rFonts w:ascii="Arial" w:cs="Arial" w:eastAsia="Arial" w:hAnsi="Arial"/>
          <w:sz w:val="20"/>
          <w:szCs w:val="20"/>
          <w:color w:val="auto"/>
        </w:rPr>
        <w:t>TJX’s interest (income) expense, net is presented net of capitali ed interest and interest income. The following is a summary of interest (income) expense, net:</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2"/>
                <w:szCs w:val="22"/>
                <w:color w:val="auto"/>
              </w:rPr>
            </w:pPr>
          </w:p>
        </w:tc>
      </w:tr>
      <w:tr>
        <w:trPr>
          <w:trHeight w:val="212"/>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1,</w:t>
            </w:r>
          </w:p>
        </w:tc>
        <w:tc>
          <w:tcPr>
            <w:tcW w:w="16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2024</w:t>
            </w:r>
          </w:p>
        </w:tc>
      </w:tr>
      <w:tr>
        <w:trPr>
          <w:trHeight w:val="284"/>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Arial" w:cs="Arial" w:eastAsia="Arial" w:hAnsi="Arial"/>
                <w:sz w:val="20"/>
                <w:szCs w:val="20"/>
                <w:color w:val="auto"/>
                <w:w w:val="91"/>
              </w:rPr>
              <w:t>(53 weeks)</w:t>
            </w:r>
          </w:p>
        </w:tc>
      </w:tr>
      <w:tr>
        <w:trPr>
          <w:trHeight w:val="307"/>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Interest expense</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79</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78</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82</w:t>
            </w:r>
          </w:p>
        </w:tc>
      </w:tr>
      <w:tr>
        <w:trPr>
          <w:trHeight w:val="293"/>
        </w:trPr>
        <w:tc>
          <w:tcPr>
            <w:tcW w:w="6300" w:type="dxa"/>
            <w:vAlign w:val="bottom"/>
            <w:shd w:val="clear" w:color="auto" w:fill="FEFEFE"/>
          </w:tcPr>
          <w:p>
            <w:pPr>
              <w:ind w:left="40"/>
              <w:spacing w:after="0"/>
              <w:rPr>
                <w:sz w:val="20"/>
                <w:szCs w:val="20"/>
                <w:color w:val="auto"/>
              </w:rPr>
            </w:pPr>
            <w:r>
              <w:rPr>
                <w:rFonts w:ascii="Arial" w:cs="Arial" w:eastAsia="Arial" w:hAnsi="Arial"/>
                <w:sz w:val="20"/>
                <w:szCs w:val="20"/>
                <w:color w:val="auto"/>
              </w:rPr>
              <w:t>Capitali ed interest</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2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w:t>
            </w:r>
          </w:p>
        </w:tc>
        <w:tc>
          <w:tcPr>
            <w:tcW w:w="16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Interest (income)</w:t>
            </w: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195</w:t>
            </w:r>
          </w:p>
        </w:tc>
        <w:tc>
          <w:tcPr>
            <w:tcW w:w="2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(257)</w:t>
            </w:r>
          </w:p>
        </w:tc>
        <w:tc>
          <w:tcPr>
            <w:tcW w:w="16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(24 )</w:t>
            </w:r>
          </w:p>
        </w:tc>
      </w:tr>
      <w:tr>
        <w:trPr>
          <w:trHeight w:val="280"/>
        </w:trPr>
        <w:tc>
          <w:tcPr>
            <w:tcW w:w="6300" w:type="dxa"/>
            <w:vAlign w:val="bottom"/>
            <w:tcBorders>
              <w:bottom w:val="single" w:sz="8" w:color="auto"/>
            </w:tcBorders>
            <w:shd w:val="clear" w:color="auto" w:fill="FEFEFE"/>
          </w:tcPr>
          <w:p>
            <w:pPr>
              <w:ind w:left="280"/>
              <w:spacing w:after="0"/>
              <w:rPr>
                <w:sz w:val="20"/>
                <w:szCs w:val="20"/>
                <w:color w:val="auto"/>
              </w:rPr>
            </w:pPr>
            <w:r>
              <w:rPr>
                <w:rFonts w:ascii="Arial" w:cs="Arial" w:eastAsia="Arial" w:hAnsi="Arial"/>
                <w:sz w:val="20"/>
                <w:szCs w:val="20"/>
                <w:color w:val="auto"/>
              </w:rPr>
              <w:t>Interest (income) expense, net</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121</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(181)</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(170)</w:t>
            </w:r>
          </w:p>
        </w:tc>
      </w:tr>
    </w:tbl>
    <w:p>
      <w:pPr>
        <w:spacing w:after="0" w:line="147" w:lineRule="exact"/>
        <w:rPr>
          <w:sz w:val="20"/>
          <w:szCs w:val="20"/>
          <w:color w:val="auto"/>
        </w:rPr>
      </w:pPr>
    </w:p>
    <w:p>
      <w:pPr>
        <w:ind w:left="10"/>
        <w:spacing w:after="0"/>
        <w:rPr>
          <w:sz w:val="20"/>
          <w:szCs w:val="20"/>
          <w:color w:val="auto"/>
        </w:rPr>
      </w:pPr>
      <w:r>
        <w:rPr>
          <w:rFonts w:ascii="Arial" w:cs="Arial" w:eastAsia="Arial" w:hAnsi="Arial"/>
          <w:sz w:val="18"/>
          <w:szCs w:val="18"/>
          <w:color w:val="auto"/>
        </w:rPr>
        <w:t>TJX capitali es interest during the active construction period of major capital projects and adds the interest to the related assets.</w:t>
      </w:r>
    </w:p>
    <w:p>
      <w:pPr>
        <w:sectPr>
          <w:pgSz w:w="12240" w:h="15841" w:orient="portrait"/>
          <w:cols w:equalWidth="0" w:num="1">
            <w:col w:w="10270"/>
          </w:cols>
          <w:pgMar w:left="99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F-11</w:t>
      </w:r>
    </w:p>
    <w:p>
      <w:pPr>
        <w:sectPr>
          <w:pgSz w:w="12240" w:h="15841" w:orient="portrait"/>
          <w:cols w:equalWidth="0" w:num="1">
            <w:col w:w="10270"/>
          </w:cols>
          <w:pgMar w:left="990" w:top="777" w:right="981" w:bottom="0" w:gutter="0" w:footer="0" w:header="0"/>
          <w:type w:val="continuous"/>
        </w:sectPr>
      </w:pPr>
    </w:p>
    <w:bookmarkStart w:id="67" w:name="page68"/>
    <w:bookmarkEnd w:id="67"/>
    <w:p>
      <w:pPr>
        <w:ind w:left="120"/>
        <w:spacing w:after="0"/>
        <w:tabs>
          <w:tab w:leader="none" w:pos="1460" w:val="left"/>
          <w:tab w:leader="none" w:pos="192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ro ert  and</w:t>
        <w:tab/>
        <w:t>ui</w:t>
      </w:r>
      <w:r>
        <w:rPr>
          <w:sz w:val="20"/>
          <w:szCs w:val="20"/>
          <w:color w:val="auto"/>
        </w:rPr>
        <w:tab/>
      </w:r>
      <w:r>
        <w:rPr>
          <w:rFonts w:ascii="Arial" w:cs="Arial" w:eastAsia="Arial" w:hAnsi="Arial"/>
          <w:sz w:val="20"/>
          <w:szCs w:val="20"/>
          <w:i w:val="1"/>
          <w:iCs w:val="1"/>
          <w:color w:val="auto"/>
        </w:rPr>
        <w:t>ent</w:t>
      </w:r>
    </w:p>
    <w:p>
      <w:pPr>
        <w:spacing w:after="0" w:line="146" w:lineRule="exact"/>
        <w:rPr>
          <w:sz w:val="20"/>
          <w:szCs w:val="20"/>
          <w:color w:val="auto"/>
        </w:rPr>
      </w:pPr>
    </w:p>
    <w:p>
      <w:pPr>
        <w:jc w:val="both"/>
        <w:ind w:right="340"/>
        <w:spacing w:after="0" w:line="294" w:lineRule="auto"/>
        <w:rPr>
          <w:sz w:val="20"/>
          <w:szCs w:val="20"/>
          <w:color w:val="auto"/>
        </w:rPr>
      </w:pPr>
      <w:r>
        <w:rPr>
          <w:rFonts w:ascii="Arial" w:cs="Arial" w:eastAsia="Arial" w:hAnsi="Arial"/>
          <w:sz w:val="17"/>
          <w:szCs w:val="17"/>
          <w:color w:val="auto"/>
        </w:rPr>
        <w:t>For financial reporting purposes, TJX provides for depreciation and amorti ation of property using the straight-line method over the estimated useful lives of the assets. Buildings are depreciated over 33 years. Leasehold costs and improvements are generally amorti ed over their useful life or the committed lease term (typically 10 years to 15 years), whichever is shorter.</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 xml:space="preserve">Furniture, fixtures and e uipment are depreciated over 3 to 10 years. Depreciation and amorti ation expense for property was </w:t>
      </w:r>
      <w:r>
        <w:rPr>
          <w:rFonts w:ascii="Arial" w:cs="Arial" w:eastAsia="Arial" w:hAnsi="Arial"/>
          <w:sz w:val="19"/>
          <w:szCs w:val="19"/>
          <w:color w:val="auto"/>
          <w:highlight w:val="white"/>
        </w:rPr>
        <w:t xml:space="preserve">$1.2 billion </w:t>
      </w:r>
      <w:r>
        <w:rPr>
          <w:rFonts w:ascii="Arial" w:cs="Arial" w:eastAsia="Arial" w:hAnsi="Arial"/>
          <w:sz w:val="19"/>
          <w:szCs w:val="19"/>
          <w:color w:val="auto"/>
        </w:rPr>
        <w:t>in fiscal 2026, $1.1 billion in fiscal 2025, and $ 58 million in fiscal 2024. TJX had no property held under finance</w:t>
      </w:r>
      <w:r>
        <w:rPr>
          <w:rFonts w:ascii="Arial" w:cs="Arial" w:eastAsia="Arial" w:hAnsi="Arial"/>
          <w:sz w:val="19"/>
          <w:szCs w:val="19"/>
          <w:color w:val="auto"/>
          <w:highlight w:val="white"/>
        </w:rPr>
        <w:t xml:space="preserve"> </w:t>
      </w:r>
      <w:r>
        <w:rPr>
          <w:rFonts w:ascii="Arial" w:cs="Arial" w:eastAsia="Arial" w:hAnsi="Arial"/>
          <w:sz w:val="19"/>
          <w:szCs w:val="19"/>
          <w:color w:val="auto"/>
        </w:rPr>
        <w:t>leases during fiscal 2026, fiscal 2025 or fiscal 2024. aintenance and repairs are charged to expense as incurred. Significant costs incurred for internally developed software are capitali ed and amorti ed, generally over 5 years. pon retirement or sale, the cost of disposed assets and the related accumulated depreciation are eliminated, and any gain or loss is included in income. Pre-opening costs, including rent, are expensed as incurred.</w:t>
      </w:r>
    </w:p>
    <w:p>
      <w:pPr>
        <w:spacing w:after="0" w:line="5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i w:val="1"/>
          <w:iCs w:val="1"/>
          <w:color w:val="auto"/>
        </w:rPr>
        <w:t>Lease</w:t>
      </w:r>
      <w:r>
        <w:rPr>
          <w:sz w:val="20"/>
          <w:szCs w:val="20"/>
          <w:color w:val="auto"/>
        </w:rPr>
        <w:tab/>
      </w:r>
      <w:r>
        <w:rPr>
          <w:rFonts w:ascii="Arial" w:cs="Arial" w:eastAsia="Arial" w:hAnsi="Arial"/>
          <w:sz w:val="21"/>
          <w:szCs w:val="21"/>
          <w:i w:val="1"/>
          <w:iCs w:val="1"/>
          <w:color w:val="auto"/>
        </w:rPr>
        <w:t>ccounting</w:t>
      </w:r>
    </w:p>
    <w:p>
      <w:pPr>
        <w:spacing w:after="0" w:line="146" w:lineRule="exact"/>
        <w:rPr>
          <w:sz w:val="20"/>
          <w:szCs w:val="20"/>
          <w:color w:val="auto"/>
        </w:rPr>
      </w:pPr>
    </w:p>
    <w:p>
      <w:pPr>
        <w:ind w:left="140"/>
        <w:spacing w:after="0"/>
        <w:tabs>
          <w:tab w:leader="none" w:pos="2820" w:val="left"/>
          <w:tab w:leader="none" w:pos="5680" w:val="left"/>
        </w:tabs>
        <w:rPr>
          <w:sz w:val="20"/>
          <w:szCs w:val="20"/>
          <w:color w:val="auto"/>
        </w:rPr>
      </w:pPr>
      <w:r>
        <w:rPr>
          <w:rFonts w:ascii="Arial" w:cs="Arial" w:eastAsia="Arial" w:hAnsi="Arial"/>
          <w:sz w:val="20"/>
          <w:szCs w:val="20"/>
          <w:color w:val="auto"/>
        </w:rPr>
        <w:t>perating leases are included in</w:t>
        <w:tab/>
        <w:t>perating lease right of use assets,</w:t>
      </w:r>
      <w:r>
        <w:rPr>
          <w:sz w:val="20"/>
          <w:szCs w:val="20"/>
          <w:color w:val="auto"/>
        </w:rPr>
        <w:tab/>
      </w:r>
      <w:r>
        <w:rPr>
          <w:rFonts w:ascii="Arial" w:cs="Arial" w:eastAsia="Arial" w:hAnsi="Arial"/>
          <w:sz w:val="18"/>
          <w:szCs w:val="18"/>
          <w:color w:val="auto"/>
        </w:rPr>
        <w:t>Current portion of operating lease liabilities,  and</w:t>
      </w:r>
    </w:p>
    <w:p>
      <w:pPr>
        <w:spacing w:after="0" w:line="10" w:lineRule="exact"/>
        <w:rPr>
          <w:sz w:val="20"/>
          <w:szCs w:val="20"/>
          <w:color w:val="auto"/>
        </w:rPr>
      </w:pPr>
    </w:p>
    <w:p>
      <w:pPr>
        <w:ind w:left="80"/>
        <w:spacing w:after="0"/>
        <w:tabs>
          <w:tab w:leader="none" w:pos="7160" w:val="left"/>
          <w:tab w:leader="none" w:pos="8720" w:val="left"/>
        </w:tabs>
        <w:rPr>
          <w:sz w:val="20"/>
          <w:szCs w:val="20"/>
          <w:color w:val="auto"/>
        </w:rPr>
      </w:pPr>
      <w:r>
        <w:rPr>
          <w:rFonts w:ascii="Arial" w:cs="Arial" w:eastAsia="Arial" w:hAnsi="Arial"/>
          <w:sz w:val="20"/>
          <w:szCs w:val="20"/>
          <w:color w:val="auto"/>
        </w:rPr>
        <w:t>Long-term operating lease liabilities  on the Company’s Consolidated Balance Sheets.</w:t>
        <w:tab/>
        <w:t>ight of use (</w:t>
      </w:r>
      <w:r>
        <w:rPr>
          <w:sz w:val="20"/>
          <w:szCs w:val="20"/>
          <w:color w:val="auto"/>
        </w:rPr>
        <w:tab/>
      </w:r>
      <w:r>
        <w:rPr>
          <w:rFonts w:ascii="Arial" w:cs="Arial" w:eastAsia="Arial" w:hAnsi="Arial"/>
          <w:sz w:val="17"/>
          <w:szCs w:val="17"/>
          <w:color w:val="auto"/>
        </w:rPr>
        <w:t>) assets represent</w:t>
      </w:r>
    </w:p>
    <w:p>
      <w:pPr>
        <w:spacing w:after="0" w:line="1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TJX’s right to use an underlying asset for the lease term and lease liabilities represent TJX’s obligation to make lease payments arising from the lease. At the inception of the arrangement, the Company determines if an arrangement is a lease based on</w:t>
      </w:r>
    </w:p>
    <w:p>
      <w:pPr>
        <w:ind w:right="240"/>
        <w:spacing w:after="0" w:line="294" w:lineRule="auto"/>
        <w:rPr>
          <w:sz w:val="20"/>
          <w:szCs w:val="20"/>
          <w:color w:val="auto"/>
        </w:rPr>
      </w:pPr>
      <w:r>
        <w:rPr>
          <w:rFonts w:ascii="Arial" w:cs="Arial" w:eastAsia="Arial" w:hAnsi="Arial"/>
          <w:sz w:val="17"/>
          <w:szCs w:val="17"/>
          <w:color w:val="auto"/>
        </w:rPr>
        <w:t>assessment of the terms and conditions of the contract. perating lease assets and lease liabilities are recogni ed at possession date based on the present value of lease payments over the lease term. The majority of the Company’s leases are retail store locations, and the possession date is typically 30 to 60 days prior to the opening of the store and generally occurs before the commencement of the lease term, as specified in the lease. TJX’s lessors do not provide an implicit rate, nor is one readily available, therefore the Company uses its incremental borrowing rate based on the information available at possession date in determining the present value of future lease payments. The incremental borrowing rate is calculated based on the S Consumer Discretionary yield curve and adjusted for collaterali ation and foreign currency impact for TJX International and</w:t>
      </w:r>
    </w:p>
    <w:p>
      <w:pPr>
        <w:spacing w:after="0" w:line="4" w:lineRule="exact"/>
        <w:rPr>
          <w:sz w:val="20"/>
          <w:szCs w:val="20"/>
          <w:color w:val="auto"/>
        </w:rPr>
      </w:pPr>
    </w:p>
    <w:p>
      <w:pPr>
        <w:spacing w:after="0"/>
        <w:tabs>
          <w:tab w:leader="none" w:pos="3280" w:val="left"/>
        </w:tabs>
        <w:rPr>
          <w:sz w:val="20"/>
          <w:szCs w:val="20"/>
          <w:color w:val="auto"/>
        </w:rPr>
      </w:pPr>
      <w:r>
        <w:rPr>
          <w:rFonts w:ascii="Arial" w:cs="Arial" w:eastAsia="Arial" w:hAnsi="Arial"/>
          <w:sz w:val="20"/>
          <w:szCs w:val="20"/>
          <w:color w:val="auto"/>
        </w:rPr>
        <w:t>Canada leases. The operating lease</w:t>
      </w:r>
      <w:r>
        <w:rPr>
          <w:sz w:val="20"/>
          <w:szCs w:val="20"/>
          <w:color w:val="auto"/>
        </w:rPr>
        <w:tab/>
      </w:r>
      <w:r>
        <w:rPr>
          <w:rFonts w:ascii="Arial" w:cs="Arial" w:eastAsia="Arial" w:hAnsi="Arial"/>
          <w:sz w:val="18"/>
          <w:szCs w:val="18"/>
          <w:color w:val="auto"/>
        </w:rPr>
        <w:t>assets also include any ac uisition costs offset by lease incentives. The Company’s</w:t>
      </w:r>
    </w:p>
    <w:p>
      <w:pPr>
        <w:spacing w:after="0" w:line="10" w:lineRule="exact"/>
        <w:rPr>
          <w:sz w:val="20"/>
          <w:szCs w:val="20"/>
          <w:color w:val="auto"/>
        </w:rPr>
      </w:pPr>
    </w:p>
    <w:p>
      <w:pPr>
        <w:spacing w:after="0"/>
        <w:tabs>
          <w:tab w:leader="none" w:pos="7880" w:val="left"/>
        </w:tabs>
        <w:rPr>
          <w:sz w:val="20"/>
          <w:szCs w:val="20"/>
          <w:color w:val="auto"/>
        </w:rPr>
      </w:pPr>
      <w:r>
        <w:rPr>
          <w:rFonts w:ascii="Arial" w:cs="Arial" w:eastAsia="Arial" w:hAnsi="Arial"/>
          <w:sz w:val="20"/>
          <w:szCs w:val="20"/>
          <w:color w:val="auto"/>
        </w:rPr>
        <w:t>lease terms include options to extend the lease, which will be included in the operating lease</w:t>
      </w:r>
      <w:r>
        <w:rPr>
          <w:sz w:val="20"/>
          <w:szCs w:val="20"/>
          <w:color w:val="auto"/>
        </w:rPr>
        <w:tab/>
      </w:r>
      <w:r>
        <w:rPr>
          <w:rFonts w:ascii="Arial" w:cs="Arial" w:eastAsia="Arial" w:hAnsi="Arial"/>
          <w:sz w:val="17"/>
          <w:szCs w:val="17"/>
          <w:color w:val="auto"/>
        </w:rPr>
        <w:t>asset and lease liabilities</w:t>
      </w:r>
    </w:p>
    <w:p>
      <w:pPr>
        <w:spacing w:after="0" w:line="10"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when it is reasonably certain the Company will exercise that option. Lease expense for lease payments is recogni ed on a straight-line basis over the lease term within Cost of sales, including buying and occupancy costs . See Note L Leases for a detailed discussion of lease accounting.</w:t>
      </w:r>
    </w:p>
    <w:p>
      <w:pPr>
        <w:spacing w:after="0" w:line="60" w:lineRule="exact"/>
        <w:rPr>
          <w:sz w:val="20"/>
          <w:szCs w:val="20"/>
          <w:color w:val="auto"/>
        </w:rPr>
      </w:pPr>
    </w:p>
    <w:p>
      <w:pPr>
        <w:ind w:left="140"/>
        <w:spacing w:after="0"/>
        <w:tabs>
          <w:tab w:leader="none" w:pos="1380" w:val="left"/>
          <w:tab w:leader="none" w:pos="2180" w:val="left"/>
        </w:tabs>
        <w:rPr>
          <w:sz w:val="20"/>
          <w:szCs w:val="20"/>
          <w:color w:val="auto"/>
        </w:rPr>
      </w:pPr>
      <w:r>
        <w:rPr>
          <w:rFonts w:ascii="Arial" w:cs="Arial" w:eastAsia="Arial" w:hAnsi="Arial"/>
          <w:sz w:val="22"/>
          <w:szCs w:val="22"/>
          <w:i w:val="1"/>
          <w:iCs w:val="1"/>
          <w:color w:val="auto"/>
        </w:rPr>
        <w:t>ood  ill and</w:t>
        <w:tab/>
        <w:t>radena</w:t>
      </w:r>
      <w:r>
        <w:rPr>
          <w:sz w:val="20"/>
          <w:szCs w:val="20"/>
          <w:color w:val="auto"/>
        </w:rPr>
        <w:tab/>
      </w:r>
      <w:r>
        <w:rPr>
          <w:rFonts w:ascii="Arial" w:cs="Arial" w:eastAsia="Arial" w:hAnsi="Arial"/>
          <w:sz w:val="17"/>
          <w:szCs w:val="17"/>
          <w:i w:val="1"/>
          <w:iCs w:val="1"/>
          <w:color w:val="auto"/>
        </w:rPr>
        <w:t>es</w:t>
      </w:r>
    </w:p>
    <w:p>
      <w:pPr>
        <w:spacing w:after="0" w:line="146" w:lineRule="exact"/>
        <w:rPr>
          <w:sz w:val="20"/>
          <w:szCs w:val="20"/>
          <w:color w:val="auto"/>
        </w:rPr>
      </w:pPr>
    </w:p>
    <w:p>
      <w:pPr>
        <w:ind w:right="160" w:firstLine="145"/>
        <w:spacing w:after="0" w:line="278" w:lineRule="auto"/>
        <w:rPr>
          <w:sz w:val="20"/>
          <w:szCs w:val="20"/>
          <w:color w:val="auto"/>
        </w:rPr>
      </w:pPr>
      <w:r>
        <w:rPr>
          <w:rFonts w:ascii="Arial" w:cs="Arial" w:eastAsia="Arial" w:hAnsi="Arial"/>
          <w:sz w:val="18"/>
          <w:szCs w:val="18"/>
          <w:color w:val="auto"/>
        </w:rPr>
        <w:t>oodwill includes the excess of the purchase price paid over the carrying value of the minority interest ac uired in fiscal 1 0 in TJX’s former 83 -owned subsidiary and represents goodwill associated with the TJ axx chain, which is included in the</w:t>
      </w:r>
    </w:p>
    <w:p>
      <w:pPr>
        <w:ind w:right="160" w:firstLine="178"/>
        <w:spacing w:after="0" w:line="309" w:lineRule="auto"/>
        <w:rPr>
          <w:sz w:val="20"/>
          <w:szCs w:val="20"/>
          <w:color w:val="auto"/>
        </w:rPr>
      </w:pPr>
      <w:r>
        <w:rPr>
          <w:rFonts w:ascii="Arial" w:cs="Arial" w:eastAsia="Arial" w:hAnsi="Arial"/>
          <w:sz w:val="18"/>
          <w:szCs w:val="18"/>
          <w:color w:val="auto"/>
        </w:rPr>
        <w:t>armaxx segment. The Company’s goodwill also includes the excess of cost over the estimated fair market value of the net assets ac uired by TJX in the purchase of inners in fiscal 1 1, included in TJX Canada, as well as the purchase of Trade Secret in fiscal 2016, which was re-branded under the T axx name during fiscal 2018 and is included in TJX International.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20" w:type="dxa"/>
            <w:vAlign w:val="bottom"/>
          </w:tcPr>
          <w:p>
            <w:pPr>
              <w:spacing w:after="0"/>
              <w:rPr>
                <w:sz w:val="20"/>
                <w:szCs w:val="20"/>
                <w:color w:val="auto"/>
              </w:rPr>
            </w:pPr>
            <w:r>
              <w:rPr>
                <w:rFonts w:ascii="Arial" w:cs="Arial" w:eastAsia="Arial" w:hAnsi="Arial"/>
                <w:sz w:val="20"/>
                <w:szCs w:val="20"/>
                <w:color w:val="auto"/>
              </w:rPr>
              <w:t>The following is a roll forward of goodwill by segment:</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vMerge w:val="restart"/>
          </w:tcPr>
          <w:p>
            <w:pPr>
              <w:jc w:val="right"/>
              <w:ind w:right="120"/>
              <w:spacing w:after="0"/>
              <w:rPr>
                <w:sz w:val="20"/>
                <w:szCs w:val="20"/>
                <w:color w:val="auto"/>
              </w:rPr>
            </w:pPr>
            <w:r>
              <w:rPr>
                <w:rFonts w:ascii="Arial" w:cs="Arial" w:eastAsia="Arial" w:hAnsi="Arial"/>
                <w:sz w:val="20"/>
                <w:szCs w:val="20"/>
                <w:color w:val="auto"/>
              </w:rPr>
              <w:t>armaxx</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TJX</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60"/>
              <w:spacing w:after="0"/>
              <w:rPr>
                <w:sz w:val="20"/>
                <w:szCs w:val="20"/>
                <w:color w:val="auto"/>
              </w:rPr>
            </w:pPr>
            <w:r>
              <w:rPr>
                <w:rFonts w:ascii="Arial" w:cs="Arial" w:eastAsia="Arial" w:hAnsi="Arial"/>
                <w:sz w:val="20"/>
                <w:szCs w:val="20"/>
                <w:color w:val="auto"/>
              </w:rPr>
              <w:t>TJX</w:t>
            </w:r>
          </w:p>
        </w:tc>
        <w:tc>
          <w:tcPr>
            <w:tcW w:w="260" w:type="dxa"/>
            <w:vAlign w:val="bottom"/>
          </w:tcPr>
          <w:p>
            <w:pPr>
              <w:spacing w:after="0"/>
              <w:rPr>
                <w:sz w:val="22"/>
                <w:szCs w:val="22"/>
                <w:color w:val="auto"/>
              </w:rPr>
            </w:pPr>
          </w:p>
        </w:tc>
        <w:tc>
          <w:tcPr>
            <w:tcW w:w="940" w:type="dxa"/>
            <w:vAlign w:val="bottom"/>
            <w:vMerge w:val="restart"/>
          </w:tcPr>
          <w:p>
            <w:pPr>
              <w:jc w:val="right"/>
              <w:ind w:right="30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7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Canada</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w w:val="98"/>
              </w:rPr>
              <w:t>International</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02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February 3, 2024</w:t>
            </w:r>
          </w:p>
        </w:tc>
        <w:tc>
          <w:tcPr>
            <w:tcW w:w="76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70</w:t>
            </w:r>
          </w:p>
        </w:tc>
        <w:tc>
          <w:tcPr>
            <w:tcW w:w="860" w:type="dxa"/>
            <w:vAlign w:val="bottom"/>
            <w:shd w:val="clear" w:color="auto" w:fill="E4E4E4"/>
          </w:tcPr>
          <w:p>
            <w:pPr>
              <w:jc w:val="right"/>
              <w:ind w:right="600"/>
              <w:spacing w:after="0"/>
              <w:rPr>
                <w:sz w:val="20"/>
                <w:szCs w:val="20"/>
                <w:color w:val="auto"/>
              </w:rPr>
            </w:pPr>
            <w:r>
              <w:rPr>
                <w:rFonts w:ascii="Arial" w:cs="Arial" w:eastAsia="Arial" w:hAnsi="Arial"/>
                <w:sz w:val="20"/>
                <w:szCs w:val="20"/>
                <w:color w:val="auto"/>
              </w:rPr>
              <w:t>$</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8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23</w:t>
            </w:r>
          </w:p>
        </w:tc>
        <w:tc>
          <w:tcPr>
            <w:tcW w:w="26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0"/>
        </w:trPr>
        <w:tc>
          <w:tcPr>
            <w:tcW w:w="50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Effect of exchange rate changes on goodwill</w:t>
            </w:r>
          </w:p>
        </w:tc>
        <w:tc>
          <w:tcPr>
            <w:tcW w:w="76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spacing w:after="0"/>
              <w:rPr>
                <w:sz w:val="24"/>
                <w:szCs w:val="24"/>
                <w:color w:val="auto"/>
              </w:rPr>
            </w:pPr>
          </w:p>
        </w:tc>
        <w:tc>
          <w:tcPr>
            <w:tcW w:w="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81"/>
              </w:rPr>
              <w:t>(0)</w:t>
            </w:r>
          </w:p>
        </w:tc>
        <w:tc>
          <w:tcPr>
            <w:tcW w:w="28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0"/>
        </w:trPr>
        <w:tc>
          <w:tcPr>
            <w:tcW w:w="502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February 1, 2025</w:t>
            </w:r>
          </w:p>
        </w:tc>
        <w:tc>
          <w:tcPr>
            <w:tcW w:w="76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70</w:t>
            </w:r>
          </w:p>
        </w:tc>
        <w:tc>
          <w:tcPr>
            <w:tcW w:w="860" w:type="dxa"/>
            <w:vAlign w:val="bottom"/>
            <w:shd w:val="clear" w:color="auto" w:fill="E4E4E4"/>
          </w:tcPr>
          <w:p>
            <w:pPr>
              <w:jc w:val="right"/>
              <w:ind w:right="600"/>
              <w:spacing w:after="0"/>
              <w:rPr>
                <w:sz w:val="20"/>
                <w:szCs w:val="20"/>
                <w:color w:val="auto"/>
              </w:rPr>
            </w:pPr>
            <w:r>
              <w:rPr>
                <w:rFonts w:ascii="Arial" w:cs="Arial" w:eastAsia="Arial" w:hAnsi="Arial"/>
                <w:sz w:val="20"/>
                <w:szCs w:val="20"/>
                <w:color w:val="auto"/>
              </w:rPr>
              <w:t>$</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8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22</w:t>
            </w:r>
          </w:p>
        </w:tc>
        <w:tc>
          <w:tcPr>
            <w:tcW w:w="26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0"/>
        </w:trPr>
        <w:tc>
          <w:tcPr>
            <w:tcW w:w="502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Effect of exchange rate changes on goodwill</w:t>
            </w:r>
          </w:p>
        </w:tc>
        <w:tc>
          <w:tcPr>
            <w:tcW w:w="76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spacing w:after="0"/>
              <w:rPr>
                <w:sz w:val="24"/>
                <w:szCs w:val="24"/>
                <w:color w:val="auto"/>
              </w:rPr>
            </w:pPr>
          </w:p>
        </w:tc>
        <w:tc>
          <w:tcPr>
            <w:tcW w:w="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0</w:t>
            </w:r>
          </w:p>
        </w:tc>
        <w:tc>
          <w:tcPr>
            <w:tcW w:w="28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0"/>
        </w:trPr>
        <w:tc>
          <w:tcPr>
            <w:tcW w:w="50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alance, January 31, 2026</w:t>
            </w:r>
          </w:p>
        </w:tc>
        <w:tc>
          <w:tcPr>
            <w:tcW w:w="7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70</w:t>
            </w:r>
          </w:p>
        </w:tc>
        <w:tc>
          <w:tcPr>
            <w:tcW w:w="860" w:type="dxa"/>
            <w:vAlign w:val="bottom"/>
            <w:tcBorders>
              <w:bottom w:val="single" w:sz="8" w:color="auto"/>
            </w:tcBorders>
            <w:shd w:val="clear" w:color="auto" w:fill="E4E4E4"/>
          </w:tcPr>
          <w:p>
            <w:pPr>
              <w:jc w:val="right"/>
              <w:ind w:right="60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80" w:type="dxa"/>
            <w:vAlign w:val="bottom"/>
            <w:tcBorders>
              <w:bottom w:val="single" w:sz="8" w:color="auto"/>
            </w:tcBorders>
            <w:shd w:val="clear" w:color="auto" w:fill="E4E4E4"/>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24</w:t>
            </w:r>
          </w:p>
        </w:tc>
        <w:tc>
          <w:tcPr>
            <w:tcW w:w="260" w:type="dxa"/>
            <w:vAlign w:val="bottom"/>
            <w:tcBorders>
              <w:bottom w:val="single" w:sz="8" w:color="auto"/>
            </w:tcBorders>
            <w:shd w:val="clear" w:color="auto" w:fill="E4E4E4"/>
          </w:tcPr>
          <w:p>
            <w:pPr>
              <w:jc w:val="right"/>
              <w:ind w:right="40"/>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oodwill is considered to have an indefinite life and accordingly is not amorti ed.</w:t>
      </w:r>
    </w:p>
    <w:p>
      <w:pPr>
        <w:spacing w:after="0" w:line="13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Tradenames, which are included in other assets, are the value assigned to the name arshalls, ac uired by TJX in fiscal 1 6 as part of the ac uisition of the arshalls chain, the value assigned to the name Sierra Trading Post, ac uired by TJX in fiscal 2013 and the value assigned to the name Trade Secret, ac uired by TJX in fiscal 2016. The tradenames were valued utili ing the relief from royalty method, which calculates the discounted present value of assumed after-tax royalty payments.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arshalls tradename is considered to have an indefinite life and accordingly is not amorti ed.</w:t>
      </w:r>
    </w:p>
    <w:p>
      <w:pPr>
        <w:sectPr>
          <w:pgSz w:w="12240" w:h="15841" w:orient="portrait"/>
          <w:cols w:equalWidth="0" w:num="1">
            <w:col w:w="10260"/>
          </w:cols>
          <w:pgMar w:left="1000" w:top="77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F-12</w:t>
      </w:r>
    </w:p>
    <w:p>
      <w:pPr>
        <w:sectPr>
          <w:pgSz w:w="12240" w:h="15841" w:orient="portrait"/>
          <w:cols w:equalWidth="0" w:num="1">
            <w:col w:w="10260"/>
          </w:cols>
          <w:pgMar w:left="1000" w:top="777" w:right="981" w:bottom="0" w:gutter="0" w:footer="0" w:header="0"/>
          <w:type w:val="continuous"/>
        </w:sectPr>
      </w:pPr>
    </w:p>
    <w:bookmarkStart w:id="68" w:name="page69"/>
    <w:bookmarkEnd w:id="68"/>
    <w:tbl>
      <w:tblPr>
        <w:tblLayout w:type="fixed"/>
        <w:tblInd w:w="10" w:type="dxa"/>
        <w:tblCellMar>
          <w:top w:w="0" w:type="dxa"/>
          <w:left w:w="0" w:type="dxa"/>
          <w:bottom w:w="0" w:type="dxa"/>
          <w:right w:w="0" w:type="dxa"/>
        </w:tblCellMar>
      </w:tblPr>
      <w:tr>
        <w:trPr>
          <w:trHeight w:val="261"/>
        </w:trPr>
        <w:tc>
          <w:tcPr>
            <w:tcW w:w="4100" w:type="dxa"/>
            <w:vAlign w:val="bottom"/>
          </w:tcPr>
          <w:p>
            <w:pPr>
              <w:spacing w:after="0"/>
              <w:rPr>
                <w:sz w:val="20"/>
                <w:szCs w:val="20"/>
                <w:color w:val="auto"/>
              </w:rPr>
            </w:pPr>
            <w:r>
              <w:rPr>
                <w:rFonts w:ascii="Arial" w:cs="Arial" w:eastAsia="Arial" w:hAnsi="Arial"/>
                <w:sz w:val="20"/>
                <w:szCs w:val="20"/>
                <w:color w:val="auto"/>
              </w:rPr>
              <w:t>The following is a roll forward of tradenames: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w w:val="90"/>
              </w:rPr>
              <w:t>Fiscal Year Ended</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January 31, 2026</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680"/>
              <w:spacing w:after="0"/>
              <w:rPr>
                <w:sz w:val="20"/>
                <w:szCs w:val="20"/>
                <w:color w:val="auto"/>
              </w:rPr>
            </w:pPr>
            <w:r>
              <w:rPr>
                <w:rFonts w:ascii="Arial" w:cs="Arial" w:eastAsia="Arial" w:hAnsi="Arial"/>
                <w:sz w:val="20"/>
                <w:szCs w:val="20"/>
                <w:color w:val="auto"/>
                <w:w w:val="89"/>
              </w:rPr>
              <w:t>February 1, 2025</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20"/>
              <w:spacing w:after="0" w:line="222" w:lineRule="exact"/>
              <w:rPr>
                <w:sz w:val="20"/>
                <w:szCs w:val="20"/>
                <w:color w:val="auto"/>
              </w:rPr>
            </w:pPr>
            <w:r>
              <w:rPr>
                <w:rFonts w:ascii="Arial" w:cs="Arial" w:eastAsia="Arial" w:hAnsi="Arial"/>
                <w:sz w:val="20"/>
                <w:szCs w:val="20"/>
                <w:color w:val="auto"/>
              </w:rPr>
              <w:t>ross</w:t>
            </w:r>
          </w:p>
        </w:tc>
        <w:tc>
          <w:tcPr>
            <w:tcW w:w="1220" w:type="dxa"/>
            <w:vAlign w:val="bottom"/>
            <w:gridSpan w:val="2"/>
            <w:vMerge w:val="restart"/>
          </w:tcPr>
          <w:p>
            <w:pPr>
              <w:ind w:left="80"/>
              <w:spacing w:after="0"/>
              <w:rPr>
                <w:sz w:val="20"/>
                <w:szCs w:val="20"/>
                <w:color w:val="auto"/>
              </w:rPr>
            </w:pPr>
            <w:r>
              <w:rPr>
                <w:rFonts w:ascii="Arial" w:cs="Arial" w:eastAsia="Arial" w:hAnsi="Arial"/>
                <w:sz w:val="20"/>
                <w:szCs w:val="20"/>
                <w:color w:val="auto"/>
                <w:w w:val="96"/>
              </w:rPr>
              <w:t>Accumulated</w:t>
            </w:r>
          </w:p>
        </w:tc>
        <w:tc>
          <w:tcPr>
            <w:tcW w:w="160" w:type="dxa"/>
            <w:vAlign w:val="bottom"/>
          </w:tcPr>
          <w:p>
            <w:pPr>
              <w:spacing w:after="0"/>
              <w:rPr>
                <w:sz w:val="19"/>
                <w:szCs w:val="19"/>
                <w:color w:val="auto"/>
              </w:rPr>
            </w:pPr>
          </w:p>
        </w:tc>
        <w:tc>
          <w:tcPr>
            <w:tcW w:w="740" w:type="dxa"/>
            <w:vAlign w:val="bottom"/>
          </w:tcPr>
          <w:p>
            <w:pPr>
              <w:jc w:val="right"/>
              <w:ind w:right="220"/>
              <w:spacing w:after="0" w:line="222" w:lineRule="exact"/>
              <w:rPr>
                <w:sz w:val="20"/>
                <w:szCs w:val="20"/>
                <w:color w:val="auto"/>
              </w:rPr>
            </w:pPr>
            <w:r>
              <w:rPr>
                <w:rFonts w:ascii="Arial" w:cs="Arial" w:eastAsia="Arial" w:hAnsi="Arial"/>
                <w:sz w:val="20"/>
                <w:szCs w:val="20"/>
                <w:color w:val="auto"/>
              </w:rPr>
              <w:t>Net</w:t>
            </w:r>
          </w:p>
        </w:tc>
        <w:tc>
          <w:tcPr>
            <w:tcW w:w="200" w:type="dxa"/>
            <w:vAlign w:val="bottom"/>
          </w:tcPr>
          <w:p>
            <w:pPr>
              <w:spacing w:after="0"/>
              <w:rPr>
                <w:sz w:val="19"/>
                <w:szCs w:val="19"/>
                <w:color w:val="auto"/>
              </w:rPr>
            </w:pPr>
          </w:p>
        </w:tc>
        <w:tc>
          <w:tcPr>
            <w:tcW w:w="800" w:type="dxa"/>
            <w:vAlign w:val="bottom"/>
          </w:tcPr>
          <w:p>
            <w:pPr>
              <w:jc w:val="right"/>
              <w:ind w:right="140"/>
              <w:spacing w:after="0" w:line="222" w:lineRule="exact"/>
              <w:rPr>
                <w:sz w:val="20"/>
                <w:szCs w:val="20"/>
                <w:color w:val="auto"/>
              </w:rPr>
            </w:pPr>
            <w:r>
              <w:rPr>
                <w:rFonts w:ascii="Arial" w:cs="Arial" w:eastAsia="Arial" w:hAnsi="Arial"/>
                <w:sz w:val="20"/>
                <w:szCs w:val="20"/>
                <w:color w:val="auto"/>
              </w:rPr>
              <w:t>ross</w:t>
            </w:r>
          </w:p>
        </w:tc>
        <w:tc>
          <w:tcPr>
            <w:tcW w:w="1260" w:type="dxa"/>
            <w:vAlign w:val="bottom"/>
            <w:gridSpan w:val="2"/>
            <w:vMerge w:val="restart"/>
          </w:tcPr>
          <w:p>
            <w:pPr>
              <w:ind w:left="80"/>
              <w:spacing w:after="0"/>
              <w:rPr>
                <w:sz w:val="20"/>
                <w:szCs w:val="20"/>
                <w:color w:val="auto"/>
              </w:rPr>
            </w:pPr>
            <w:r>
              <w:rPr>
                <w:rFonts w:ascii="Arial" w:cs="Arial" w:eastAsia="Arial" w:hAnsi="Arial"/>
                <w:sz w:val="20"/>
                <w:szCs w:val="20"/>
                <w:color w:val="auto"/>
              </w:rPr>
              <w:t>Accumulated</w:t>
            </w:r>
          </w:p>
        </w:tc>
        <w:tc>
          <w:tcPr>
            <w:tcW w:w="180" w:type="dxa"/>
            <w:vAlign w:val="bottom"/>
          </w:tcPr>
          <w:p>
            <w:pPr>
              <w:spacing w:after="0"/>
              <w:rPr>
                <w:sz w:val="19"/>
                <w:szCs w:val="19"/>
                <w:color w:val="auto"/>
              </w:rPr>
            </w:pPr>
          </w:p>
        </w:tc>
        <w:tc>
          <w:tcPr>
            <w:tcW w:w="660" w:type="dxa"/>
            <w:vAlign w:val="bottom"/>
          </w:tcPr>
          <w:p>
            <w:pPr>
              <w:jc w:val="right"/>
              <w:ind w:right="200"/>
              <w:spacing w:after="0" w:line="222" w:lineRule="exact"/>
              <w:rPr>
                <w:sz w:val="20"/>
                <w:szCs w:val="20"/>
                <w:color w:val="auto"/>
              </w:rPr>
            </w:pPr>
            <w:r>
              <w:rPr>
                <w:rFonts w:ascii="Arial" w:cs="Arial" w:eastAsia="Arial" w:hAnsi="Arial"/>
                <w:sz w:val="20"/>
                <w:szCs w:val="20"/>
                <w:color w:val="auto"/>
              </w:rPr>
              <w:t>Net</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94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Carrying</w:t>
            </w:r>
          </w:p>
        </w:tc>
        <w:tc>
          <w:tcPr>
            <w:tcW w:w="1220" w:type="dxa"/>
            <w:vAlign w:val="bottom"/>
            <w:gridSpan w:val="2"/>
            <w:vMerge w:val="continue"/>
          </w:tcPr>
          <w:p>
            <w:pPr>
              <w:spacing w:after="0"/>
              <w:rPr>
                <w:sz w:val="17"/>
                <w:szCs w:val="17"/>
                <w:color w:val="auto"/>
              </w:rPr>
            </w:pPr>
          </w:p>
        </w:tc>
        <w:tc>
          <w:tcPr>
            <w:tcW w:w="900" w:type="dxa"/>
            <w:vAlign w:val="bottom"/>
            <w:gridSpan w:val="2"/>
          </w:tcPr>
          <w:p>
            <w:pPr>
              <w:jc w:val="right"/>
              <w:spacing w:after="0" w:line="200" w:lineRule="exact"/>
              <w:rPr>
                <w:sz w:val="20"/>
                <w:szCs w:val="20"/>
                <w:color w:val="auto"/>
              </w:rPr>
            </w:pPr>
            <w:r>
              <w:rPr>
                <w:rFonts w:ascii="Arial" w:cs="Arial" w:eastAsia="Arial" w:hAnsi="Arial"/>
                <w:sz w:val="20"/>
                <w:szCs w:val="20"/>
                <w:color w:val="auto"/>
              </w:rPr>
              <w:t>Carrying</w:t>
            </w:r>
          </w:p>
        </w:tc>
        <w:tc>
          <w:tcPr>
            <w:tcW w:w="1000" w:type="dxa"/>
            <w:vAlign w:val="bottom"/>
            <w:gridSpan w:val="2"/>
          </w:tcPr>
          <w:p>
            <w:pPr>
              <w:jc w:val="right"/>
              <w:ind w:right="20"/>
              <w:spacing w:after="0" w:line="200" w:lineRule="exact"/>
              <w:rPr>
                <w:sz w:val="20"/>
                <w:szCs w:val="20"/>
                <w:color w:val="auto"/>
              </w:rPr>
            </w:pPr>
            <w:r>
              <w:rPr>
                <w:rFonts w:ascii="Arial" w:cs="Arial" w:eastAsia="Arial" w:hAnsi="Arial"/>
                <w:sz w:val="20"/>
                <w:szCs w:val="20"/>
                <w:color w:val="auto"/>
              </w:rPr>
              <w:t>Carrying</w:t>
            </w:r>
          </w:p>
        </w:tc>
        <w:tc>
          <w:tcPr>
            <w:tcW w:w="1260" w:type="dxa"/>
            <w:vAlign w:val="bottom"/>
            <w:gridSpan w:val="2"/>
            <w:vMerge w:val="continue"/>
          </w:tcPr>
          <w:p>
            <w:pPr>
              <w:spacing w:after="0"/>
              <w:rPr>
                <w:sz w:val="17"/>
                <w:szCs w:val="17"/>
                <w:color w:val="auto"/>
              </w:rPr>
            </w:pPr>
          </w:p>
        </w:tc>
        <w:tc>
          <w:tcPr>
            <w:tcW w:w="840" w:type="dxa"/>
            <w:vAlign w:val="bottom"/>
            <w:gridSpan w:val="2"/>
          </w:tcPr>
          <w:p>
            <w:pPr>
              <w:jc w:val="right"/>
              <w:spacing w:after="0" w:line="200" w:lineRule="exact"/>
              <w:rPr>
                <w:sz w:val="20"/>
                <w:szCs w:val="20"/>
                <w:color w:val="auto"/>
              </w:rPr>
            </w:pPr>
            <w:r>
              <w:rPr>
                <w:rFonts w:ascii="Arial" w:cs="Arial" w:eastAsia="Arial" w:hAnsi="Arial"/>
                <w:sz w:val="20"/>
                <w:szCs w:val="20"/>
                <w:color w:val="auto"/>
                <w:w w:val="95"/>
              </w:rPr>
              <w:t>Carrying</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89"/>
              </w:rPr>
              <w:t>Amount</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Amorti ation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alue</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92"/>
              </w:rPr>
              <w:t>Amount</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Amorti ation</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alue</w:t>
            </w:r>
          </w:p>
        </w:tc>
        <w:tc>
          <w:tcPr>
            <w:tcW w:w="0" w:type="dxa"/>
            <w:vAlign w:val="bottom"/>
          </w:tcPr>
          <w:p>
            <w:pPr>
              <w:spacing w:after="0"/>
              <w:rPr>
                <w:sz w:val="1"/>
                <w:szCs w:val="1"/>
                <w:color w:val="auto"/>
              </w:rPr>
            </w:pPr>
          </w:p>
        </w:tc>
      </w:tr>
      <w:tr>
        <w:trPr>
          <w:trHeight w:val="290"/>
        </w:trPr>
        <w:tc>
          <w:tcPr>
            <w:tcW w:w="4100" w:type="dxa"/>
            <w:vAlign w:val="bottom"/>
            <w:shd w:val="clear" w:color="auto" w:fill="E4E4E4"/>
          </w:tcPr>
          <w:p>
            <w:pPr>
              <w:ind w:left="40"/>
              <w:spacing w:after="0"/>
              <w:rPr>
                <w:sz w:val="20"/>
                <w:szCs w:val="20"/>
                <w:color w:val="auto"/>
              </w:rPr>
            </w:pPr>
            <w:r>
              <w:rPr>
                <w:rFonts w:ascii="Arial" w:cs="Arial" w:eastAsia="Arial" w:hAnsi="Arial"/>
                <w:sz w:val="20"/>
                <w:szCs w:val="20"/>
                <w:color w:val="auto"/>
              </w:rPr>
              <w:t>Definite-lived intangible asset:</w:t>
            </w:r>
          </w:p>
        </w:tc>
        <w:tc>
          <w:tcPr>
            <w:tcW w:w="160" w:type="dxa"/>
            <w:vAlign w:val="bottom"/>
            <w:shd w:val="clear" w:color="auto" w:fill="E4E4E4"/>
          </w:tcPr>
          <w:p>
            <w:pPr>
              <w:spacing w:after="0"/>
              <w:rPr>
                <w:sz w:val="24"/>
                <w:szCs w:val="24"/>
                <w:color w:val="auto"/>
              </w:rPr>
            </w:pPr>
          </w:p>
        </w:tc>
        <w:tc>
          <w:tcPr>
            <w:tcW w:w="78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500" w:type="dxa"/>
            <w:vAlign w:val="bottom"/>
            <w:shd w:val="clear" w:color="auto" w:fill="E4E4E4"/>
          </w:tcPr>
          <w:p>
            <w:pPr>
              <w:spacing w:after="0"/>
              <w:rPr>
                <w:sz w:val="24"/>
                <w:szCs w:val="24"/>
                <w:color w:val="auto"/>
              </w:rPr>
            </w:pPr>
          </w:p>
        </w:tc>
        <w:tc>
          <w:tcPr>
            <w:tcW w:w="7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100" w:type="dxa"/>
            <w:vAlign w:val="bottom"/>
            <w:shd w:val="clear" w:color="auto" w:fill="FEFEFE"/>
          </w:tcPr>
          <w:p>
            <w:pPr>
              <w:ind w:left="180"/>
              <w:spacing w:after="0"/>
              <w:rPr>
                <w:sz w:val="20"/>
                <w:szCs w:val="20"/>
                <w:color w:val="auto"/>
              </w:rPr>
            </w:pPr>
            <w:r>
              <w:rPr>
                <w:rFonts w:ascii="Arial" w:cs="Arial" w:eastAsia="Arial" w:hAnsi="Arial"/>
                <w:sz w:val="20"/>
                <w:szCs w:val="20"/>
                <w:color w:val="auto"/>
              </w:rPr>
              <w:t>Sierra Trading Post</w:t>
            </w:r>
          </w:p>
        </w:tc>
        <w:tc>
          <w:tcPr>
            <w:tcW w:w="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39</w:t>
            </w:r>
          </w:p>
        </w:tc>
        <w:tc>
          <w:tcPr>
            <w:tcW w:w="560" w:type="dxa"/>
            <w:vAlign w:val="bottom"/>
            <w:shd w:val="clear" w:color="auto" w:fill="FEFEFE"/>
          </w:tcPr>
          <w:p>
            <w:pPr>
              <w:ind w:left="80"/>
              <w:spacing w:after="0"/>
              <w:rPr>
                <w:sz w:val="20"/>
                <w:szCs w:val="20"/>
                <w:color w:val="auto"/>
              </w:rPr>
            </w:pPr>
            <w:r>
              <w:rPr>
                <w:rFonts w:ascii="Arial" w:cs="Arial" w:eastAsia="Arial" w:hAnsi="Arial"/>
                <w:sz w:val="20"/>
                <w:szCs w:val="20"/>
                <w:color w:val="auto"/>
              </w:rPr>
              <w:t>$</w:t>
            </w:r>
          </w:p>
        </w:tc>
        <w:tc>
          <w:tcPr>
            <w:tcW w:w="6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39</w:t>
            </w:r>
          </w:p>
        </w:tc>
        <w:tc>
          <w:tcPr>
            <w:tcW w:w="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FEFEFE"/>
          </w:tcPr>
          <w:p>
            <w:pPr>
              <w:spacing w:after="0"/>
              <w:rPr>
                <w:sz w:val="24"/>
                <w:szCs w:val="24"/>
                <w:color w:val="auto"/>
              </w:rPr>
            </w:pP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3</w:t>
            </w:r>
          </w:p>
        </w:tc>
        <w:tc>
          <w:tcPr>
            <w:tcW w:w="500" w:type="dxa"/>
            <w:vAlign w:val="bottom"/>
            <w:shd w:val="clear" w:color="auto" w:fill="FEFEFE"/>
          </w:tcPr>
          <w:p>
            <w:pPr>
              <w:ind w:left="60"/>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(3 ) $</w:t>
            </w:r>
          </w:p>
        </w:tc>
        <w:tc>
          <w:tcPr>
            <w:tcW w:w="6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100" w:type="dxa"/>
            <w:vAlign w:val="bottom"/>
            <w:shd w:val="clear" w:color="auto" w:fill="E4E4E4"/>
          </w:tcPr>
          <w:p>
            <w:pPr>
              <w:ind w:left="40"/>
              <w:spacing w:after="0"/>
              <w:rPr>
                <w:sz w:val="20"/>
                <w:szCs w:val="20"/>
                <w:color w:val="auto"/>
              </w:rPr>
            </w:pPr>
            <w:r>
              <w:rPr>
                <w:rFonts w:ascii="Arial" w:cs="Arial" w:eastAsia="Arial" w:hAnsi="Arial"/>
                <w:sz w:val="20"/>
                <w:szCs w:val="20"/>
                <w:color w:val="auto"/>
              </w:rPr>
              <w:t>Indefinite-lived intangible asset:</w:t>
            </w:r>
          </w:p>
        </w:tc>
        <w:tc>
          <w:tcPr>
            <w:tcW w:w="160" w:type="dxa"/>
            <w:vAlign w:val="bottom"/>
            <w:shd w:val="clear" w:color="auto" w:fill="E4E4E4"/>
          </w:tcPr>
          <w:p>
            <w:pPr>
              <w:spacing w:after="0"/>
              <w:rPr>
                <w:sz w:val="24"/>
                <w:szCs w:val="24"/>
                <w:color w:val="auto"/>
              </w:rPr>
            </w:pPr>
          </w:p>
        </w:tc>
        <w:tc>
          <w:tcPr>
            <w:tcW w:w="780" w:type="dxa"/>
            <w:vAlign w:val="bottom"/>
            <w:shd w:val="clear" w:color="auto" w:fill="E4E4E4"/>
          </w:tcPr>
          <w:p>
            <w:pPr>
              <w:spacing w:after="0"/>
              <w:rPr>
                <w:sz w:val="24"/>
                <w:szCs w:val="24"/>
                <w:color w:val="auto"/>
              </w:rPr>
            </w:pPr>
          </w:p>
        </w:tc>
        <w:tc>
          <w:tcPr>
            <w:tcW w:w="56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500" w:type="dxa"/>
            <w:vAlign w:val="bottom"/>
            <w:shd w:val="clear" w:color="auto" w:fill="E4E4E4"/>
          </w:tcPr>
          <w:p>
            <w:pPr>
              <w:spacing w:after="0"/>
              <w:rPr>
                <w:sz w:val="24"/>
                <w:szCs w:val="24"/>
                <w:color w:val="auto"/>
              </w:rPr>
            </w:pPr>
          </w:p>
        </w:tc>
        <w:tc>
          <w:tcPr>
            <w:tcW w:w="7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00" w:type="dxa"/>
            <w:vAlign w:val="bottom"/>
            <w:tcBorders>
              <w:bottom w:val="single" w:sz="8" w:color="auto"/>
            </w:tcBorders>
            <w:shd w:val="clear" w:color="auto" w:fill="FEFEFE"/>
          </w:tcPr>
          <w:p>
            <w:pPr>
              <w:ind w:left="360"/>
              <w:spacing w:after="0"/>
              <w:rPr>
                <w:sz w:val="20"/>
                <w:szCs w:val="20"/>
                <w:color w:val="auto"/>
              </w:rPr>
            </w:pPr>
            <w:r>
              <w:rPr>
                <w:rFonts w:ascii="Arial" w:cs="Arial" w:eastAsia="Arial" w:hAnsi="Arial"/>
                <w:sz w:val="20"/>
                <w:szCs w:val="20"/>
                <w:color w:val="auto"/>
              </w:rPr>
              <w:t>arshalls</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108</w:t>
            </w:r>
          </w:p>
        </w:tc>
        <w:tc>
          <w:tcPr>
            <w:tcW w:w="560" w:type="dxa"/>
            <w:vAlign w:val="bottom"/>
            <w:tcBorders>
              <w:bottom w:val="single" w:sz="8" w:color="auto"/>
            </w:tcBorders>
            <w:shd w:val="clear" w:color="auto" w:fill="FEFEFE"/>
          </w:tcPr>
          <w:p>
            <w:pPr>
              <w:ind w:left="8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108</w:t>
            </w: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108</w:t>
            </w:r>
          </w:p>
        </w:tc>
        <w:tc>
          <w:tcPr>
            <w:tcW w:w="500" w:type="dxa"/>
            <w:vAlign w:val="bottom"/>
            <w:tcBorders>
              <w:bottom w:val="single" w:sz="8" w:color="auto"/>
            </w:tcBorders>
            <w:shd w:val="clear" w:color="auto" w:fill="FEFEFE"/>
          </w:tcPr>
          <w:p>
            <w:pPr>
              <w:ind w:left="6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left="10" w:right="440"/>
        <w:spacing w:after="0" w:line="266" w:lineRule="auto"/>
        <w:rPr>
          <w:sz w:val="20"/>
          <w:szCs w:val="20"/>
          <w:color w:val="auto"/>
        </w:rPr>
      </w:pPr>
      <w:r>
        <w:rPr>
          <w:rFonts w:ascii="Arial" w:cs="Arial" w:eastAsia="Arial" w:hAnsi="Arial"/>
          <w:sz w:val="20"/>
          <w:szCs w:val="20"/>
          <w:color w:val="auto"/>
        </w:rPr>
        <w:t>TJX occasionally ac uires or licenses other trademarks to be used in connection with private label merchandise. Such trademarks are included in other assets and are amorti ed to cost of sales, including buying and occupancy costs, over their useful life, generally from 7 to 10 years.</w:t>
      </w:r>
    </w:p>
    <w:p>
      <w:pPr>
        <w:spacing w:after="0" w:line="75" w:lineRule="exact"/>
        <w:rPr>
          <w:sz w:val="20"/>
          <w:szCs w:val="20"/>
          <w:color w:val="auto"/>
        </w:rPr>
      </w:pPr>
    </w:p>
    <w:p>
      <w:pPr>
        <w:ind w:left="10" w:right="560" w:firstLine="145"/>
        <w:spacing w:after="0" w:line="283" w:lineRule="auto"/>
        <w:rPr>
          <w:sz w:val="20"/>
          <w:szCs w:val="20"/>
          <w:color w:val="auto"/>
        </w:rPr>
      </w:pPr>
      <w:r>
        <w:rPr>
          <w:rFonts w:ascii="Arial" w:cs="Arial" w:eastAsia="Arial" w:hAnsi="Arial"/>
          <w:sz w:val="20"/>
          <w:szCs w:val="20"/>
          <w:color w:val="auto"/>
        </w:rPr>
        <w:t>oodwill, tradenames and trademarks, and the related accumulated amorti ation or impairment if any, are included in the respective segment to which they relate.</w:t>
      </w:r>
    </w:p>
    <w:p>
      <w:pPr>
        <w:spacing w:after="0" w:line="42" w:lineRule="exact"/>
        <w:rPr>
          <w:sz w:val="20"/>
          <w:szCs w:val="20"/>
          <w:color w:val="auto"/>
        </w:rPr>
      </w:pPr>
    </w:p>
    <w:p>
      <w:pPr>
        <w:ind w:left="370"/>
        <w:spacing w:after="0"/>
        <w:tabs>
          <w:tab w:leader="none" w:pos="769" w:val="left"/>
          <w:tab w:leader="none" w:pos="2609" w:val="left"/>
          <w:tab w:leader="none" w:pos="3289" w:val="left"/>
          <w:tab w:leader="none" w:pos="4529" w:val="left"/>
          <w:tab w:leader="none" w:pos="5329" w:val="left"/>
        </w:tabs>
        <w:rPr>
          <w:sz w:val="20"/>
          <w:szCs w:val="20"/>
          <w:color w:val="auto"/>
        </w:rPr>
      </w:pPr>
      <w:r>
        <w:rPr>
          <w:rFonts w:ascii="Arial" w:cs="Arial" w:eastAsia="Arial" w:hAnsi="Arial"/>
          <w:sz w:val="22"/>
          <w:szCs w:val="22"/>
          <w:i w:val="1"/>
          <w:iCs w:val="1"/>
          <w:color w:val="auto"/>
        </w:rPr>
        <w:t>air</w:t>
        <w:tab/>
        <w:t>ent of Long Li ed</w:t>
        <w:tab/>
        <w:t>ssets</w:t>
        <w:tab/>
        <w:t>ood  ill and</w:t>
        <w:tab/>
        <w:t>radena</w:t>
      </w:r>
      <w:r>
        <w:rPr>
          <w:sz w:val="20"/>
          <w:szCs w:val="20"/>
          <w:color w:val="auto"/>
        </w:rPr>
        <w:tab/>
      </w:r>
      <w:r>
        <w:rPr>
          <w:rFonts w:ascii="Arial" w:cs="Arial" w:eastAsia="Arial" w:hAnsi="Arial"/>
          <w:sz w:val="18"/>
          <w:szCs w:val="18"/>
          <w:i w:val="1"/>
          <w:iCs w:val="1"/>
          <w:color w:val="auto"/>
        </w:rPr>
        <w:t>es</w:t>
      </w:r>
    </w:p>
    <w:p>
      <w:pPr>
        <w:spacing w:after="0" w:line="146" w:lineRule="exact"/>
        <w:rPr>
          <w:sz w:val="20"/>
          <w:szCs w:val="20"/>
          <w:color w:val="auto"/>
        </w:rPr>
      </w:pPr>
    </w:p>
    <w:p>
      <w:pPr>
        <w:ind w:left="10" w:right="60"/>
        <w:spacing w:after="0" w:line="278" w:lineRule="auto"/>
        <w:rPr>
          <w:sz w:val="20"/>
          <w:szCs w:val="20"/>
          <w:color w:val="auto"/>
        </w:rPr>
      </w:pPr>
      <w:r>
        <w:rPr>
          <w:rFonts w:ascii="Arial" w:cs="Arial" w:eastAsia="Arial" w:hAnsi="Arial"/>
          <w:sz w:val="18"/>
          <w:szCs w:val="18"/>
          <w:color w:val="auto"/>
        </w:rPr>
        <w:t>TJX evaluates long-lived assets, including tradenames that are amorti ed and operating lease right of use assets, for impairment whenever events or changes in circumstances indicate that their carrying amounts may not be recoverable. This evaluation is performed at the lowest level of identifiable cash flows which are largely independent of other groups of assets, generally at the individual store level for fixed assets and operating lease right of use assets, and at the reporting unit for tradenames that are amorti ed. If indicators of impairment are identified, an undiscounted cash flow analysis is performed to determine if the carrying value of the asset or asset group is recoverable. If the sum of undiscounted cash flows are less than the carrying value then an impairment charge will be recorded to the extent the fair value of an asset or asset group is less than the carrying value</w:t>
      </w:r>
    </w:p>
    <w:p>
      <w:pPr>
        <w:spacing w:after="0" w:line="2" w:lineRule="exact"/>
        <w:rPr>
          <w:sz w:val="20"/>
          <w:szCs w:val="20"/>
          <w:color w:val="auto"/>
        </w:rPr>
      </w:pPr>
    </w:p>
    <w:p>
      <w:pPr>
        <w:jc w:val="both"/>
        <w:ind w:left="10"/>
        <w:spacing w:after="0" w:line="266" w:lineRule="auto"/>
        <w:rPr>
          <w:sz w:val="20"/>
          <w:szCs w:val="20"/>
          <w:color w:val="auto"/>
        </w:rPr>
      </w:pPr>
      <w:r>
        <w:rPr>
          <w:rFonts w:ascii="Arial" w:cs="Arial" w:eastAsia="Arial" w:hAnsi="Arial"/>
          <w:sz w:val="20"/>
          <w:szCs w:val="20"/>
          <w:color w:val="auto"/>
        </w:rPr>
        <w:t>of that asset or asset group. This resulted in immaterial impairment charges on operating lease assets and store fixed assets in fiscal 2026, fiscal 2025 and fiscal 2024. There were no impairments related to tradenames in fiscal 2026, fiscal 2025 or fiscal 2024.</w:t>
      </w:r>
    </w:p>
    <w:p>
      <w:pPr>
        <w:spacing w:after="0" w:line="75" w:lineRule="exact"/>
        <w:rPr>
          <w:sz w:val="20"/>
          <w:szCs w:val="20"/>
          <w:color w:val="auto"/>
        </w:rPr>
      </w:pPr>
    </w:p>
    <w:p>
      <w:pPr>
        <w:ind w:left="10" w:right="60" w:firstLine="145"/>
        <w:spacing w:after="0" w:line="278" w:lineRule="auto"/>
        <w:rPr>
          <w:sz w:val="20"/>
          <w:szCs w:val="20"/>
          <w:color w:val="auto"/>
        </w:rPr>
      </w:pPr>
      <w:r>
        <w:rPr>
          <w:rFonts w:ascii="Arial" w:cs="Arial" w:eastAsia="Arial" w:hAnsi="Arial"/>
          <w:sz w:val="18"/>
          <w:szCs w:val="18"/>
          <w:color w:val="auto"/>
        </w:rPr>
        <w:t>oodwill and indefinite life tradenames are tested for impairment whenever events or changes in circumstances indicate that an impairment may have occurred and at least annually as of the end of the fiscal year. oodwill is tested for impairment by using</w:t>
      </w:r>
    </w:p>
    <w:p>
      <w:pPr>
        <w:ind w:left="10" w:right="280" w:hanging="10"/>
        <w:spacing w:after="0" w:line="278" w:lineRule="auto"/>
        <w:tabs>
          <w:tab w:leader="none" w:pos="2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uantitative assessment by comparing the carrying value of the related reporting unit to its fair value. An impairment exists when this analysis, using typical valuation models such as the discounted cash flow method, shows that the fair value of the</w:t>
      </w:r>
    </w:p>
    <w:p>
      <w:pPr>
        <w:ind w:left="10" w:right="60"/>
        <w:spacing w:after="0" w:line="271" w:lineRule="auto"/>
        <w:rPr>
          <w:sz w:val="20"/>
          <w:szCs w:val="20"/>
          <w:color w:val="auto"/>
        </w:rPr>
      </w:pPr>
      <w:r>
        <w:rPr>
          <w:rFonts w:ascii="Arial" w:cs="Arial" w:eastAsia="Arial" w:hAnsi="Arial"/>
          <w:sz w:val="19"/>
          <w:szCs w:val="19"/>
          <w:color w:val="auto"/>
        </w:rPr>
        <w:t>reporting unit is less than the carrying value of the reporting unit. The Company may assess ualitative factors to determine if it is more likely than not that the fair value of a reporting unit is less than its carrying value, including goodwill. The assessment of ualitative factors is optional and at the Company’s discretion. Indefinite life tradenames are tested for impairment by comparing their carrying value to their fair value, which is determined by calculating the discounted present value of assumed after-tax royalty payments. In fiscal 2026, fiscal 2025 and fiscal 2024, the Company bypassed the ualitative assessment and performed the uantitative impairment test. There were no impairments related to the Company’s goodwill or indefinite life tradenames in fiscal 2026, fiscal 2025 or fiscal 2024.</w:t>
      </w:r>
    </w:p>
    <w:p>
      <w:pPr>
        <w:spacing w:after="0" w:line="58" w:lineRule="exact"/>
        <w:rPr>
          <w:sz w:val="20"/>
          <w:szCs w:val="20"/>
          <w:color w:val="auto"/>
        </w:rPr>
      </w:pPr>
    </w:p>
    <w:p>
      <w:pPr>
        <w:ind w:left="150"/>
        <w:spacing w:after="0"/>
        <w:rPr>
          <w:sz w:val="20"/>
          <w:szCs w:val="20"/>
          <w:color w:val="auto"/>
        </w:rPr>
      </w:pPr>
      <w:r>
        <w:rPr>
          <w:rFonts w:ascii="Arial" w:cs="Arial" w:eastAsia="Arial" w:hAnsi="Arial"/>
          <w:sz w:val="22"/>
          <w:szCs w:val="22"/>
          <w:i w:val="1"/>
          <w:iCs w:val="1"/>
          <w:color w:val="auto"/>
        </w:rPr>
        <w:t>d ertising Costs</w:t>
      </w:r>
    </w:p>
    <w:p>
      <w:pPr>
        <w:spacing w:after="0" w:line="146" w:lineRule="exact"/>
        <w:rPr>
          <w:sz w:val="20"/>
          <w:szCs w:val="20"/>
          <w:color w:val="auto"/>
        </w:rPr>
      </w:pPr>
    </w:p>
    <w:p>
      <w:pPr>
        <w:ind w:left="10" w:right="100"/>
        <w:spacing w:after="0" w:line="283" w:lineRule="auto"/>
        <w:rPr>
          <w:sz w:val="20"/>
          <w:szCs w:val="20"/>
          <w:color w:val="auto"/>
        </w:rPr>
      </w:pPr>
      <w:r>
        <w:rPr>
          <w:rFonts w:ascii="Arial" w:cs="Arial" w:eastAsia="Arial" w:hAnsi="Arial"/>
          <w:sz w:val="20"/>
          <w:szCs w:val="20"/>
          <w:color w:val="auto"/>
        </w:rPr>
        <w:t>TJX expenses advertising costs as incurred. Advertising expense was $680 million for fiscal 2026, $617 million for fiscal 2025 and $573 million for fiscal 2024.</w:t>
      </w:r>
    </w:p>
    <w:p>
      <w:pPr>
        <w:spacing w:after="0" w:line="46" w:lineRule="exact"/>
        <w:rPr>
          <w:sz w:val="20"/>
          <w:szCs w:val="20"/>
          <w:color w:val="auto"/>
        </w:rPr>
      </w:pPr>
    </w:p>
    <w:p>
      <w:pPr>
        <w:ind w:left="150"/>
        <w:spacing w:after="0"/>
        <w:tabs>
          <w:tab w:leader="none" w:pos="1809" w:val="left"/>
        </w:tabs>
        <w:rPr>
          <w:sz w:val="20"/>
          <w:szCs w:val="20"/>
          <w:color w:val="auto"/>
        </w:rPr>
      </w:pPr>
      <w:r>
        <w:rPr>
          <w:rFonts w:ascii="Arial" w:cs="Arial" w:eastAsia="Arial" w:hAnsi="Arial"/>
          <w:sz w:val="22"/>
          <w:szCs w:val="22"/>
          <w:i w:val="1"/>
          <w:iCs w:val="1"/>
          <w:color w:val="auto"/>
        </w:rPr>
        <w:t>oreign Currenc</w:t>
      </w:r>
      <w:r>
        <w:rPr>
          <w:sz w:val="20"/>
          <w:szCs w:val="20"/>
          <w:color w:val="auto"/>
        </w:rPr>
        <w:tab/>
      </w:r>
      <w:r>
        <w:rPr>
          <w:rFonts w:ascii="Arial" w:cs="Arial" w:eastAsia="Arial" w:hAnsi="Arial"/>
          <w:sz w:val="21"/>
          <w:szCs w:val="21"/>
          <w:i w:val="1"/>
          <w:iCs w:val="1"/>
          <w:color w:val="auto"/>
        </w:rPr>
        <w:t>ranslation</w:t>
      </w:r>
    </w:p>
    <w:p>
      <w:pPr>
        <w:spacing w:after="0" w:line="143" w:lineRule="exact"/>
        <w:rPr>
          <w:sz w:val="20"/>
          <w:szCs w:val="20"/>
          <w:color w:val="auto"/>
        </w:rPr>
      </w:pPr>
    </w:p>
    <w:p>
      <w:pPr>
        <w:ind w:left="10" w:right="140"/>
        <w:spacing w:after="0" w:line="261" w:lineRule="auto"/>
        <w:rPr>
          <w:sz w:val="20"/>
          <w:szCs w:val="20"/>
          <w:color w:val="auto"/>
        </w:rPr>
      </w:pPr>
      <w:r>
        <w:rPr>
          <w:rFonts w:ascii="Arial" w:cs="Arial" w:eastAsia="Arial" w:hAnsi="Arial"/>
          <w:sz w:val="20"/>
          <w:szCs w:val="20"/>
          <w:color w:val="auto"/>
        </w:rPr>
        <w:t>TJX’s foreign assets and liabilities are translated into .S. dollars at fiscal year-end exchange rates with resulting translation gains and losses included in shareholders’ e uity as a component of Accumulated other comprehensive (loss) income. Activity of the foreign operations that affect the Consolidated Statements of Income and Cash Flows is translated at average exchange rates prevailing during the fiscal year.</w:t>
      </w:r>
    </w:p>
    <w:p>
      <w:pPr>
        <w:spacing w:after="0" w:line="64" w:lineRule="exact"/>
        <w:rPr>
          <w:sz w:val="20"/>
          <w:szCs w:val="20"/>
          <w:color w:val="auto"/>
        </w:rPr>
      </w:pPr>
    </w:p>
    <w:p>
      <w:pPr>
        <w:ind w:left="10"/>
        <w:spacing w:after="0"/>
        <w:rPr>
          <w:sz w:val="20"/>
          <w:szCs w:val="20"/>
          <w:color w:val="auto"/>
        </w:rPr>
      </w:pPr>
      <w:r>
        <w:rPr>
          <w:rFonts w:ascii="Arial" w:cs="Arial" w:eastAsia="Arial" w:hAnsi="Arial"/>
          <w:sz w:val="22"/>
          <w:szCs w:val="22"/>
          <w:i w:val="1"/>
          <w:iCs w:val="1"/>
          <w:color w:val="auto"/>
        </w:rPr>
        <w:t>Loss Contingencies</w:t>
      </w:r>
    </w:p>
    <w:p>
      <w:pPr>
        <w:spacing w:after="0" w:line="146" w:lineRule="exact"/>
        <w:rPr>
          <w:sz w:val="20"/>
          <w:szCs w:val="20"/>
          <w:color w:val="auto"/>
        </w:rPr>
      </w:pPr>
    </w:p>
    <w:p>
      <w:pPr>
        <w:ind w:left="10" w:right="160"/>
        <w:spacing w:after="0" w:line="261" w:lineRule="auto"/>
        <w:rPr>
          <w:sz w:val="20"/>
          <w:szCs w:val="20"/>
          <w:color w:val="auto"/>
        </w:rPr>
      </w:pPr>
      <w:r>
        <w:rPr>
          <w:rFonts w:ascii="Arial" w:cs="Arial" w:eastAsia="Arial" w:hAnsi="Arial"/>
          <w:sz w:val="20"/>
          <w:szCs w:val="20"/>
          <w:color w:val="auto"/>
        </w:rPr>
        <w:t>TJX records a reserve for loss contingencies when it is both probable that a loss will be incurred and the amount of the loss is reasonably estimable. TJX evaluates pending litigation and other contingencies at least uarterly and adjusts the reserve for such contingencies for changes in probable and reasonably estimable losses. TJX includes an estimate for related legal costs at the time such costs are both probable and reasonably estimable.</w:t>
      </w:r>
    </w:p>
    <w:p>
      <w:pPr>
        <w:sectPr>
          <w:pgSz w:w="12240" w:h="15841" w:orient="portrait"/>
          <w:cols w:equalWidth="0" w:num="1">
            <w:col w:w="10270"/>
          </w:cols>
          <w:pgMar w:left="99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F-13</w:t>
      </w:r>
    </w:p>
    <w:p>
      <w:pPr>
        <w:sectPr>
          <w:pgSz w:w="12240" w:h="15841" w:orient="portrait"/>
          <w:cols w:equalWidth="0" w:num="1">
            <w:col w:w="10270"/>
          </w:cols>
          <w:pgMar w:left="990" w:top="792" w:right="981" w:bottom="0" w:gutter="0" w:footer="0" w:header="0"/>
          <w:type w:val="continuous"/>
        </w:sectPr>
      </w:pPr>
    </w:p>
    <w:bookmarkStart w:id="69" w:name="page70"/>
    <w:bookmarkEnd w:id="69"/>
    <w:p>
      <w:pPr>
        <w:ind w:left="2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uity In estments</w:t>
      </w:r>
    </w:p>
    <w:p>
      <w:pPr>
        <w:spacing w:after="0" w:line="130" w:lineRule="exact"/>
        <w:rPr>
          <w:sz w:val="20"/>
          <w:szCs w:val="20"/>
          <w:color w:val="auto"/>
        </w:rPr>
      </w:pPr>
    </w:p>
    <w:p>
      <w:pPr>
        <w:ind w:left="180"/>
        <w:spacing w:after="0"/>
        <w:tabs>
          <w:tab w:leader="none" w:pos="1800" w:val="left"/>
        </w:tabs>
        <w:rPr>
          <w:sz w:val="20"/>
          <w:szCs w:val="20"/>
          <w:color w:val="auto"/>
        </w:rPr>
      </w:pPr>
      <w:r>
        <w:rPr>
          <w:rFonts w:ascii="Arial" w:cs="Arial" w:eastAsia="Arial" w:hAnsi="Arial"/>
          <w:sz w:val="22"/>
          <w:szCs w:val="22"/>
          <w:i w:val="1"/>
          <w:iCs w:val="1"/>
          <w:color w:val="auto"/>
        </w:rPr>
        <w:t>ultibrand Outlet</w:t>
      </w:r>
      <w:r>
        <w:rPr>
          <w:sz w:val="20"/>
          <w:szCs w:val="20"/>
          <w:color w:val="auto"/>
        </w:rPr>
        <w:tab/>
      </w:r>
      <w:r>
        <w:rPr>
          <w:rFonts w:ascii="Arial" w:cs="Arial" w:eastAsia="Arial" w:hAnsi="Arial"/>
          <w:sz w:val="19"/>
          <w:szCs w:val="19"/>
          <w:i w:val="1"/>
          <w:iCs w:val="1"/>
          <w:color w:val="auto"/>
        </w:rPr>
        <w:t>tores</w:t>
      </w:r>
    </w:p>
    <w:p>
      <w:pPr>
        <w:spacing w:after="0" w:line="147" w:lineRule="exact"/>
        <w:rPr>
          <w:sz w:val="20"/>
          <w:szCs w:val="20"/>
          <w:color w:val="auto"/>
        </w:rPr>
      </w:pPr>
    </w:p>
    <w:p>
      <w:pPr>
        <w:spacing w:after="0"/>
        <w:tabs>
          <w:tab w:leader="none" w:pos="5580" w:val="left"/>
          <w:tab w:leader="none" w:pos="7300" w:val="left"/>
          <w:tab w:leader="none" w:pos="8220" w:val="left"/>
        </w:tabs>
        <w:rPr>
          <w:sz w:val="20"/>
          <w:szCs w:val="20"/>
          <w:color w:val="auto"/>
        </w:rPr>
      </w:pPr>
      <w:r>
        <w:rPr>
          <w:rFonts w:ascii="Arial" w:cs="Arial" w:eastAsia="Arial" w:hAnsi="Arial"/>
          <w:sz w:val="20"/>
          <w:szCs w:val="20"/>
          <w:color w:val="auto"/>
        </w:rPr>
        <w:t>During fiscal 2025, the Company completed an investment for a 4</w:t>
      </w:r>
      <w:r>
        <w:rPr>
          <w:sz w:val="20"/>
          <w:szCs w:val="20"/>
          <w:color w:val="auto"/>
        </w:rPr>
        <w:tab/>
      </w:r>
      <w:r>
        <w:rPr>
          <w:rFonts w:ascii="Arial" w:cs="Arial" w:eastAsia="Arial" w:hAnsi="Arial"/>
          <w:sz w:val="20"/>
          <w:szCs w:val="20"/>
          <w:color w:val="auto"/>
        </w:rPr>
        <w:t>ownership stake in</w:t>
        <w:tab/>
        <w:t>ultibrand</w:t>
      </w:r>
      <w:r>
        <w:rPr>
          <w:sz w:val="20"/>
          <w:szCs w:val="20"/>
          <w:color w:val="auto"/>
        </w:rPr>
        <w:tab/>
      </w:r>
      <w:r>
        <w:rPr>
          <w:rFonts w:ascii="Arial" w:cs="Arial" w:eastAsia="Arial" w:hAnsi="Arial"/>
          <w:sz w:val="17"/>
          <w:szCs w:val="17"/>
          <w:color w:val="auto"/>
        </w:rPr>
        <w:t>utlet Stores S.A.P de</w:t>
      </w:r>
    </w:p>
    <w:p>
      <w:pPr>
        <w:spacing w:after="0" w:line="10" w:lineRule="exact"/>
        <w:rPr>
          <w:sz w:val="20"/>
          <w:szCs w:val="20"/>
          <w:color w:val="auto"/>
        </w:rPr>
      </w:pPr>
    </w:p>
    <w:p>
      <w:pPr>
        <w:spacing w:after="0"/>
        <w:tabs>
          <w:tab w:leader="none" w:pos="880" w:val="left"/>
          <w:tab w:leader="none" w:pos="3660" w:val="left"/>
          <w:tab w:leader="none" w:pos="6500" w:val="left"/>
          <w:tab w:leader="none" w:pos="7000" w:val="left"/>
        </w:tabs>
        <w:rPr>
          <w:sz w:val="20"/>
          <w:szCs w:val="20"/>
          <w:color w:val="auto"/>
        </w:rPr>
      </w:pPr>
      <w:r>
        <w:rPr>
          <w:rFonts w:ascii="Arial" w:cs="Arial" w:eastAsia="Arial" w:hAnsi="Arial"/>
          <w:sz w:val="20"/>
          <w:szCs w:val="20"/>
          <w:color w:val="auto"/>
        </w:rPr>
        <w:t>C.  . (</w:t>
      </w:r>
      <w:r>
        <w:rPr>
          <w:sz w:val="20"/>
          <w:szCs w:val="20"/>
          <w:color w:val="auto"/>
        </w:rPr>
        <w:tab/>
      </w:r>
      <w:r>
        <w:rPr>
          <w:rFonts w:ascii="Arial" w:cs="Arial" w:eastAsia="Arial" w:hAnsi="Arial"/>
          <w:sz w:val="20"/>
          <w:szCs w:val="20"/>
          <w:color w:val="auto"/>
        </w:rPr>
        <w:t>S ), through a joint venture with</w:t>
        <w:tab/>
        <w:t>rupo Axo, S.A.P.I de C.  . ( AX</w:t>
        <w:tab/>
        <w:t>).</w:t>
      </w:r>
      <w:r>
        <w:rPr>
          <w:sz w:val="20"/>
          <w:szCs w:val="20"/>
          <w:color w:val="auto"/>
        </w:rPr>
        <w:tab/>
      </w:r>
      <w:r>
        <w:rPr>
          <w:rFonts w:ascii="Arial" w:cs="Arial" w:eastAsia="Arial" w:hAnsi="Arial"/>
          <w:sz w:val="18"/>
          <w:szCs w:val="18"/>
          <w:color w:val="auto"/>
        </w:rPr>
        <w:t>S is Axo’s off-price, physical store</w:t>
      </w:r>
    </w:p>
    <w:p>
      <w:pPr>
        <w:spacing w:after="0" w:line="10" w:lineRule="exact"/>
        <w:rPr>
          <w:sz w:val="20"/>
          <w:szCs w:val="20"/>
          <w:color w:val="auto"/>
        </w:rPr>
      </w:pPr>
    </w:p>
    <w:p>
      <w:pPr>
        <w:ind w:right="400"/>
        <w:spacing w:after="0" w:line="266" w:lineRule="auto"/>
        <w:rPr>
          <w:sz w:val="20"/>
          <w:szCs w:val="20"/>
          <w:color w:val="auto"/>
        </w:rPr>
      </w:pPr>
      <w:r>
        <w:rPr>
          <w:rFonts w:ascii="Arial" w:cs="Arial" w:eastAsia="Arial" w:hAnsi="Arial"/>
          <w:sz w:val="20"/>
          <w:szCs w:val="20"/>
          <w:color w:val="auto"/>
        </w:rPr>
        <w:t>business in exico and includes a total of over 200 stores for its Promoda, educed, and rban Store banners. TJX has the option to increase its ownership interest in the joint venture over the long term. TJX completed this investment for $1 3 million, inclusive of ac uisition costs, during the third uarter of fiscal 2025.</w:t>
      </w:r>
    </w:p>
    <w:p>
      <w:pPr>
        <w:spacing w:after="0" w:line="7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For the fiscal year ended January 31, 2026, the carrying value of the Company’s e uity investment in S was $218 million, which exceed its share of S’ net assets by approximately $181 million. For the fiscal year ended February 1, 2025, the carrying value of the Company’s e uity investment in S was $168 million, which exceed its share of S’ net assets by</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approximately $133 million. The difference primarily consists of goodwill and tradenames. Tradenames are definite-lived intangible assets and are amorti ed straight-line over their useful lives of 10 years. The carrying value of this e uity investment is adjusted for the Company’s share of S’s results, tradename amorti ation, cumulative translation adjustments and additional capital contributions. The cumulative translation adjustment is recorded in the Consolidated Balance Sheets as a component of Accumulated other comprehensive (loss) income.</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rands for Less</w:t>
      </w:r>
    </w:p>
    <w:p>
      <w:pPr>
        <w:spacing w:after="0" w:line="146" w:lineRule="exact"/>
        <w:rPr>
          <w:sz w:val="20"/>
          <w:szCs w:val="20"/>
          <w:color w:val="auto"/>
        </w:rPr>
      </w:pPr>
    </w:p>
    <w:p>
      <w:pPr>
        <w:spacing w:after="0"/>
        <w:tabs>
          <w:tab w:leader="none" w:pos="5580" w:val="left"/>
        </w:tabs>
        <w:rPr>
          <w:sz w:val="20"/>
          <w:szCs w:val="20"/>
          <w:color w:val="auto"/>
        </w:rPr>
      </w:pPr>
      <w:r>
        <w:rPr>
          <w:rFonts w:ascii="Arial" w:cs="Arial" w:eastAsia="Arial" w:hAnsi="Arial"/>
          <w:sz w:val="20"/>
          <w:szCs w:val="20"/>
          <w:color w:val="auto"/>
        </w:rPr>
        <w:t>During fiscal 2025, the Company completed an investment for a 35</w:t>
      </w:r>
      <w:r>
        <w:rPr>
          <w:sz w:val="20"/>
          <w:szCs w:val="20"/>
          <w:color w:val="auto"/>
        </w:rPr>
        <w:tab/>
      </w:r>
      <w:r>
        <w:rPr>
          <w:rFonts w:ascii="Arial" w:cs="Arial" w:eastAsia="Arial" w:hAnsi="Arial"/>
          <w:sz w:val="18"/>
          <w:szCs w:val="18"/>
          <w:color w:val="auto"/>
        </w:rPr>
        <w:t>ownership stake in privately held Brands for Less</w:t>
      </w:r>
    </w:p>
    <w:p>
      <w:pPr>
        <w:spacing w:after="0" w:line="10"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 BFL ), representing a non-controlling, minority position. BFL currently operates over 100 stores, primarily in the AE and Saudi Arabia, as well as an e-commerce business, and is the region’s only major off-price branded apparel, toys and home fashions retailer. TJX completed this investment for $358 million, inclusive of ac uisition costs, during the fourth uarter of fiscal 2025.</w:t>
      </w:r>
    </w:p>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For the fiscal year ended January 31, 2026, the carrying value of the Company’s e uity investment in BFL was $348 million, which exceed its share of BFL net assets by approximately $301 million. For the fiscal year ended February 1, 2025, the carrying value of the Company’s e uity investment in BFL was $336 million, which exceed its share of BFL net assets by approximately $2 2 million. The difference primarily consists of goodwill and a tradename. The tradename is a definite-lived intangible asset and will be amorti ed straight-line over the useful life of 15 years. The carrying value of this e uity investment is adjusted for the Company’s share of BFL’s results and tradename amorti ation.</w:t>
      </w:r>
    </w:p>
    <w:p>
      <w:pPr>
        <w:spacing w:after="0" w:line="69" w:lineRule="exact"/>
        <w:rPr>
          <w:sz w:val="20"/>
          <w:szCs w:val="20"/>
          <w:color w:val="auto"/>
        </w:rPr>
      </w:pPr>
    </w:p>
    <w:p>
      <w:pPr>
        <w:spacing w:after="0"/>
        <w:tabs>
          <w:tab w:leader="none" w:pos="7720" w:val="left"/>
        </w:tabs>
        <w:rPr>
          <w:sz w:val="20"/>
          <w:szCs w:val="20"/>
          <w:color w:val="auto"/>
        </w:rPr>
      </w:pPr>
      <w:r>
        <w:rPr>
          <w:rFonts w:ascii="Arial" w:cs="Arial" w:eastAsia="Arial" w:hAnsi="Arial"/>
          <w:sz w:val="20"/>
          <w:szCs w:val="20"/>
          <w:color w:val="auto"/>
        </w:rPr>
        <w:t>Both investments are accounted for under the e uity method of accounting and are recorded in</w:t>
      </w:r>
      <w:r>
        <w:rPr>
          <w:sz w:val="20"/>
          <w:szCs w:val="20"/>
          <w:color w:val="auto"/>
        </w:rPr>
        <w:tab/>
      </w:r>
      <w:r>
        <w:rPr>
          <w:rFonts w:ascii="Arial" w:cs="Arial" w:eastAsia="Arial" w:hAnsi="Arial"/>
          <w:sz w:val="17"/>
          <w:szCs w:val="17"/>
          <w:color w:val="auto"/>
        </w:rPr>
        <w:t>ther assets on the Consolidated</w:t>
      </w:r>
    </w:p>
    <w:p>
      <w:pPr>
        <w:spacing w:after="0" w:line="10" w:lineRule="exact"/>
        <w:rPr>
          <w:sz w:val="20"/>
          <w:szCs w:val="20"/>
          <w:color w:val="auto"/>
        </w:rPr>
      </w:pPr>
    </w:p>
    <w:p>
      <w:pPr>
        <w:spacing w:after="0"/>
        <w:tabs>
          <w:tab w:leader="none" w:pos="6120" w:val="left"/>
        </w:tabs>
        <w:rPr>
          <w:sz w:val="20"/>
          <w:szCs w:val="20"/>
          <w:color w:val="auto"/>
        </w:rPr>
      </w:pPr>
      <w:r>
        <w:rPr>
          <w:rFonts w:ascii="Arial" w:cs="Arial" w:eastAsia="Arial" w:hAnsi="Arial"/>
          <w:sz w:val="20"/>
          <w:szCs w:val="20"/>
          <w:color w:val="auto"/>
        </w:rPr>
        <w:t>Balance Sheets. TJX reports the results of its share of the investments in</w:t>
      </w:r>
      <w:r>
        <w:rPr>
          <w:sz w:val="20"/>
          <w:szCs w:val="20"/>
          <w:color w:val="auto"/>
        </w:rPr>
        <w:tab/>
      </w:r>
      <w:r>
        <w:rPr>
          <w:rFonts w:ascii="Arial" w:cs="Arial" w:eastAsia="Arial" w:hAnsi="Arial"/>
          <w:sz w:val="18"/>
          <w:szCs w:val="18"/>
          <w:color w:val="auto"/>
        </w:rPr>
        <w:t>S and BFL on a one- uarter lag, as their results are</w:t>
      </w:r>
    </w:p>
    <w:p>
      <w:pPr>
        <w:spacing w:after="0" w:line="10"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not expected to be available in time to be recorded in the concurrent period. Earnings from the investments in S and BFL are recorded in Selling, general administrative expenses on the Consolidated Statements of Income. The earnings from these investments did not have a material impact on the Company’s results for the fiscal year ended January 31, 2026.</w:t>
      </w:r>
    </w:p>
    <w:p>
      <w:pPr>
        <w:spacing w:after="0" w:line="56"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Additionally, both e uity investments are evaluated for indicators of impairment on a periodic basis or whenever events or circumstances indicate the carrying amount may be other-than-temporarily impaired. If the Company concludes that there is an other-than-temporary impairment of these e uity investments, it will adjust the carrying amount of the investments to the current fair value. As of the end of fiscal 2026, the Company determined that no impairments of its e uity method investments existed.</w:t>
      </w:r>
    </w:p>
    <w:p>
      <w:pPr>
        <w:spacing w:after="0" w:line="70" w:lineRule="exact"/>
        <w:rPr>
          <w:sz w:val="20"/>
          <w:szCs w:val="20"/>
          <w:color w:val="auto"/>
        </w:rPr>
      </w:pPr>
    </w:p>
    <w:p>
      <w:pPr>
        <w:ind w:left="140"/>
        <w:spacing w:after="0"/>
        <w:tabs>
          <w:tab w:leader="none" w:pos="2180" w:val="left"/>
        </w:tabs>
        <w:rPr>
          <w:sz w:val="20"/>
          <w:szCs w:val="20"/>
          <w:color w:val="auto"/>
        </w:rPr>
      </w:pPr>
      <w:r>
        <w:rPr>
          <w:rFonts w:ascii="Arial" w:cs="Arial" w:eastAsia="Arial" w:hAnsi="Arial"/>
          <w:sz w:val="22"/>
          <w:szCs w:val="22"/>
          <w:color w:val="auto"/>
        </w:rPr>
        <w:t>itigation Settlement</w:t>
      </w:r>
      <w:r>
        <w:rPr>
          <w:sz w:val="20"/>
          <w:szCs w:val="20"/>
          <w:color w:val="auto"/>
        </w:rPr>
        <w:tab/>
      </w:r>
      <w:r>
        <w:rPr>
          <w:rFonts w:ascii="Arial" w:cs="Arial" w:eastAsia="Arial" w:hAnsi="Arial"/>
          <w:sz w:val="21"/>
          <w:szCs w:val="21"/>
          <w:color w:val="auto"/>
        </w:rPr>
        <w:t>elated to Credit Card Interchange Fees</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During the fourth uarter of fiscal 2026, the Company entered into a settlement agreement to resolve litigation related to credit card interchange fees in which the Company was a plaintiff. The settlement resulted in a non-recurring gain of $41 million, net of legal expenses, which was recogni ed within S A expenses.</w:t>
      </w:r>
    </w:p>
    <w:p>
      <w:pPr>
        <w:spacing w:after="0" w:line="6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Subse uent</w:t>
      </w:r>
      <w:r>
        <w:rPr>
          <w:sz w:val="20"/>
          <w:szCs w:val="20"/>
          <w:color w:val="auto"/>
        </w:rPr>
        <w:tab/>
      </w:r>
      <w:r>
        <w:rPr>
          <w:rFonts w:ascii="Arial" w:cs="Arial" w:eastAsia="Arial" w:hAnsi="Arial"/>
          <w:sz w:val="20"/>
          <w:szCs w:val="20"/>
          <w:color w:val="auto"/>
        </w:rPr>
        <w:t>ent</w:t>
      </w:r>
    </w:p>
    <w:p>
      <w:pPr>
        <w:spacing w:after="0" w:line="145" w:lineRule="exact"/>
        <w:rPr>
          <w:sz w:val="20"/>
          <w:szCs w:val="20"/>
          <w:color w:val="auto"/>
        </w:rPr>
      </w:pPr>
    </w:p>
    <w:p>
      <w:pPr>
        <w:ind w:right="40" w:firstLine="145"/>
        <w:spacing w:after="0" w:line="258" w:lineRule="auto"/>
        <w:rPr>
          <w:sz w:val="20"/>
          <w:szCs w:val="20"/>
          <w:color w:val="auto"/>
        </w:rPr>
      </w:pPr>
      <w:r>
        <w:rPr>
          <w:rFonts w:ascii="Arial" w:cs="Arial" w:eastAsia="Arial" w:hAnsi="Arial"/>
          <w:sz w:val="20"/>
          <w:szCs w:val="20"/>
          <w:color w:val="auto"/>
        </w:rPr>
        <w:t>n February 20, 2026, the .S. Supreme Court issued a decision invalidating tariffs imposed under the International Emergency Economic Powers Act ( IEEPA ). This ruling may allow for the recovery of IEEPA tariff amounts previously paid. The ruling leaves uncertainties regarding the timing and administration of any potential IEEPA tariff refunds by the .S. government, and may be subject to further legal and regulatory developments. The Company is currently evaluating the impact of this ruling on its business and consolidated financial statements.</w:t>
      </w:r>
    </w:p>
    <w:p>
      <w:pPr>
        <w:sectPr>
          <w:pgSz w:w="12240" w:h="15841" w:orient="portrait"/>
          <w:cols w:equalWidth="0" w:num="1">
            <w:col w:w="10240"/>
          </w:cols>
          <w:pgMar w:left="1000" w:top="77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2240" w:h="15841" w:orient="portrait"/>
          <w:cols w:equalWidth="0" w:num="1">
            <w:col w:w="10240"/>
          </w:cols>
          <w:pgMar w:left="1000" w:top="778" w:right="1001" w:bottom="0" w:gutter="0" w:footer="0" w:header="0"/>
          <w:type w:val="continuous"/>
        </w:sectPr>
      </w:pPr>
    </w:p>
    <w:bookmarkStart w:id="70" w:name="page71"/>
    <w:bookmarkEnd w:id="70"/>
    <w:p>
      <w:pPr>
        <w:spacing w:after="0"/>
        <w:tabs>
          <w:tab w:leader="none" w:pos="840" w:val="left"/>
          <w:tab w:leader="none" w:pos="24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Future</w:t>
        <w:tab/>
        <w:t>doption of New</w:t>
      </w:r>
      <w:r>
        <w:rPr>
          <w:sz w:val="20"/>
          <w:szCs w:val="20"/>
          <w:color w:val="auto"/>
        </w:rPr>
        <w:tab/>
      </w:r>
      <w:r>
        <w:rPr>
          <w:rFonts w:ascii="Arial" w:cs="Arial" w:eastAsia="Arial" w:hAnsi="Arial"/>
          <w:sz w:val="21"/>
          <w:szCs w:val="21"/>
          <w:color w:val="auto"/>
        </w:rPr>
        <w:t>ccounting Standards</w:t>
      </w:r>
    </w:p>
    <w:p>
      <w:pPr>
        <w:spacing w:after="0" w:line="145"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From time to time, the Financial Accounting Standards Board ( FASB ) or other standard setting bodies issue new accounting pronouncements. pdates to the FASB Accounting Standards Codification are communicated through issuance of an Accounting Standards pdate ( AS ). nless otherwise discussed, the Company has reviewed the new guidance and has determined that it will either not apply to TJX or is not expected to be material to its Consolidated Financial Statements upon adoption, and, therefore, the guidance is not disclosed.</w:t>
      </w:r>
    </w:p>
    <w:p>
      <w:pPr>
        <w:spacing w:after="0" w:line="68" w:lineRule="exact"/>
        <w:rPr>
          <w:sz w:val="20"/>
          <w:szCs w:val="20"/>
          <w:color w:val="auto"/>
        </w:rPr>
      </w:pPr>
    </w:p>
    <w:p>
      <w:pPr>
        <w:ind w:left="140"/>
        <w:spacing w:after="0"/>
        <w:tabs>
          <w:tab w:leader="none" w:pos="2240" w:val="left"/>
          <w:tab w:leader="none" w:pos="2520" w:val="left"/>
          <w:tab w:leader="none" w:pos="3020" w:val="left"/>
          <w:tab w:leader="none" w:pos="3720" w:val="left"/>
        </w:tabs>
        <w:rPr>
          <w:sz w:val="20"/>
          <w:szCs w:val="20"/>
          <w:color w:val="auto"/>
        </w:rPr>
      </w:pPr>
      <w:r>
        <w:rPr>
          <w:rFonts w:ascii="Arial" w:cs="Arial" w:eastAsia="Arial" w:hAnsi="Arial"/>
          <w:sz w:val="22"/>
          <w:szCs w:val="22"/>
          <w:i w:val="1"/>
          <w:iCs w:val="1"/>
          <w:color w:val="auto"/>
        </w:rPr>
        <w:t>isaggregation of nco</w:t>
        <w:tab/>
        <w:t>e</w:t>
        <w:tab/>
        <w:t>tate</w:t>
        <w:tab/>
        <w:t>ent</w:t>
      </w:r>
      <w:r>
        <w:rPr>
          <w:sz w:val="20"/>
          <w:szCs w:val="20"/>
          <w:color w:val="auto"/>
        </w:rPr>
        <w:tab/>
      </w:r>
      <w:r>
        <w:rPr>
          <w:rFonts w:ascii="Arial" w:cs="Arial" w:eastAsia="Arial" w:hAnsi="Arial"/>
          <w:sz w:val="18"/>
          <w:szCs w:val="18"/>
          <w:i w:val="1"/>
          <w:iCs w:val="1"/>
          <w:color w:val="auto"/>
        </w:rPr>
        <w:t>enses</w:t>
      </w:r>
    </w:p>
    <w:p>
      <w:pPr>
        <w:spacing w:after="0" w:line="146"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In November 2024, the FASB issued new guidance to enhance the disclosure of expenses by re uiring further disaggregation of relevant expenses in a separate note to the financial statements. This standard is effective for fiscal years beginning after December 15, 2026, and for interim periods within fiscal years beginning after December 15, 2027, with early adoption permitted. The Company is currently evaluating the impact of this adoption on its consolidated financial statement disclosures and plans to adopt this standard for the fiscal 2028 Form 10- .</w:t>
      </w:r>
    </w:p>
    <w:p>
      <w:pPr>
        <w:spacing w:after="0" w:line="68" w:lineRule="exact"/>
        <w:rPr>
          <w:sz w:val="20"/>
          <w:szCs w:val="20"/>
          <w:color w:val="auto"/>
        </w:rPr>
      </w:pPr>
    </w:p>
    <w:p>
      <w:pPr>
        <w:ind w:left="360"/>
        <w:spacing w:after="0"/>
        <w:tabs>
          <w:tab w:leader="none" w:pos="900" w:val="left"/>
          <w:tab w:leader="none" w:pos="1700" w:val="left"/>
          <w:tab w:leader="none" w:pos="3960" w:val="left"/>
          <w:tab w:leader="none" w:pos="4320" w:val="left"/>
        </w:tabs>
        <w:rPr>
          <w:sz w:val="20"/>
          <w:szCs w:val="20"/>
          <w:color w:val="auto"/>
        </w:rPr>
      </w:pPr>
      <w:r>
        <w:rPr>
          <w:rFonts w:ascii="Arial" w:cs="Arial" w:eastAsia="Arial" w:hAnsi="Arial"/>
          <w:sz w:val="22"/>
          <w:szCs w:val="22"/>
          <w:i w:val="1"/>
          <w:iCs w:val="1"/>
          <w:color w:val="auto"/>
        </w:rPr>
        <w:t>ro e</w:t>
        <w:tab/>
        <w:t>ents to</w:t>
        <w:tab/>
        <w:t>ccounting for nternal</w:t>
        <w:tab/>
        <w:t>se</w:t>
      </w:r>
      <w:r>
        <w:rPr>
          <w:sz w:val="20"/>
          <w:szCs w:val="20"/>
          <w:color w:val="auto"/>
        </w:rPr>
        <w:tab/>
      </w:r>
      <w:r>
        <w:rPr>
          <w:rFonts w:ascii="Arial" w:cs="Arial" w:eastAsia="Arial" w:hAnsi="Arial"/>
          <w:sz w:val="21"/>
          <w:szCs w:val="21"/>
          <w:i w:val="1"/>
          <w:iCs w:val="1"/>
          <w:color w:val="auto"/>
        </w:rPr>
        <w:t>oft  are</w:t>
      </w:r>
    </w:p>
    <w:p>
      <w:pPr>
        <w:spacing w:after="0" w:line="146"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color w:val="auto"/>
        </w:rPr>
        <w:t>In September 2025, the FASB issued new guidance to moderni e the accounting for internal-use software costs by increasing the operability of the recognition guidance considering different methods of software development. This standard is effective for fiscal years beginning after December 15, 2027, and for interim periods within those fiscal years, with early adoption permitted. The Company is currently evaluating the impact of the adoption on its consolidated financial statement disclosures and plans to adopt this standard for annual reporting as well as interim period reporting beginning in fiscal year 202 .</w:t>
      </w:r>
    </w:p>
    <w:p>
      <w:pPr>
        <w:spacing w:after="0" w:line="3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S C</w:t>
      </w:r>
      <w:r>
        <w:rPr>
          <w:sz w:val="20"/>
          <w:szCs w:val="20"/>
          <w:color w:val="auto"/>
        </w:rPr>
        <w:tab/>
      </w:r>
      <w:r>
        <w:rPr>
          <w:rFonts w:ascii="Arial" w:cs="Arial" w:eastAsia="Arial" w:hAnsi="Arial"/>
          <w:sz w:val="20"/>
          <w:szCs w:val="20"/>
          <w:color w:val="auto"/>
        </w:rPr>
        <w:t>ule Changes</w:t>
      </w:r>
    </w:p>
    <w:p>
      <w:pPr>
        <w:spacing w:after="0" w:line="14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In arch 2024, the SEC adopted new rules phasing in for fiscal years beginning on or after January 1, 2025 that will re uire registrants to provide certain climate-related information in their registration statements and annual reports. In April 2024, the</w:t>
      </w:r>
    </w:p>
    <w:p>
      <w:pPr>
        <w:ind w:right="20"/>
        <w:spacing w:after="0" w:line="278" w:lineRule="auto"/>
        <w:rPr>
          <w:sz w:val="20"/>
          <w:szCs w:val="20"/>
          <w:color w:val="auto"/>
        </w:rPr>
      </w:pPr>
      <w:r>
        <w:rPr>
          <w:rFonts w:ascii="Arial" w:cs="Arial" w:eastAsia="Arial" w:hAnsi="Arial"/>
          <w:sz w:val="18"/>
          <w:szCs w:val="18"/>
          <w:color w:val="auto"/>
        </w:rPr>
        <w:t>SEC determined to voluntarily stay the final rules pending certain legal challenges. In arch 2025, the SEC withdrew its defense of the rules in the pending litigation and, in July 2025, filed a status report re uesting that the .S. Court of Appeals for</w:t>
      </w:r>
    </w:p>
    <w:p>
      <w:pPr>
        <w:ind w:right="40"/>
        <w:spacing w:after="0" w:line="261" w:lineRule="auto"/>
        <w:rPr>
          <w:sz w:val="20"/>
          <w:szCs w:val="20"/>
          <w:color w:val="auto"/>
        </w:rPr>
      </w:pPr>
      <w:r>
        <w:rPr>
          <w:rFonts w:ascii="Arial" w:cs="Arial" w:eastAsia="Arial" w:hAnsi="Arial"/>
          <w:sz w:val="20"/>
          <w:szCs w:val="20"/>
          <w:color w:val="auto"/>
        </w:rPr>
        <w:t>the Eighth Circuit (the Eighth Circuit ) proceed with the case and issue an opinion on the challenges to the rules. In September 2025, the Eighth Circuit denied the SEC s re uest to proceed with the case and issued an order staying the litigation until the SEC either renews its defense of the rules or revised the rules via notice-and-comment rulemaking. The Company is continuing to monitor the status.</w:t>
      </w:r>
    </w:p>
    <w:p>
      <w:pPr>
        <w:spacing w:after="0" w:line="65" w:lineRule="exact"/>
        <w:rPr>
          <w:sz w:val="20"/>
          <w:szCs w:val="20"/>
          <w:color w:val="auto"/>
        </w:rPr>
      </w:pPr>
    </w:p>
    <w:p>
      <w:pPr>
        <w:jc w:val="right"/>
        <w:ind w:right="6420"/>
        <w:spacing w:after="0"/>
        <w:tabs>
          <w:tab w:leader="none" w:pos="9200" w:val="left"/>
          <w:tab w:leader="none" w:pos="8340" w:val="left"/>
        </w:tabs>
        <w:rPr>
          <w:sz w:val="20"/>
          <w:szCs w:val="20"/>
          <w:color w:val="auto"/>
        </w:rPr>
      </w:pPr>
      <w:r>
        <w:rPr>
          <w:rFonts w:ascii="Arial" w:cs="Arial" w:eastAsia="Arial" w:hAnsi="Arial"/>
          <w:sz w:val="22"/>
          <w:szCs w:val="22"/>
          <w:color w:val="auto"/>
        </w:rPr>
        <w:t>ecently</w:t>
        <w:tab/>
        <w:t>dopted</w:t>
      </w:r>
      <w:r>
        <w:rPr>
          <w:sz w:val="20"/>
          <w:szCs w:val="20"/>
          <w:color w:val="auto"/>
        </w:rPr>
        <w:tab/>
      </w:r>
      <w:r>
        <w:rPr>
          <w:rFonts w:ascii="Arial" w:cs="Arial" w:eastAsia="Arial" w:hAnsi="Arial"/>
          <w:sz w:val="21"/>
          <w:szCs w:val="21"/>
          <w:color w:val="auto"/>
        </w:rPr>
        <w:t>ccounting Standards</w:t>
      </w:r>
    </w:p>
    <w:p>
      <w:pPr>
        <w:spacing w:after="0" w:line="130" w:lineRule="exact"/>
        <w:rPr>
          <w:sz w:val="20"/>
          <w:szCs w:val="20"/>
          <w:color w:val="auto"/>
        </w:rPr>
      </w:pPr>
    </w:p>
    <w:p>
      <w:pPr>
        <w:jc w:val="right"/>
        <w:ind w:right="6480"/>
        <w:spacing w:after="0"/>
        <w:tabs>
          <w:tab w:leader="none" w:pos="9300" w:val="left"/>
          <w:tab w:leader="none" w:pos="8060" w:val="left"/>
          <w:tab w:leader="none" w:pos="7780" w:val="left"/>
          <w:tab w:leader="none" w:pos="7340" w:val="left"/>
        </w:tabs>
        <w:rPr>
          <w:sz w:val="20"/>
          <w:szCs w:val="20"/>
          <w:color w:val="auto"/>
        </w:rPr>
      </w:pPr>
      <w:r>
        <w:rPr>
          <w:rFonts w:ascii="Arial" w:cs="Arial" w:eastAsia="Arial" w:hAnsi="Arial"/>
          <w:sz w:val="22"/>
          <w:szCs w:val="22"/>
          <w:i w:val="1"/>
          <w:iCs w:val="1"/>
          <w:color w:val="auto"/>
        </w:rPr>
        <w:t>ro e</w:t>
        <w:tab/>
        <w:t>ents to nco</w:t>
        <w:tab/>
        <w:t>e</w:t>
        <w:tab/>
        <w:t>a</w:t>
      </w:r>
      <w:r>
        <w:rPr>
          <w:sz w:val="20"/>
          <w:szCs w:val="20"/>
          <w:color w:val="auto"/>
        </w:rPr>
        <w:tab/>
      </w:r>
      <w:r>
        <w:rPr>
          <w:rFonts w:ascii="Arial" w:cs="Arial" w:eastAsia="Arial" w:hAnsi="Arial"/>
          <w:sz w:val="19"/>
          <w:szCs w:val="19"/>
          <w:i w:val="1"/>
          <w:iCs w:val="1"/>
          <w:color w:val="auto"/>
        </w:rPr>
        <w:t>isclosures</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December 2023, the FASB issued guidance related to improvements to income tax disclosures. The new standard updates the income tax disclosure related to the rate reconciliation and re uires disclosure of income taxes paid by jurisdiction. The standard also provides for further disclosure comparability. The standard is effective for fiscal years beginning after December 15, 2024, with early adoption permitted. The Company adopted this standard as of January 31, 2026, on a prospective basis.</w:t>
      </w:r>
    </w:p>
    <w:p>
      <w:pPr>
        <w:spacing w:after="0" w:line="1"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20"/>
          <w:szCs w:val="20"/>
          <w:color w:val="auto"/>
        </w:rPr>
        <w:t>efer to Note</w:t>
      </w:r>
      <w:r>
        <w:rPr>
          <w:sz w:val="20"/>
          <w:szCs w:val="20"/>
          <w:color w:val="auto"/>
        </w:rPr>
        <w:tab/>
      </w:r>
      <w:r>
        <w:rPr>
          <w:rFonts w:ascii="Arial" w:cs="Arial" w:eastAsia="Arial" w:hAnsi="Arial"/>
          <w:sz w:val="18"/>
          <w:szCs w:val="18"/>
          <w:color w:val="auto"/>
        </w:rPr>
        <w:t>Income Taxes for the impact upon adoption of the new re uired disclosures.</w:t>
      </w:r>
    </w:p>
    <w:p>
      <w:pPr>
        <w:sectPr>
          <w:pgSz w:w="12240" w:h="15841" w:orient="portrait"/>
          <w:cols w:equalWidth="0" w:num="1">
            <w:col w:w="10240"/>
          </w:cols>
          <w:pgMar w:left="1000" w:top="77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2240" w:h="15841" w:orient="portrait"/>
          <w:cols w:equalWidth="0" w:num="1">
            <w:col w:w="10240"/>
          </w:cols>
          <w:pgMar w:left="1000" w:top="778" w:right="1001" w:bottom="0" w:gutter="0" w:footer="0" w:header="0"/>
          <w:type w:val="continuous"/>
        </w:sectPr>
      </w:pPr>
    </w:p>
    <w:bookmarkStart w:id="71" w:name="page72"/>
    <w:bookmarkEnd w:id="71"/>
    <w:p>
      <w:pPr>
        <w:spacing w:after="0"/>
        <w:tabs>
          <w:tab w:leader="none" w:pos="660" w:val="left"/>
          <w:tab w:leader="none" w:pos="94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Note</w:t>
        <w:tab/>
        <w:t>.</w:t>
      </w:r>
      <w:r>
        <w:rPr>
          <w:sz w:val="20"/>
          <w:szCs w:val="20"/>
          <w:color w:val="auto"/>
        </w:rPr>
        <w:tab/>
      </w:r>
      <w:r>
        <w:rPr>
          <w:rFonts w:ascii="Arial" w:cs="Arial" w:eastAsia="Arial" w:hAnsi="Arial"/>
          <w:sz w:val="23"/>
          <w:szCs w:val="23"/>
          <w:color w:val="auto"/>
        </w:rPr>
        <w:t>roperty at Cost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00" w:type="dxa"/>
            <w:vAlign w:val="bottom"/>
          </w:tcPr>
          <w:p>
            <w:pPr>
              <w:spacing w:after="0"/>
              <w:rPr>
                <w:sz w:val="20"/>
                <w:szCs w:val="20"/>
                <w:color w:val="auto"/>
              </w:rPr>
            </w:pPr>
            <w:r>
              <w:rPr>
                <w:rFonts w:ascii="Arial" w:cs="Arial" w:eastAsia="Arial" w:hAnsi="Arial"/>
                <w:sz w:val="20"/>
                <w:szCs w:val="20"/>
                <w:color w:val="auto"/>
              </w:rPr>
              <w:t>The following table presents the components of property at cost:</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31"/>
        </w:trPr>
        <w:tc>
          <w:tcPr>
            <w:tcW w:w="6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4"/>
                <w:szCs w:val="24"/>
                <w:color w:val="auto"/>
              </w:rPr>
            </w:pPr>
          </w:p>
        </w:tc>
      </w:tr>
      <w:tr>
        <w:trPr>
          <w:trHeight w:val="212"/>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40" w:type="dxa"/>
            <w:vAlign w:val="bottom"/>
          </w:tcPr>
          <w:p>
            <w:pPr>
              <w:jc w:val="center"/>
              <w:ind w:right="60"/>
              <w:spacing w:after="0" w:line="212" w:lineRule="exact"/>
              <w:rPr>
                <w:sz w:val="20"/>
                <w:szCs w:val="20"/>
                <w:color w:val="auto"/>
              </w:rPr>
            </w:pPr>
            <w:r>
              <w:rPr>
                <w:rFonts w:ascii="Arial" w:cs="Arial" w:eastAsia="Arial" w:hAnsi="Arial"/>
                <w:sz w:val="20"/>
                <w:szCs w:val="20"/>
                <w:color w:val="auto"/>
                <w:w w:val="91"/>
              </w:rPr>
              <w:t>February 1,</w:t>
            </w:r>
          </w:p>
        </w:tc>
        <w:tc>
          <w:tcPr>
            <w:tcW w:w="180" w:type="dxa"/>
            <w:vAlign w:val="bottom"/>
          </w:tcPr>
          <w:p>
            <w:pPr>
              <w:spacing w:after="0"/>
              <w:rPr>
                <w:sz w:val="18"/>
                <w:szCs w:val="18"/>
                <w:color w:val="auto"/>
              </w:rPr>
            </w:pPr>
          </w:p>
        </w:tc>
        <w:tc>
          <w:tcPr>
            <w:tcW w:w="1160" w:type="dxa"/>
            <w:vAlign w:val="bottom"/>
          </w:tcPr>
          <w:p>
            <w:pPr>
              <w:ind w:left="20"/>
              <w:spacing w:after="0" w:line="212" w:lineRule="exact"/>
              <w:rPr>
                <w:sz w:val="20"/>
                <w:szCs w:val="20"/>
                <w:color w:val="auto"/>
              </w:rPr>
            </w:pPr>
            <w:r>
              <w:rPr>
                <w:rFonts w:ascii="Arial" w:cs="Arial" w:eastAsia="Arial" w:hAnsi="Arial"/>
                <w:sz w:val="20"/>
                <w:szCs w:val="20"/>
                <w:color w:val="auto"/>
              </w:rPr>
              <w:t>February 3,</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2024</w:t>
            </w:r>
          </w:p>
        </w:tc>
      </w:tr>
      <w:tr>
        <w:trPr>
          <w:trHeight w:val="290"/>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Land and buildings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2,822</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2,558</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ind w:left="620"/>
              <w:spacing w:after="0"/>
              <w:rPr>
                <w:sz w:val="20"/>
                <w:szCs w:val="20"/>
                <w:color w:val="auto"/>
              </w:rPr>
            </w:pPr>
            <w:r>
              <w:rPr>
                <w:rFonts w:ascii="Arial" w:cs="Arial" w:eastAsia="Arial" w:hAnsi="Arial"/>
                <w:sz w:val="20"/>
                <w:szCs w:val="20"/>
                <w:color w:val="auto"/>
              </w:rPr>
              <w:t>2,17</w:t>
            </w:r>
          </w:p>
        </w:tc>
      </w:tr>
      <w:tr>
        <w:trPr>
          <w:trHeight w:val="294"/>
        </w:trPr>
        <w:tc>
          <w:tcPr>
            <w:tcW w:w="6300" w:type="dxa"/>
            <w:vAlign w:val="bottom"/>
            <w:shd w:val="clear" w:color="auto" w:fill="FEFEFE"/>
          </w:tcPr>
          <w:p>
            <w:pPr>
              <w:ind w:left="40"/>
              <w:spacing w:after="0"/>
              <w:rPr>
                <w:sz w:val="20"/>
                <w:szCs w:val="20"/>
                <w:color w:val="auto"/>
              </w:rPr>
            </w:pPr>
            <w:r>
              <w:rPr>
                <w:rFonts w:ascii="Arial" w:cs="Arial" w:eastAsia="Arial" w:hAnsi="Arial"/>
                <w:sz w:val="20"/>
                <w:szCs w:val="20"/>
                <w:color w:val="auto"/>
              </w:rPr>
              <w:t>Leasehold costs and improvements</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5,466</w:t>
            </w:r>
          </w:p>
        </w:tc>
        <w:tc>
          <w:tcPr>
            <w:tcW w:w="24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4,710</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ind w:left="620"/>
              <w:spacing w:after="0"/>
              <w:rPr>
                <w:sz w:val="20"/>
                <w:szCs w:val="20"/>
                <w:color w:val="auto"/>
              </w:rPr>
            </w:pPr>
            <w:r>
              <w:rPr>
                <w:rFonts w:ascii="Arial" w:cs="Arial" w:eastAsia="Arial" w:hAnsi="Arial"/>
                <w:sz w:val="20"/>
                <w:szCs w:val="20"/>
                <w:color w:val="auto"/>
              </w:rPr>
              <w:t>4,306</w:t>
            </w:r>
          </w:p>
        </w:tc>
      </w:tr>
      <w:tr>
        <w:trPr>
          <w:trHeight w:val="297"/>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Furniture, fixtures and e uipment</w:t>
            </w: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9,519</w:t>
            </w:r>
          </w:p>
        </w:tc>
        <w:tc>
          <w:tcPr>
            <w:tcW w:w="24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8,714</w:t>
            </w: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ind w:left="620"/>
              <w:spacing w:after="0"/>
              <w:rPr>
                <w:sz w:val="20"/>
                <w:szCs w:val="20"/>
                <w:color w:val="auto"/>
              </w:rPr>
            </w:pPr>
            <w:r>
              <w:rPr>
                <w:rFonts w:ascii="Arial" w:cs="Arial" w:eastAsia="Arial" w:hAnsi="Arial"/>
                <w:sz w:val="20"/>
                <w:szCs w:val="20"/>
                <w:color w:val="auto"/>
              </w:rPr>
              <w:t>8,134</w:t>
            </w:r>
          </w:p>
        </w:tc>
      </w:tr>
      <w:tr>
        <w:trPr>
          <w:trHeight w:val="283"/>
        </w:trPr>
        <w:tc>
          <w:tcPr>
            <w:tcW w:w="6300" w:type="dxa"/>
            <w:vAlign w:val="bottom"/>
            <w:shd w:val="clear" w:color="auto" w:fill="FEFEFE"/>
          </w:tcPr>
          <w:p>
            <w:pPr>
              <w:ind w:left="260"/>
              <w:spacing w:after="0"/>
              <w:rPr>
                <w:sz w:val="20"/>
                <w:szCs w:val="20"/>
                <w:color w:val="auto"/>
              </w:rPr>
            </w:pPr>
            <w:r>
              <w:rPr>
                <w:rFonts w:ascii="Arial" w:cs="Arial" w:eastAsia="Arial" w:hAnsi="Arial"/>
                <w:sz w:val="20"/>
                <w:szCs w:val="20"/>
                <w:color w:val="auto"/>
              </w:rPr>
              <w:t>Total property at cost</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17,807</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15, 82</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ind w:left="520"/>
              <w:spacing w:after="0"/>
              <w:rPr>
                <w:sz w:val="20"/>
                <w:szCs w:val="20"/>
                <w:color w:val="auto"/>
              </w:rPr>
            </w:pPr>
            <w:r>
              <w:rPr>
                <w:rFonts w:ascii="Arial" w:cs="Arial" w:eastAsia="Arial" w:hAnsi="Arial"/>
                <w:sz w:val="20"/>
                <w:szCs w:val="20"/>
                <w:color w:val="auto"/>
              </w:rPr>
              <w:t>14,61</w:t>
            </w:r>
          </w:p>
        </w:tc>
      </w:tr>
      <w:tr>
        <w:trPr>
          <w:trHeight w:val="297"/>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Less accumulated depreciation and amorti ation</w:t>
            </w: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9,587</w:t>
            </w:r>
          </w:p>
        </w:tc>
        <w:tc>
          <w:tcPr>
            <w:tcW w:w="24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8,636</w:t>
            </w: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ind w:left="620"/>
              <w:spacing w:after="0"/>
              <w:rPr>
                <w:sz w:val="20"/>
                <w:szCs w:val="20"/>
                <w:color w:val="auto"/>
              </w:rPr>
            </w:pPr>
            <w:r>
              <w:rPr>
                <w:rFonts w:ascii="Arial" w:cs="Arial" w:eastAsia="Arial" w:hAnsi="Arial"/>
                <w:sz w:val="20"/>
                <w:szCs w:val="20"/>
                <w:color w:val="auto"/>
              </w:rPr>
              <w:t>8,048</w:t>
            </w:r>
          </w:p>
        </w:tc>
      </w:tr>
      <w:tr>
        <w:trPr>
          <w:trHeight w:val="280"/>
        </w:trPr>
        <w:tc>
          <w:tcPr>
            <w:tcW w:w="63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Net property at cost</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8,220</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7,346</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ind w:left="620"/>
              <w:spacing w:after="0"/>
              <w:rPr>
                <w:sz w:val="20"/>
                <w:szCs w:val="20"/>
                <w:color w:val="auto"/>
              </w:rPr>
            </w:pPr>
            <w:r>
              <w:rPr>
                <w:rFonts w:ascii="Arial" w:cs="Arial" w:eastAsia="Arial" w:hAnsi="Arial"/>
                <w:sz w:val="20"/>
                <w:szCs w:val="20"/>
                <w:color w:val="auto"/>
              </w:rPr>
              <w:t>6,571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Presented below is information related to carrying values of TJX’s long-lived tangible assets by geographic location: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2"/>
                <w:szCs w:val="22"/>
                <w:color w:val="auto"/>
              </w:rPr>
            </w:pPr>
          </w:p>
        </w:tc>
      </w:tr>
      <w:tr>
        <w:trPr>
          <w:trHeight w:val="212"/>
        </w:trPr>
        <w:tc>
          <w:tcPr>
            <w:tcW w:w="4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40" w:type="dxa"/>
            <w:vAlign w:val="bottom"/>
          </w:tcPr>
          <w:p>
            <w:pPr>
              <w:jc w:val="center"/>
              <w:ind w:right="60"/>
              <w:spacing w:after="0" w:line="212" w:lineRule="exact"/>
              <w:rPr>
                <w:sz w:val="20"/>
                <w:szCs w:val="20"/>
                <w:color w:val="auto"/>
              </w:rPr>
            </w:pPr>
            <w:r>
              <w:rPr>
                <w:rFonts w:ascii="Arial" w:cs="Arial" w:eastAsia="Arial" w:hAnsi="Arial"/>
                <w:sz w:val="20"/>
                <w:szCs w:val="20"/>
                <w:color w:val="auto"/>
                <w:w w:val="91"/>
              </w:rPr>
              <w:t>February 1,</w:t>
            </w:r>
          </w:p>
        </w:tc>
        <w:tc>
          <w:tcPr>
            <w:tcW w:w="180" w:type="dxa"/>
            <w:vAlign w:val="bottom"/>
          </w:tcPr>
          <w:p>
            <w:pPr>
              <w:spacing w:after="0"/>
              <w:rPr>
                <w:sz w:val="18"/>
                <w:szCs w:val="18"/>
                <w:color w:val="auto"/>
              </w:rPr>
            </w:pPr>
          </w:p>
        </w:tc>
        <w:tc>
          <w:tcPr>
            <w:tcW w:w="116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2024</w:t>
            </w:r>
          </w:p>
        </w:tc>
      </w:tr>
      <w:tr>
        <w:trPr>
          <w:trHeight w:val="290"/>
        </w:trPr>
        <w:tc>
          <w:tcPr>
            <w:tcW w:w="4660" w:type="dxa"/>
            <w:vAlign w:val="bottom"/>
            <w:shd w:val="clear" w:color="auto" w:fill="E4E4E4"/>
          </w:tcPr>
          <w:p>
            <w:pPr>
              <w:ind w:left="180"/>
              <w:spacing w:after="0"/>
              <w:rPr>
                <w:sz w:val="20"/>
                <w:szCs w:val="20"/>
                <w:color w:val="auto"/>
              </w:rPr>
            </w:pPr>
            <w:r>
              <w:rPr>
                <w:rFonts w:ascii="Arial" w:cs="Arial" w:eastAsia="Arial" w:hAnsi="Arial"/>
                <w:sz w:val="20"/>
                <w:szCs w:val="20"/>
                <w:color w:val="auto"/>
              </w:rPr>
              <w:t>nited States</w:t>
            </w:r>
          </w:p>
        </w:tc>
        <w:tc>
          <w:tcPr>
            <w:tcW w:w="17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6,541</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5,86</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5,127</w:t>
            </w:r>
          </w:p>
        </w:tc>
      </w:tr>
      <w:tr>
        <w:trPr>
          <w:trHeight w:val="294"/>
        </w:trPr>
        <w:tc>
          <w:tcPr>
            <w:tcW w:w="4660" w:type="dxa"/>
            <w:vAlign w:val="bottom"/>
            <w:shd w:val="clear" w:color="auto" w:fill="FEFEFE"/>
          </w:tcPr>
          <w:p>
            <w:pPr>
              <w:ind w:left="40"/>
              <w:spacing w:after="0"/>
              <w:rPr>
                <w:sz w:val="20"/>
                <w:szCs w:val="20"/>
                <w:color w:val="auto"/>
              </w:rPr>
            </w:pPr>
            <w:r>
              <w:rPr>
                <w:rFonts w:ascii="Arial" w:cs="Arial" w:eastAsia="Arial" w:hAnsi="Arial"/>
                <w:sz w:val="20"/>
                <w:szCs w:val="20"/>
                <w:color w:val="auto"/>
              </w:rPr>
              <w:t>Canada</w:t>
            </w:r>
          </w:p>
        </w:tc>
        <w:tc>
          <w:tcPr>
            <w:tcW w:w="164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430</w:t>
            </w:r>
          </w:p>
        </w:tc>
        <w:tc>
          <w:tcPr>
            <w:tcW w:w="24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364</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341</w:t>
            </w:r>
          </w:p>
        </w:tc>
      </w:tr>
      <w:tr>
        <w:trPr>
          <w:trHeight w:val="306"/>
        </w:trPr>
        <w:tc>
          <w:tcPr>
            <w:tcW w:w="4660" w:type="dxa"/>
            <w:vAlign w:val="bottom"/>
            <w:shd w:val="clear" w:color="auto" w:fill="E4E4E4"/>
          </w:tcPr>
          <w:p>
            <w:pPr>
              <w:ind w:left="40"/>
              <w:spacing w:after="0"/>
              <w:rPr>
                <w:sz w:val="20"/>
                <w:szCs w:val="20"/>
                <w:color w:val="auto"/>
              </w:rPr>
            </w:pPr>
            <w:r>
              <w:rPr>
                <w:rFonts w:ascii="Arial" w:cs="Arial" w:eastAsia="Arial" w:hAnsi="Arial"/>
                <w:sz w:val="20"/>
                <w:szCs w:val="20"/>
                <w:color w:val="auto"/>
              </w:rPr>
              <w:t>Europe</w:t>
            </w:r>
          </w:p>
        </w:tc>
        <w:tc>
          <w:tcPr>
            <w:tcW w:w="164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1,153</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1,041</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1,028</w:t>
            </w:r>
          </w:p>
        </w:tc>
      </w:tr>
      <w:tr>
        <w:trPr>
          <w:trHeight w:val="290"/>
        </w:trPr>
        <w:tc>
          <w:tcPr>
            <w:tcW w:w="466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Australia</w:t>
            </w:r>
          </w:p>
        </w:tc>
        <w:tc>
          <w:tcPr>
            <w:tcW w:w="164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96</w:t>
            </w:r>
          </w:p>
        </w:tc>
        <w:tc>
          <w:tcPr>
            <w:tcW w:w="24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72</w:t>
            </w:r>
          </w:p>
        </w:tc>
        <w:tc>
          <w:tcPr>
            <w:tcW w:w="18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75</w:t>
            </w:r>
          </w:p>
        </w:tc>
      </w:tr>
      <w:tr>
        <w:trPr>
          <w:trHeight w:val="280"/>
        </w:trPr>
        <w:tc>
          <w:tcPr>
            <w:tcW w:w="466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Total long-lived tangible assets</w:t>
            </w:r>
          </w:p>
        </w:tc>
        <w:tc>
          <w:tcPr>
            <w:tcW w:w="178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8,220</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7,346</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6,571</w:t>
            </w:r>
          </w:p>
        </w:tc>
      </w:tr>
      <w:tr>
        <w:trPr>
          <w:trHeight w:val="444"/>
        </w:trPr>
        <w:tc>
          <w:tcPr>
            <w:tcW w:w="4660" w:type="dxa"/>
            <w:vAlign w:val="bottom"/>
          </w:tcPr>
          <w:p>
            <w:pPr>
              <w:spacing w:after="0"/>
              <w:rPr>
                <w:sz w:val="20"/>
                <w:szCs w:val="20"/>
                <w:color w:val="auto"/>
              </w:rPr>
            </w:pPr>
            <w:r>
              <w:rPr>
                <w:rFonts w:ascii="Arial" w:cs="Arial" w:eastAsia="Arial" w:hAnsi="Arial"/>
                <w:sz w:val="24"/>
                <w:szCs w:val="24"/>
                <w:color w:val="auto"/>
              </w:rPr>
              <w:t>Note C.  ccumulated Other Comprehensi e</w:t>
            </w:r>
          </w:p>
        </w:tc>
        <w:tc>
          <w:tcPr>
            <w:tcW w:w="1780" w:type="dxa"/>
            <w:vAlign w:val="bottom"/>
            <w:gridSpan w:val="2"/>
          </w:tcPr>
          <w:p>
            <w:pPr>
              <w:jc w:val="right"/>
              <w:ind w:right="420"/>
              <w:spacing w:after="0"/>
              <w:rPr>
                <w:sz w:val="20"/>
                <w:szCs w:val="20"/>
                <w:color w:val="auto"/>
              </w:rPr>
            </w:pPr>
            <w:r>
              <w:rPr>
                <w:rFonts w:ascii="Arial" w:cs="Arial" w:eastAsia="Arial" w:hAnsi="Arial"/>
                <w:sz w:val="24"/>
                <w:szCs w:val="24"/>
                <w:color w:val="auto"/>
              </w:rPr>
              <w:t>oss Income</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11" w:lineRule="exact"/>
        <w:rPr>
          <w:sz w:val="20"/>
          <w:szCs w:val="20"/>
          <w:color w:val="auto"/>
        </w:rPr>
      </w:pPr>
    </w:p>
    <w:p>
      <w:pPr>
        <w:ind w:right="80"/>
        <w:spacing w:after="0" w:line="310" w:lineRule="auto"/>
        <w:rPr>
          <w:sz w:val="20"/>
          <w:szCs w:val="20"/>
          <w:color w:val="auto"/>
        </w:rPr>
      </w:pPr>
      <w:r>
        <w:rPr>
          <w:rFonts w:ascii="Arial" w:cs="Arial" w:eastAsia="Arial" w:hAnsi="Arial"/>
          <w:sz w:val="19"/>
          <w:szCs w:val="19"/>
          <w:color w:val="auto"/>
        </w:rPr>
        <w:t>Amounts included in Accumulated other comprehensive (loss) income are recorded net of taxes. The following table details the changes in Accumulated other comprehensive (loss) income for fiscal 2026, fiscal 2025 and fiscal 2024:</w:t>
      </w:r>
    </w:p>
    <w:p>
      <w:pPr>
        <w:sectPr>
          <w:pgSz w:w="12240" w:h="15841" w:orient="portrait"/>
          <w:cols w:equalWidth="0" w:num="1">
            <w:col w:w="10260"/>
          </w:cols>
          <w:pgMar w:left="100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 and net of immaterial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80" w:type="dxa"/>
            <w:vAlign w:val="bottom"/>
            <w:vMerge w:val="restart"/>
          </w:tcPr>
          <w:p>
            <w:pPr>
              <w:jc w:val="center"/>
              <w:spacing w:after="0"/>
              <w:rPr>
                <w:sz w:val="20"/>
                <w:szCs w:val="20"/>
                <w:color w:val="auto"/>
              </w:rPr>
            </w:pPr>
            <w:r>
              <w:rPr>
                <w:rFonts w:ascii="Arial" w:cs="Arial" w:eastAsia="Arial" w:hAnsi="Arial"/>
                <w:sz w:val="20"/>
                <w:szCs w:val="20"/>
                <w:color w:val="auto"/>
                <w:w w:val="94"/>
              </w:rPr>
              <w:t>Foreign</w:t>
            </w:r>
          </w:p>
        </w:tc>
        <w:tc>
          <w:tcPr>
            <w:tcW w:w="1180" w:type="dxa"/>
            <w:vAlign w:val="bottom"/>
          </w:tcPr>
          <w:p>
            <w:pPr>
              <w:spacing w:after="0"/>
              <w:rPr>
                <w:sz w:val="17"/>
                <w:szCs w:val="17"/>
                <w:color w:val="auto"/>
              </w:rPr>
            </w:pPr>
          </w:p>
        </w:tc>
        <w:tc>
          <w:tcPr>
            <w:tcW w:w="1320" w:type="dxa"/>
            <w:vAlign w:val="bottom"/>
          </w:tcPr>
          <w:p>
            <w:pPr>
              <w:jc w:val="center"/>
              <w:spacing w:after="0" w:line="206" w:lineRule="exact"/>
              <w:rPr>
                <w:sz w:val="20"/>
                <w:szCs w:val="20"/>
                <w:color w:val="auto"/>
              </w:rPr>
            </w:pPr>
            <w:r>
              <w:rPr>
                <w:rFonts w:ascii="Arial" w:cs="Arial" w:eastAsia="Arial" w:hAnsi="Arial"/>
                <w:sz w:val="20"/>
                <w:szCs w:val="20"/>
                <w:color w:val="auto"/>
                <w:w w:val="91"/>
              </w:rPr>
              <w:t>Accumulated</w:t>
            </w:r>
          </w:p>
        </w:tc>
        <w:tc>
          <w:tcPr>
            <w:tcW w:w="0" w:type="dxa"/>
            <w:vAlign w:val="bottom"/>
          </w:tcPr>
          <w:p>
            <w:pPr>
              <w:spacing w:after="0"/>
              <w:rPr>
                <w:sz w:val="1"/>
                <w:szCs w:val="1"/>
                <w:color w:val="auto"/>
              </w:rPr>
            </w:pPr>
          </w:p>
        </w:tc>
      </w:tr>
      <w:tr>
        <w:trPr>
          <w:trHeight w:val="200"/>
        </w:trPr>
        <w:tc>
          <w:tcPr>
            <w:tcW w:w="980" w:type="dxa"/>
            <w:vAlign w:val="bottom"/>
            <w:vMerge w:val="continue"/>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Arial" w:cs="Arial" w:eastAsia="Arial" w:hAnsi="Arial"/>
                <w:sz w:val="20"/>
                <w:szCs w:val="20"/>
                <w:color w:val="auto"/>
                <w:w w:val="89"/>
              </w:rPr>
              <w:t>Deferred</w:t>
            </w:r>
          </w:p>
        </w:tc>
        <w:tc>
          <w:tcPr>
            <w:tcW w:w="1320" w:type="dxa"/>
            <w:vAlign w:val="bottom"/>
          </w:tcPr>
          <w:p>
            <w:pPr>
              <w:ind w:left="600"/>
              <w:spacing w:after="0" w:line="200" w:lineRule="exact"/>
              <w:rPr>
                <w:sz w:val="20"/>
                <w:szCs w:val="20"/>
                <w:color w:val="auto"/>
              </w:rPr>
            </w:pPr>
            <w:r>
              <w:rPr>
                <w:rFonts w:ascii="Arial" w:cs="Arial" w:eastAsia="Arial" w:hAnsi="Arial"/>
                <w:sz w:val="20"/>
                <w:szCs w:val="20"/>
                <w:color w:val="auto"/>
              </w:rPr>
              <w:t>ther</w:t>
            </w:r>
          </w:p>
        </w:tc>
        <w:tc>
          <w:tcPr>
            <w:tcW w:w="0" w:type="dxa"/>
            <w:vAlign w:val="bottom"/>
          </w:tcPr>
          <w:p>
            <w:pPr>
              <w:spacing w:after="0"/>
              <w:rPr>
                <w:sz w:val="1"/>
                <w:szCs w:val="1"/>
                <w:color w:val="auto"/>
              </w:rPr>
            </w:pPr>
          </w:p>
        </w:tc>
      </w:tr>
      <w:tr>
        <w:trPr>
          <w:trHeight w:val="200"/>
        </w:trPr>
        <w:tc>
          <w:tcPr>
            <w:tcW w:w="980" w:type="dxa"/>
            <w:vAlign w:val="bottom"/>
          </w:tcPr>
          <w:p>
            <w:pPr>
              <w:jc w:val="center"/>
              <w:spacing w:after="0" w:line="200" w:lineRule="exact"/>
              <w:rPr>
                <w:sz w:val="20"/>
                <w:szCs w:val="20"/>
                <w:color w:val="auto"/>
              </w:rPr>
            </w:pPr>
            <w:r>
              <w:rPr>
                <w:rFonts w:ascii="Arial" w:cs="Arial" w:eastAsia="Arial" w:hAnsi="Arial"/>
                <w:sz w:val="20"/>
                <w:szCs w:val="20"/>
                <w:color w:val="auto"/>
                <w:w w:val="93"/>
              </w:rPr>
              <w:t>Currency</w:t>
            </w:r>
          </w:p>
        </w:tc>
        <w:tc>
          <w:tcPr>
            <w:tcW w:w="1180" w:type="dxa"/>
            <w:vAlign w:val="bottom"/>
            <w:vMerge w:val="continue"/>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Arial" w:cs="Arial" w:eastAsia="Arial" w:hAnsi="Arial"/>
                <w:sz w:val="20"/>
                <w:szCs w:val="20"/>
                <w:color w:val="auto"/>
                <w:w w:val="89"/>
              </w:rPr>
              <w:t>Comprehensive</w:t>
            </w:r>
          </w:p>
        </w:tc>
        <w:tc>
          <w:tcPr>
            <w:tcW w:w="0" w:type="dxa"/>
            <w:vAlign w:val="bottom"/>
          </w:tcPr>
          <w:p>
            <w:pPr>
              <w:spacing w:after="0"/>
              <w:rPr>
                <w:sz w:val="1"/>
                <w:szCs w:val="1"/>
                <w:color w:val="auto"/>
              </w:rPr>
            </w:pPr>
          </w:p>
        </w:tc>
      </w:tr>
      <w:tr>
        <w:trPr>
          <w:trHeight w:val="261"/>
        </w:trPr>
        <w:tc>
          <w:tcPr>
            <w:tcW w:w="980" w:type="dxa"/>
            <w:vAlign w:val="bottom"/>
          </w:tcPr>
          <w:p>
            <w:pPr>
              <w:jc w:val="center"/>
              <w:spacing w:after="0"/>
              <w:rPr>
                <w:sz w:val="20"/>
                <w:szCs w:val="20"/>
                <w:color w:val="auto"/>
              </w:rPr>
            </w:pPr>
            <w:r>
              <w:rPr>
                <w:rFonts w:ascii="Arial" w:cs="Arial" w:eastAsia="Arial" w:hAnsi="Arial"/>
                <w:sz w:val="20"/>
                <w:szCs w:val="20"/>
                <w:color w:val="auto"/>
                <w:w w:val="92"/>
              </w:rPr>
              <w:t>Translation</w:t>
            </w:r>
          </w:p>
        </w:tc>
        <w:tc>
          <w:tcPr>
            <w:tcW w:w="1180" w:type="dxa"/>
            <w:vAlign w:val="bottom"/>
          </w:tcPr>
          <w:p>
            <w:pPr>
              <w:jc w:val="center"/>
              <w:spacing w:after="0"/>
              <w:rPr>
                <w:sz w:val="20"/>
                <w:szCs w:val="20"/>
                <w:color w:val="auto"/>
              </w:rPr>
            </w:pPr>
            <w:r>
              <w:rPr>
                <w:rFonts w:ascii="Arial" w:cs="Arial" w:eastAsia="Arial" w:hAnsi="Arial"/>
                <w:sz w:val="20"/>
                <w:szCs w:val="20"/>
                <w:color w:val="auto"/>
                <w:w w:val="92"/>
              </w:rPr>
              <w:t>Benefit Costs</w:t>
            </w: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(Loss) Income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1" w:orient="portrait"/>
          <w:cols w:equalWidth="0" w:num="2">
            <w:col w:w="5620" w:space="720"/>
            <w:col w:w="3920"/>
          </w:cols>
          <w:pgMar w:left="1000" w:top="771" w:right="981" w:bottom="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5980" w:type="dxa"/>
            <w:vAlign w:val="bottom"/>
            <w:tcBorders>
              <w:top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alance, January 28, 2023</w:t>
            </w:r>
          </w:p>
        </w:tc>
        <w:tc>
          <w:tcPr>
            <w:tcW w:w="680" w:type="dxa"/>
            <w:vAlign w:val="bottom"/>
            <w:tcBorders>
              <w:top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544</w:t>
            </w:r>
          </w:p>
        </w:tc>
        <w:tc>
          <w:tcPr>
            <w:tcW w:w="520" w:type="dxa"/>
            <w:vAlign w:val="bottom"/>
            <w:tcBorders>
              <w:top w:val="single" w:sz="8" w:color="auto"/>
            </w:tcBorders>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62</w:t>
            </w:r>
          </w:p>
        </w:tc>
        <w:tc>
          <w:tcPr>
            <w:tcW w:w="540" w:type="dxa"/>
            <w:vAlign w:val="bottom"/>
            <w:tcBorders>
              <w:top w:val="single" w:sz="8" w:color="auto"/>
            </w:tcBorders>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606</w:t>
            </w:r>
          </w:p>
        </w:tc>
      </w:tr>
      <w:tr>
        <w:trPr>
          <w:trHeight w:val="280"/>
        </w:trPr>
        <w:tc>
          <w:tcPr>
            <w:tcW w:w="59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Additions to other comprehensive (loss):</w:t>
            </w:r>
          </w:p>
        </w:tc>
        <w:tc>
          <w:tcPr>
            <w:tcW w:w="68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2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FEFEFE"/>
            </w:tcBorders>
            <w:shd w:val="clear" w:color="auto" w:fill="FEFEFE"/>
          </w:tcPr>
          <w:p>
            <w:pPr>
              <w:spacing w:after="0"/>
              <w:rPr>
                <w:sz w:val="24"/>
                <w:szCs w:val="24"/>
                <w:color w:val="auto"/>
              </w:rPr>
            </w:pPr>
          </w:p>
        </w:tc>
      </w:tr>
      <w:tr>
        <w:trPr>
          <w:trHeight w:val="300"/>
        </w:trPr>
        <w:tc>
          <w:tcPr>
            <w:tcW w:w="5980" w:type="dxa"/>
            <w:vAlign w:val="bottom"/>
            <w:shd w:val="clear" w:color="auto" w:fill="E4E4E4"/>
          </w:tcPr>
          <w:p>
            <w:pPr>
              <w:ind w:left="160"/>
              <w:spacing w:after="0"/>
              <w:rPr>
                <w:sz w:val="20"/>
                <w:szCs w:val="20"/>
                <w:color w:val="auto"/>
              </w:rPr>
            </w:pPr>
            <w:r>
              <w:rPr>
                <w:rFonts w:ascii="Arial" w:cs="Arial" w:eastAsia="Arial" w:hAnsi="Arial"/>
                <w:sz w:val="20"/>
                <w:szCs w:val="20"/>
                <w:color w:val="auto"/>
              </w:rPr>
              <w:t>Foreign currency translation adjustments, net of taxes</w:t>
            </w:r>
          </w:p>
        </w:tc>
        <w:tc>
          <w:tcPr>
            <w:tcW w:w="680" w:type="dxa"/>
            <w:vAlign w:val="bottom"/>
            <w:shd w:val="clear" w:color="auto" w:fill="E4E4E4"/>
          </w:tcPr>
          <w:p>
            <w:pPr>
              <w:spacing w:after="0"/>
              <w:rPr>
                <w:sz w:val="24"/>
                <w:szCs w:val="24"/>
                <w:color w:val="auto"/>
              </w:rPr>
            </w:pP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w:t>
            </w:r>
          </w:p>
        </w:tc>
        <w:tc>
          <w:tcPr>
            <w:tcW w:w="52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54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w:t>
            </w:r>
          </w:p>
        </w:tc>
      </w:tr>
      <w:tr>
        <w:trPr>
          <w:trHeight w:val="293"/>
        </w:trPr>
        <w:tc>
          <w:tcPr>
            <w:tcW w:w="5980" w:type="dxa"/>
            <w:vAlign w:val="bottom"/>
            <w:shd w:val="clear" w:color="auto" w:fill="FEFEFE"/>
          </w:tcPr>
          <w:p>
            <w:pPr>
              <w:ind w:left="300"/>
              <w:spacing w:after="0"/>
              <w:rPr>
                <w:sz w:val="20"/>
                <w:szCs w:val="20"/>
                <w:color w:val="auto"/>
              </w:rPr>
            </w:pPr>
            <w:r>
              <w:rPr>
                <w:rFonts w:ascii="Arial" w:cs="Arial" w:eastAsia="Arial" w:hAnsi="Arial"/>
                <w:sz w:val="20"/>
                <w:szCs w:val="20"/>
                <w:color w:val="auto"/>
              </w:rPr>
              <w:t>ecognition of net gains on benefit obligations, net of taxes</w:t>
            </w:r>
          </w:p>
        </w:tc>
        <w:tc>
          <w:tcPr>
            <w:tcW w:w="6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520" w:type="dxa"/>
            <w:vAlign w:val="bottom"/>
            <w:shd w:val="clear" w:color="auto" w:fill="FEFEFE"/>
          </w:tcPr>
          <w:p>
            <w:pPr>
              <w:spacing w:after="0"/>
              <w:rPr>
                <w:sz w:val="24"/>
                <w:szCs w:val="24"/>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w:t>
            </w:r>
          </w:p>
        </w:tc>
        <w:tc>
          <w:tcPr>
            <w:tcW w:w="540" w:type="dxa"/>
            <w:vAlign w:val="bottom"/>
            <w:shd w:val="clear" w:color="auto" w:fill="FEFEFE"/>
          </w:tcPr>
          <w:p>
            <w:pPr>
              <w:spacing w:after="0"/>
              <w:rPr>
                <w:sz w:val="24"/>
                <w:szCs w:val="24"/>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w:t>
            </w:r>
          </w:p>
        </w:tc>
      </w:tr>
      <w:tr>
        <w:trPr>
          <w:trHeight w:val="287"/>
        </w:trPr>
        <w:tc>
          <w:tcPr>
            <w:tcW w:w="598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20"/>
                <w:szCs w:val="20"/>
                <w:color w:val="auto"/>
              </w:rPr>
              <w:t>eclassifications from other comprehensive (loss) to net income:</w:t>
            </w:r>
          </w:p>
        </w:tc>
        <w:tc>
          <w:tcPr>
            <w:tcW w:w="68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2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r>
      <w:tr>
        <w:trPr>
          <w:trHeight w:val="290"/>
        </w:trPr>
        <w:tc>
          <w:tcPr>
            <w:tcW w:w="5980" w:type="dxa"/>
            <w:vAlign w:val="bottom"/>
            <w:tcBorders>
              <w:bottom w:val="single" w:sz="8" w:color="auto"/>
            </w:tcBorders>
            <w:shd w:val="clear" w:color="auto" w:fill="FEFEFE"/>
          </w:tcPr>
          <w:p>
            <w:pPr>
              <w:ind w:left="160"/>
              <w:spacing w:after="0"/>
              <w:rPr>
                <w:sz w:val="20"/>
                <w:szCs w:val="20"/>
                <w:color w:val="auto"/>
              </w:rPr>
            </w:pPr>
            <w:r>
              <w:rPr>
                <w:rFonts w:ascii="Arial" w:cs="Arial" w:eastAsia="Arial" w:hAnsi="Arial"/>
                <w:sz w:val="20"/>
                <w:szCs w:val="20"/>
                <w:color w:val="auto"/>
              </w:rPr>
              <w:t>Amorti ation of prior service cost and deferred gains, net of taxes</w:t>
            </w:r>
          </w:p>
        </w:tc>
        <w:tc>
          <w:tcPr>
            <w:tcW w:w="68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spacing w:after="0"/>
              <w:rPr>
                <w:sz w:val="24"/>
                <w:szCs w:val="24"/>
                <w:color w:val="auto"/>
              </w:rPr>
            </w:pPr>
          </w:p>
        </w:tc>
        <w:tc>
          <w:tcPr>
            <w:tcW w:w="52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54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r>
      <w:tr>
        <w:trPr>
          <w:trHeight w:val="273"/>
        </w:trPr>
        <w:tc>
          <w:tcPr>
            <w:tcW w:w="59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February 3, 2024</w:t>
            </w:r>
          </w:p>
        </w:tc>
        <w:tc>
          <w:tcPr>
            <w:tcW w:w="6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514</w:t>
            </w:r>
          </w:p>
        </w:tc>
        <w:tc>
          <w:tcPr>
            <w:tcW w:w="520" w:type="dxa"/>
            <w:vAlign w:val="bottom"/>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18</w:t>
            </w:r>
          </w:p>
        </w:tc>
        <w:tc>
          <w:tcPr>
            <w:tcW w:w="540" w:type="dxa"/>
            <w:vAlign w:val="bottom"/>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532</w:t>
            </w:r>
          </w:p>
        </w:tc>
      </w:tr>
      <w:tr>
        <w:trPr>
          <w:trHeight w:val="282"/>
        </w:trPr>
        <w:tc>
          <w:tcPr>
            <w:tcW w:w="59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Additions to other comprehensive (loss):</w:t>
            </w:r>
          </w:p>
        </w:tc>
        <w:tc>
          <w:tcPr>
            <w:tcW w:w="68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2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FEFEFE"/>
            </w:tcBorders>
            <w:shd w:val="clear" w:color="auto" w:fill="FEFEFE"/>
          </w:tcPr>
          <w:p>
            <w:pPr>
              <w:spacing w:after="0"/>
              <w:rPr>
                <w:sz w:val="24"/>
                <w:szCs w:val="24"/>
                <w:color w:val="auto"/>
              </w:rPr>
            </w:pPr>
          </w:p>
        </w:tc>
      </w:tr>
      <w:tr>
        <w:trPr>
          <w:trHeight w:val="297"/>
        </w:trPr>
        <w:tc>
          <w:tcPr>
            <w:tcW w:w="5980" w:type="dxa"/>
            <w:vAlign w:val="bottom"/>
            <w:shd w:val="clear" w:color="auto" w:fill="E4E4E4"/>
          </w:tcPr>
          <w:p>
            <w:pPr>
              <w:ind w:left="160"/>
              <w:spacing w:after="0"/>
              <w:rPr>
                <w:sz w:val="20"/>
                <w:szCs w:val="20"/>
                <w:color w:val="auto"/>
              </w:rPr>
            </w:pPr>
            <w:r>
              <w:rPr>
                <w:rFonts w:ascii="Arial" w:cs="Arial" w:eastAsia="Arial" w:hAnsi="Arial"/>
                <w:sz w:val="20"/>
                <w:szCs w:val="20"/>
                <w:color w:val="auto"/>
              </w:rPr>
              <w:t>Foreign currency translation adjustments, net of taxes</w:t>
            </w:r>
          </w:p>
        </w:tc>
        <w:tc>
          <w:tcPr>
            <w:tcW w:w="680" w:type="dxa"/>
            <w:vAlign w:val="bottom"/>
            <w:shd w:val="clear" w:color="auto" w:fill="E4E4E4"/>
          </w:tcPr>
          <w:p>
            <w:pPr>
              <w:spacing w:after="0"/>
              <w:rPr>
                <w:sz w:val="24"/>
                <w:szCs w:val="24"/>
                <w:color w:val="auto"/>
              </w:rPr>
            </w:pP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(105)</w:t>
            </w:r>
          </w:p>
        </w:tc>
        <w:tc>
          <w:tcPr>
            <w:tcW w:w="52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54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(105)</w:t>
            </w:r>
          </w:p>
        </w:tc>
      </w:tr>
      <w:tr>
        <w:trPr>
          <w:trHeight w:val="297"/>
        </w:trPr>
        <w:tc>
          <w:tcPr>
            <w:tcW w:w="5980" w:type="dxa"/>
            <w:vAlign w:val="bottom"/>
            <w:shd w:val="clear" w:color="auto" w:fill="FEFEFE"/>
          </w:tcPr>
          <w:p>
            <w:pPr>
              <w:ind w:left="300"/>
              <w:spacing w:after="0"/>
              <w:rPr>
                <w:sz w:val="20"/>
                <w:szCs w:val="20"/>
                <w:color w:val="auto"/>
              </w:rPr>
            </w:pPr>
            <w:r>
              <w:rPr>
                <w:rFonts w:ascii="Arial" w:cs="Arial" w:eastAsia="Arial" w:hAnsi="Arial"/>
                <w:sz w:val="20"/>
                <w:szCs w:val="20"/>
                <w:color w:val="auto"/>
              </w:rPr>
              <w:t>ecognition of net gains on benefit obligations, net of taxes</w:t>
            </w:r>
          </w:p>
        </w:tc>
        <w:tc>
          <w:tcPr>
            <w:tcW w:w="6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520" w:type="dxa"/>
            <w:vAlign w:val="bottom"/>
            <w:shd w:val="clear" w:color="auto" w:fill="FEFEFE"/>
          </w:tcPr>
          <w:p>
            <w:pPr>
              <w:spacing w:after="0"/>
              <w:rPr>
                <w:sz w:val="24"/>
                <w:szCs w:val="24"/>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w:t>
            </w:r>
          </w:p>
        </w:tc>
        <w:tc>
          <w:tcPr>
            <w:tcW w:w="540" w:type="dxa"/>
            <w:vAlign w:val="bottom"/>
            <w:shd w:val="clear" w:color="auto" w:fill="FEFEFE"/>
          </w:tcPr>
          <w:p>
            <w:pPr>
              <w:spacing w:after="0"/>
              <w:rPr>
                <w:sz w:val="24"/>
                <w:szCs w:val="24"/>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w:t>
            </w:r>
          </w:p>
        </w:tc>
      </w:tr>
      <w:tr>
        <w:trPr>
          <w:trHeight w:val="287"/>
        </w:trPr>
        <w:tc>
          <w:tcPr>
            <w:tcW w:w="598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20"/>
                <w:szCs w:val="20"/>
                <w:color w:val="auto"/>
              </w:rPr>
              <w:t>eclassifications from other comprehensive (loss) to net income:</w:t>
            </w:r>
          </w:p>
        </w:tc>
        <w:tc>
          <w:tcPr>
            <w:tcW w:w="68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2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r>
      <w:tr>
        <w:trPr>
          <w:trHeight w:val="290"/>
        </w:trPr>
        <w:tc>
          <w:tcPr>
            <w:tcW w:w="5980" w:type="dxa"/>
            <w:vAlign w:val="bottom"/>
            <w:tcBorders>
              <w:bottom w:val="single" w:sz="8" w:color="auto"/>
            </w:tcBorders>
            <w:shd w:val="clear" w:color="auto" w:fill="FEFEFE"/>
          </w:tcPr>
          <w:p>
            <w:pPr>
              <w:ind w:left="160"/>
              <w:spacing w:after="0"/>
              <w:rPr>
                <w:sz w:val="20"/>
                <w:szCs w:val="20"/>
                <w:color w:val="auto"/>
              </w:rPr>
            </w:pPr>
            <w:r>
              <w:rPr>
                <w:rFonts w:ascii="Arial" w:cs="Arial" w:eastAsia="Arial" w:hAnsi="Arial"/>
                <w:sz w:val="20"/>
                <w:szCs w:val="20"/>
                <w:color w:val="auto"/>
              </w:rPr>
              <w:t>Amorti ation of prior service cost and deferred gains, net of taxes</w:t>
            </w:r>
          </w:p>
        </w:tc>
        <w:tc>
          <w:tcPr>
            <w:tcW w:w="68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spacing w:after="0"/>
              <w:rPr>
                <w:sz w:val="24"/>
                <w:szCs w:val="24"/>
                <w:color w:val="auto"/>
              </w:rPr>
            </w:pPr>
          </w:p>
        </w:tc>
        <w:tc>
          <w:tcPr>
            <w:tcW w:w="52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54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r>
      <w:tr>
        <w:trPr>
          <w:trHeight w:val="275"/>
        </w:trPr>
        <w:tc>
          <w:tcPr>
            <w:tcW w:w="59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February 1, 2025</w:t>
            </w:r>
          </w:p>
        </w:tc>
        <w:tc>
          <w:tcPr>
            <w:tcW w:w="6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619</w:t>
            </w:r>
          </w:p>
        </w:tc>
        <w:tc>
          <w:tcPr>
            <w:tcW w:w="520" w:type="dxa"/>
            <w:vAlign w:val="bottom"/>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540" w:type="dxa"/>
            <w:vAlign w:val="bottom"/>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609</w:t>
            </w:r>
          </w:p>
        </w:tc>
      </w:tr>
      <w:tr>
        <w:trPr>
          <w:trHeight w:val="280"/>
        </w:trPr>
        <w:tc>
          <w:tcPr>
            <w:tcW w:w="59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Additions to other comprehensive (loss):</w:t>
            </w:r>
          </w:p>
        </w:tc>
        <w:tc>
          <w:tcPr>
            <w:tcW w:w="68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20" w:type="dxa"/>
            <w:vAlign w:val="bottom"/>
            <w:tcBorders>
              <w:bottom w:val="single" w:sz="8" w:color="FEFEFE"/>
            </w:tcBorders>
            <w:shd w:val="clear" w:color="auto" w:fill="FEFEFE"/>
          </w:tcPr>
          <w:p>
            <w:pPr>
              <w:spacing w:after="0"/>
              <w:rPr>
                <w:sz w:val="24"/>
                <w:szCs w:val="24"/>
                <w:color w:val="auto"/>
              </w:rPr>
            </w:pPr>
          </w:p>
        </w:tc>
        <w:tc>
          <w:tcPr>
            <w:tcW w:w="660" w:type="dxa"/>
            <w:vAlign w:val="bottom"/>
            <w:tcBorders>
              <w:bottom w:val="single" w:sz="8" w:color="FEFEFE"/>
            </w:tcBorders>
            <w:shd w:val="clear" w:color="auto" w:fill="FEFEFE"/>
          </w:tcPr>
          <w:p>
            <w:pPr>
              <w:spacing w:after="0"/>
              <w:rPr>
                <w:sz w:val="24"/>
                <w:szCs w:val="24"/>
                <w:color w:val="auto"/>
              </w:rPr>
            </w:pPr>
          </w:p>
        </w:tc>
        <w:tc>
          <w:tcPr>
            <w:tcW w:w="5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FEFEFE"/>
            </w:tcBorders>
            <w:shd w:val="clear" w:color="auto" w:fill="FEFEFE"/>
          </w:tcPr>
          <w:p>
            <w:pPr>
              <w:spacing w:after="0"/>
              <w:rPr>
                <w:sz w:val="24"/>
                <w:szCs w:val="24"/>
                <w:color w:val="auto"/>
              </w:rPr>
            </w:pPr>
          </w:p>
        </w:tc>
      </w:tr>
      <w:tr>
        <w:trPr>
          <w:trHeight w:val="300"/>
        </w:trPr>
        <w:tc>
          <w:tcPr>
            <w:tcW w:w="5980" w:type="dxa"/>
            <w:vAlign w:val="bottom"/>
            <w:shd w:val="clear" w:color="auto" w:fill="E4E4E4"/>
          </w:tcPr>
          <w:p>
            <w:pPr>
              <w:ind w:left="160"/>
              <w:spacing w:after="0"/>
              <w:rPr>
                <w:sz w:val="20"/>
                <w:szCs w:val="20"/>
                <w:color w:val="auto"/>
              </w:rPr>
            </w:pPr>
            <w:r>
              <w:rPr>
                <w:rFonts w:ascii="Arial" w:cs="Arial" w:eastAsia="Arial" w:hAnsi="Arial"/>
                <w:sz w:val="20"/>
                <w:szCs w:val="20"/>
                <w:color w:val="auto"/>
              </w:rPr>
              <w:t>Foreign currency translation adjustments, net of taxes</w:t>
            </w:r>
          </w:p>
        </w:tc>
        <w:tc>
          <w:tcPr>
            <w:tcW w:w="680" w:type="dxa"/>
            <w:vAlign w:val="bottom"/>
            <w:shd w:val="clear" w:color="auto" w:fill="E4E4E4"/>
          </w:tcPr>
          <w:p>
            <w:pPr>
              <w:spacing w:after="0"/>
              <w:rPr>
                <w:sz w:val="24"/>
                <w:szCs w:val="24"/>
                <w:color w:val="auto"/>
              </w:rPr>
            </w:pPr>
          </w:p>
        </w:tc>
        <w:tc>
          <w:tcPr>
            <w:tcW w:w="6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245</w:t>
            </w:r>
          </w:p>
        </w:tc>
        <w:tc>
          <w:tcPr>
            <w:tcW w:w="52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54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245</w:t>
            </w:r>
          </w:p>
        </w:tc>
      </w:tr>
      <w:tr>
        <w:trPr>
          <w:trHeight w:val="297"/>
        </w:trPr>
        <w:tc>
          <w:tcPr>
            <w:tcW w:w="5980" w:type="dxa"/>
            <w:vAlign w:val="bottom"/>
            <w:shd w:val="clear" w:color="auto" w:fill="FEFEFE"/>
          </w:tcPr>
          <w:p>
            <w:pPr>
              <w:ind w:left="300"/>
              <w:spacing w:after="0"/>
              <w:rPr>
                <w:sz w:val="20"/>
                <w:szCs w:val="20"/>
                <w:color w:val="auto"/>
              </w:rPr>
            </w:pPr>
            <w:r>
              <w:rPr>
                <w:rFonts w:ascii="Arial" w:cs="Arial" w:eastAsia="Arial" w:hAnsi="Arial"/>
                <w:sz w:val="20"/>
                <w:szCs w:val="20"/>
                <w:color w:val="auto"/>
              </w:rPr>
              <w:t>ecognition of net gains on benefit obligations, net of taxes</w:t>
            </w:r>
          </w:p>
        </w:tc>
        <w:tc>
          <w:tcPr>
            <w:tcW w:w="6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520" w:type="dxa"/>
            <w:vAlign w:val="bottom"/>
            <w:shd w:val="clear" w:color="auto" w:fill="FEFEFE"/>
          </w:tcPr>
          <w:p>
            <w:pPr>
              <w:spacing w:after="0"/>
              <w:rPr>
                <w:sz w:val="24"/>
                <w:szCs w:val="24"/>
                <w:color w:val="auto"/>
              </w:rPr>
            </w:pPr>
          </w:p>
        </w:tc>
        <w:tc>
          <w:tcPr>
            <w:tcW w:w="6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540" w:type="dxa"/>
            <w:vAlign w:val="bottom"/>
            <w:shd w:val="clear" w:color="auto" w:fill="FEFEFE"/>
          </w:tcPr>
          <w:p>
            <w:pPr>
              <w:spacing w:after="0"/>
              <w:rPr>
                <w:sz w:val="24"/>
                <w:szCs w:val="24"/>
                <w:color w:val="auto"/>
              </w:rPr>
            </w:pP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598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20"/>
                <w:szCs w:val="20"/>
                <w:color w:val="auto"/>
              </w:rPr>
              <w:t>eclassifications from other comprehensive (loss) to net income:</w:t>
            </w:r>
          </w:p>
        </w:tc>
        <w:tc>
          <w:tcPr>
            <w:tcW w:w="68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2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spacing w:after="0"/>
              <w:rPr>
                <w:sz w:val="24"/>
                <w:szCs w:val="24"/>
                <w:color w:val="auto"/>
              </w:rPr>
            </w:pPr>
          </w:p>
        </w:tc>
        <w:tc>
          <w:tcPr>
            <w:tcW w:w="5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r>
      <w:tr>
        <w:trPr>
          <w:trHeight w:val="290"/>
        </w:trPr>
        <w:tc>
          <w:tcPr>
            <w:tcW w:w="5980" w:type="dxa"/>
            <w:vAlign w:val="bottom"/>
            <w:tcBorders>
              <w:bottom w:val="single" w:sz="8" w:color="auto"/>
            </w:tcBorders>
            <w:shd w:val="clear" w:color="auto" w:fill="FEFEFE"/>
          </w:tcPr>
          <w:p>
            <w:pPr>
              <w:ind w:left="160"/>
              <w:spacing w:after="0"/>
              <w:rPr>
                <w:sz w:val="20"/>
                <w:szCs w:val="20"/>
                <w:color w:val="auto"/>
              </w:rPr>
            </w:pPr>
            <w:r>
              <w:rPr>
                <w:rFonts w:ascii="Arial" w:cs="Arial" w:eastAsia="Arial" w:hAnsi="Arial"/>
                <w:sz w:val="20"/>
                <w:szCs w:val="20"/>
                <w:color w:val="auto"/>
                <w:w w:val="97"/>
              </w:rPr>
              <w:t>Amorti ation of prior service cost and deferred (losses), net of taxes</w:t>
            </w:r>
          </w:p>
        </w:tc>
        <w:tc>
          <w:tcPr>
            <w:tcW w:w="68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spacing w:after="0"/>
              <w:rPr>
                <w:sz w:val="24"/>
                <w:szCs w:val="24"/>
                <w:color w:val="auto"/>
              </w:rPr>
            </w:pPr>
          </w:p>
        </w:tc>
        <w:tc>
          <w:tcPr>
            <w:tcW w:w="520" w:type="dxa"/>
            <w:vAlign w:val="bottom"/>
            <w:tcBorders>
              <w:bottom w:val="single" w:sz="8" w:color="auto"/>
            </w:tcBorders>
            <w:shd w:val="clear" w:color="auto" w:fill="FEFEFE"/>
          </w:tcPr>
          <w:p>
            <w:pPr>
              <w:spacing w:after="0"/>
              <w:rPr>
                <w:sz w:val="24"/>
                <w:szCs w:val="24"/>
                <w:color w:val="auto"/>
              </w:rPr>
            </w:pPr>
          </w:p>
        </w:tc>
        <w:tc>
          <w:tcPr>
            <w:tcW w:w="6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54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r>
      <w:tr>
        <w:trPr>
          <w:trHeight w:val="265"/>
        </w:trPr>
        <w:tc>
          <w:tcPr>
            <w:tcW w:w="598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alance, January 31, 2026</w:t>
            </w:r>
          </w:p>
        </w:tc>
        <w:tc>
          <w:tcPr>
            <w:tcW w:w="680" w:type="dxa"/>
            <w:vAlign w:val="bottom"/>
            <w:tcBorders>
              <w:bottom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374</w:t>
            </w:r>
          </w:p>
        </w:tc>
        <w:tc>
          <w:tcPr>
            <w:tcW w:w="520" w:type="dxa"/>
            <w:vAlign w:val="bottom"/>
            <w:tcBorders>
              <w:bottom w:val="single" w:sz="8" w:color="auto"/>
            </w:tcBorders>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23</w:t>
            </w:r>
          </w:p>
        </w:tc>
        <w:tc>
          <w:tcPr>
            <w:tcW w:w="540" w:type="dxa"/>
            <w:vAlign w:val="bottom"/>
            <w:tcBorders>
              <w:bottom w:val="single" w:sz="8" w:color="auto"/>
            </w:tcBorders>
            <w:shd w:val="clear" w:color="auto" w:fill="E4E4E4"/>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351</w:t>
            </w:r>
          </w:p>
        </w:tc>
      </w:tr>
    </w:tbl>
    <w:p>
      <w:pPr>
        <w:spacing w:after="0" w:line="200" w:lineRule="exact"/>
        <w:rPr>
          <w:sz w:val="20"/>
          <w:szCs w:val="20"/>
          <w:color w:val="auto"/>
        </w:rPr>
      </w:pPr>
    </w:p>
    <w:p>
      <w:pPr>
        <w:sectPr>
          <w:pgSz w:w="12240" w:h="15841" w:orient="portrait"/>
          <w:cols w:equalWidth="0" w:num="1">
            <w:col w:w="10260"/>
          </w:cols>
          <w:pgMar w:left="1000" w:top="771"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F-16</w:t>
      </w:r>
    </w:p>
    <w:p>
      <w:pPr>
        <w:sectPr>
          <w:pgSz w:w="12240" w:h="15841" w:orient="portrait"/>
          <w:cols w:equalWidth="0" w:num="1">
            <w:col w:w="10260"/>
          </w:cols>
          <w:pgMar w:left="1000" w:top="771" w:right="981" w:bottom="0" w:gutter="0" w:footer="0" w:header="0"/>
          <w:type w:val="continuous"/>
        </w:sectPr>
      </w:pPr>
    </w:p>
    <w:bookmarkStart w:id="72" w:name="page73"/>
    <w:bookmarkEnd w:id="72"/>
    <w:p>
      <w:pPr>
        <w:spacing w:after="0"/>
        <w:tabs>
          <w:tab w:leader="none" w:pos="680" w:val="left"/>
          <w:tab w:leader="none" w:pos="2860" w:val="left"/>
          <w:tab w:leader="none" w:pos="384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Note</w:t>
        <w:tab/>
        <w:t>. Capital Stoc  and</w:t>
        <w:tab/>
        <w:t>arnings</w:t>
      </w:r>
      <w:r>
        <w:rPr>
          <w:sz w:val="20"/>
          <w:szCs w:val="20"/>
          <w:color w:val="auto"/>
        </w:rPr>
        <w:tab/>
      </w:r>
      <w:r>
        <w:rPr>
          <w:rFonts w:ascii="Arial" w:cs="Arial" w:eastAsia="Arial" w:hAnsi="Arial"/>
          <w:sz w:val="22"/>
          <w:szCs w:val="22"/>
          <w:color w:val="auto"/>
        </w:rPr>
        <w:t>er Share</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i w:val="1"/>
          <w:iCs w:val="1"/>
          <w:color w:val="auto"/>
        </w:rPr>
        <w:t>Ca ital</w:t>
      </w:r>
      <w:r>
        <w:rPr>
          <w:sz w:val="20"/>
          <w:szCs w:val="20"/>
          <w:color w:val="auto"/>
        </w:rPr>
        <w:tab/>
      </w:r>
      <w:r>
        <w:rPr>
          <w:rFonts w:ascii="Arial" w:cs="Arial" w:eastAsia="Arial" w:hAnsi="Arial"/>
          <w:sz w:val="20"/>
          <w:szCs w:val="20"/>
          <w:i w:val="1"/>
          <w:iCs w:val="1"/>
          <w:color w:val="auto"/>
        </w:rPr>
        <w:t>toc</w:t>
      </w:r>
    </w:p>
    <w:p>
      <w:pPr>
        <w:spacing w:after="0" w:line="146" w:lineRule="exact"/>
        <w:rPr>
          <w:sz w:val="20"/>
          <w:szCs w:val="20"/>
          <w:color w:val="auto"/>
        </w:rPr>
      </w:pPr>
    </w:p>
    <w:p>
      <w:pPr>
        <w:ind w:right="360"/>
        <w:spacing w:after="0" w:line="309" w:lineRule="auto"/>
        <w:rPr>
          <w:sz w:val="20"/>
          <w:szCs w:val="20"/>
          <w:color w:val="auto"/>
        </w:rPr>
      </w:pPr>
      <w:r>
        <w:rPr>
          <w:rFonts w:ascii="Arial" w:cs="Arial" w:eastAsia="Arial" w:hAnsi="Arial"/>
          <w:sz w:val="18"/>
          <w:szCs w:val="18"/>
          <w:color w:val="auto"/>
        </w:rPr>
        <w:t>In February 2026, the Company announced that its Board of Directors had approved a new stock repurchase program that authori es the repurchase of up to an additional $3 billion of TJX common stock from time to time. nder this program and previously announced programs, TJX had approximately $4.1 billion available for repurchase as of January 31, 2026.</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share repurchases, excluding applicable excise tax: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2"/>
                <w:szCs w:val="22"/>
                <w:color w:val="auto"/>
              </w:rPr>
            </w:pPr>
          </w:p>
        </w:tc>
      </w:tr>
      <w:tr>
        <w:trPr>
          <w:trHeight w:val="212"/>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40" w:type="dxa"/>
            <w:vAlign w:val="bottom"/>
          </w:tcPr>
          <w:p>
            <w:pPr>
              <w:jc w:val="center"/>
              <w:ind w:right="60"/>
              <w:spacing w:after="0" w:line="212" w:lineRule="exact"/>
              <w:rPr>
                <w:sz w:val="20"/>
                <w:szCs w:val="20"/>
                <w:color w:val="auto"/>
              </w:rPr>
            </w:pPr>
            <w:r>
              <w:rPr>
                <w:rFonts w:ascii="Arial" w:cs="Arial" w:eastAsia="Arial" w:hAnsi="Arial"/>
                <w:sz w:val="20"/>
                <w:szCs w:val="20"/>
                <w:color w:val="auto"/>
                <w:w w:val="91"/>
              </w:rPr>
              <w:t>February 1,</w:t>
            </w:r>
          </w:p>
        </w:tc>
        <w:tc>
          <w:tcPr>
            <w:tcW w:w="180" w:type="dxa"/>
            <w:vAlign w:val="bottom"/>
          </w:tcPr>
          <w:p>
            <w:pPr>
              <w:spacing w:after="0"/>
              <w:rPr>
                <w:sz w:val="18"/>
                <w:szCs w:val="18"/>
                <w:color w:val="auto"/>
              </w:rPr>
            </w:pPr>
          </w:p>
        </w:tc>
        <w:tc>
          <w:tcPr>
            <w:tcW w:w="116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2024</w:t>
            </w:r>
          </w:p>
        </w:tc>
      </w:tr>
      <w:tr>
        <w:trPr>
          <w:trHeight w:val="290"/>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Total number of shares repurchased and retired</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18.5</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22.3</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2 .0</w:t>
            </w:r>
          </w:p>
        </w:tc>
      </w:tr>
      <w:tr>
        <w:trPr>
          <w:trHeight w:val="290"/>
        </w:trPr>
        <w:tc>
          <w:tcPr>
            <w:tcW w:w="63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Total cost</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2,506</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2,4 5</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2,484</w:t>
            </w:r>
          </w:p>
        </w:tc>
      </w:tr>
    </w:tbl>
    <w:p>
      <w:pPr>
        <w:spacing w:after="0" w:line="147" w:lineRule="exact"/>
        <w:rPr>
          <w:sz w:val="20"/>
          <w:szCs w:val="20"/>
          <w:color w:val="auto"/>
        </w:rPr>
      </w:pPr>
    </w:p>
    <w:p>
      <w:pPr>
        <w:ind w:right="680"/>
        <w:spacing w:after="0" w:line="283" w:lineRule="auto"/>
        <w:rPr>
          <w:sz w:val="20"/>
          <w:szCs w:val="20"/>
          <w:color w:val="auto"/>
        </w:rPr>
      </w:pPr>
      <w:r>
        <w:rPr>
          <w:rFonts w:ascii="Arial" w:cs="Arial" w:eastAsia="Arial" w:hAnsi="Arial"/>
          <w:sz w:val="20"/>
          <w:szCs w:val="20"/>
          <w:color w:val="auto"/>
        </w:rPr>
        <w:t>All shares repurchased under the stock repurchase programs have been retired. These expenditures were funded by cash generated from operations.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TJX has 5 million shares of authori ed but unissued preferred stock, $1 par value.</w:t>
      </w:r>
    </w:p>
    <w:p>
      <w:pPr>
        <w:spacing w:after="0" w:line="115" w:lineRule="exact"/>
        <w:rPr>
          <w:sz w:val="20"/>
          <w:szCs w:val="20"/>
          <w:color w:val="auto"/>
        </w:rPr>
      </w:pPr>
    </w:p>
    <w:p>
      <w:pPr>
        <w:ind w:left="140"/>
        <w:spacing w:after="0"/>
        <w:tabs>
          <w:tab w:leader="none" w:pos="1000" w:val="left"/>
          <w:tab w:leader="none" w:pos="1480" w:val="left"/>
        </w:tabs>
        <w:rPr>
          <w:sz w:val="20"/>
          <w:szCs w:val="20"/>
          <w:color w:val="auto"/>
        </w:rPr>
      </w:pPr>
      <w:r>
        <w:rPr>
          <w:rFonts w:ascii="Arial" w:cs="Arial" w:eastAsia="Arial" w:hAnsi="Arial"/>
          <w:sz w:val="22"/>
          <w:szCs w:val="22"/>
          <w:i w:val="1"/>
          <w:iCs w:val="1"/>
          <w:color w:val="auto"/>
        </w:rPr>
        <w:t>arnings</w:t>
        <w:tab/>
        <w:t>er</w:t>
      </w:r>
      <w:r>
        <w:rPr>
          <w:sz w:val="20"/>
          <w:szCs w:val="20"/>
          <w:color w:val="auto"/>
        </w:rPr>
        <w:tab/>
      </w:r>
      <w:r>
        <w:rPr>
          <w:rFonts w:ascii="Arial" w:cs="Arial" w:eastAsia="Arial" w:hAnsi="Arial"/>
          <w:sz w:val="20"/>
          <w:szCs w:val="20"/>
          <w:i w:val="1"/>
          <w:iCs w:val="1"/>
          <w:color w:val="auto"/>
        </w:rPr>
        <w:t>are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calculation of basic and diluted earnings per share:</w:t>
      </w:r>
    </w:p>
    <w:p>
      <w:pPr>
        <w:spacing w:after="0" w:line="98"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Fiscal Year Ended</w:t>
      </w:r>
    </w:p>
    <w:p>
      <w:pPr>
        <w:sectPr>
          <w:pgSz w:w="12240" w:h="15841" w:orient="portrait"/>
          <w:cols w:equalWidth="0" w:num="1">
            <w:col w:w="10260"/>
          </w:cols>
          <w:pgMar w:left="1000" w:top="771" w:right="981" w:bottom="0" w:gutter="0" w:footer="0" w:header="0"/>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34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20"/>
                <w:szCs w:val="20"/>
                <w:color w:val="auto"/>
                <w:w w:val="97"/>
              </w:rPr>
              <w:t>January 31,</w:t>
            </w:r>
          </w:p>
        </w:tc>
        <w:tc>
          <w:tcPr>
            <w:tcW w:w="130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20"/>
                <w:szCs w:val="20"/>
                <w:color w:val="auto"/>
                <w:w w:val="91"/>
              </w:rPr>
              <w:t>February 1,</w:t>
            </w:r>
          </w:p>
        </w:tc>
        <w:tc>
          <w:tcPr>
            <w:tcW w:w="132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20"/>
                <w:szCs w:val="20"/>
                <w:color w:val="auto"/>
                <w:w w:val="91"/>
              </w:rPr>
              <w:t>February 3,</w:t>
            </w:r>
          </w:p>
        </w:tc>
      </w:tr>
      <w:tr>
        <w:trPr>
          <w:trHeight w:val="263"/>
        </w:trPr>
        <w:tc>
          <w:tcPr>
            <w:tcW w:w="1340" w:type="dxa"/>
            <w:vAlign w:val="bottom"/>
          </w:tcPr>
          <w:p>
            <w:pPr>
              <w:jc w:val="right"/>
              <w:ind w:right="380"/>
              <w:spacing w:after="0"/>
              <w:rPr>
                <w:sz w:val="20"/>
                <w:szCs w:val="20"/>
                <w:color w:val="auto"/>
              </w:rPr>
            </w:pPr>
            <w:r>
              <w:rPr>
                <w:rFonts w:ascii="Arial" w:cs="Arial" w:eastAsia="Arial" w:hAnsi="Arial"/>
                <w:sz w:val="20"/>
                <w:szCs w:val="20"/>
                <w:color w:val="auto"/>
              </w:rPr>
              <w:t>2026</w:t>
            </w:r>
          </w:p>
        </w:tc>
        <w:tc>
          <w:tcPr>
            <w:tcW w:w="1300" w:type="dxa"/>
            <w:vAlign w:val="bottom"/>
          </w:tcPr>
          <w:p>
            <w:pPr>
              <w:jc w:val="right"/>
              <w:ind w:right="360"/>
              <w:spacing w:after="0"/>
              <w:rPr>
                <w:sz w:val="20"/>
                <w:szCs w:val="20"/>
                <w:color w:val="auto"/>
              </w:rPr>
            </w:pPr>
            <w:r>
              <w:rPr>
                <w:rFonts w:ascii="Arial" w:cs="Arial" w:eastAsia="Arial" w:hAnsi="Arial"/>
                <w:sz w:val="20"/>
                <w:szCs w:val="20"/>
                <w:color w:val="auto"/>
              </w:rPr>
              <w:t>2025</w:t>
            </w:r>
          </w:p>
        </w:tc>
        <w:tc>
          <w:tcPr>
            <w:tcW w:w="1320" w:type="dxa"/>
            <w:vAlign w:val="bottom"/>
          </w:tcPr>
          <w:p>
            <w:pPr>
              <w:jc w:val="right"/>
              <w:ind w:right="360"/>
              <w:spacing w:after="0"/>
              <w:rPr>
                <w:sz w:val="20"/>
                <w:szCs w:val="20"/>
                <w:color w:val="auto"/>
              </w:rPr>
            </w:pPr>
            <w:r>
              <w:rPr>
                <w:rFonts w:ascii="Arial" w:cs="Arial" w:eastAsia="Arial" w:hAnsi="Arial"/>
                <w:sz w:val="20"/>
                <w:szCs w:val="20"/>
                <w:color w:val="auto"/>
              </w:rPr>
              <w:t>2024</w:t>
            </w:r>
          </w:p>
        </w:tc>
      </w:tr>
    </w:tbl>
    <w:p>
      <w:pPr>
        <w:spacing w:after="0" w:line="1" w:lineRule="exact"/>
        <w:rPr>
          <w:sz w:val="20"/>
          <w:szCs w:val="20"/>
          <w:color w:val="auto"/>
        </w:rPr>
      </w:pPr>
    </w:p>
    <w:p>
      <w:pPr>
        <w:sectPr>
          <w:pgSz w:w="12240" w:h="15841" w:orient="portrait"/>
          <w:cols w:equalWidth="0" w:num="2">
            <w:col w:w="5580" w:space="720"/>
            <w:col w:w="3960"/>
          </w:cols>
          <w:pgMar w:left="1000" w:top="771" w:right="981"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6300" w:type="dxa"/>
            <w:vAlign w:val="bottom"/>
            <w:tcBorders>
              <w:top w:val="single" w:sz="8" w:color="auto"/>
            </w:tcBorders>
            <w:shd w:val="clear" w:color="auto" w:fill="FEFEFE"/>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shd w:val="clear" w:color="auto" w:fill="FEFEFE"/>
          </w:tcPr>
          <w:p>
            <w:pPr>
              <w:spacing w:after="0"/>
              <w:rPr>
                <w:sz w:val="24"/>
                <w:szCs w:val="24"/>
                <w:color w:val="auto"/>
              </w:rPr>
            </w:pPr>
          </w:p>
        </w:tc>
        <w:tc>
          <w:tcPr>
            <w:tcW w:w="1140" w:type="dxa"/>
            <w:vAlign w:val="bottom"/>
            <w:tcBorders>
              <w:top w:val="single" w:sz="8" w:color="auto"/>
            </w:tcBorders>
            <w:shd w:val="clear" w:color="auto" w:fill="FEFEFE"/>
          </w:tcPr>
          <w:p>
            <w:pPr>
              <w:jc w:val="right"/>
              <w:ind w:right="120"/>
              <w:spacing w:after="0"/>
              <w:rPr>
                <w:sz w:val="20"/>
                <w:szCs w:val="20"/>
                <w:color w:val="auto"/>
              </w:rPr>
            </w:pPr>
            <w:r>
              <w:rPr>
                <w:rFonts w:ascii="Arial" w:cs="Arial" w:eastAsia="Arial" w:hAnsi="Arial"/>
                <w:sz w:val="20"/>
                <w:szCs w:val="20"/>
                <w:color w:val="auto"/>
                <w:w w:val="91"/>
              </w:rPr>
              <w:t>(53 weeks)</w:t>
            </w:r>
          </w:p>
        </w:tc>
        <w:tc>
          <w:tcPr>
            <w:tcW w:w="0" w:type="dxa"/>
            <w:vAlign w:val="bottom"/>
          </w:tcPr>
          <w:p>
            <w:pPr>
              <w:spacing w:after="0"/>
              <w:rPr>
                <w:sz w:val="1"/>
                <w:szCs w:val="1"/>
                <w:color w:val="auto"/>
              </w:rPr>
            </w:pPr>
          </w:p>
        </w:tc>
      </w:tr>
      <w:tr>
        <w:trPr>
          <w:trHeight w:val="283"/>
        </w:trPr>
        <w:tc>
          <w:tcPr>
            <w:tcW w:w="6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i w:val="1"/>
                <w:iCs w:val="1"/>
                <w:color w:val="auto"/>
              </w:rPr>
              <w:t>Basic earnings per share:</w:t>
            </w:r>
          </w:p>
        </w:tc>
        <w:tc>
          <w:tcPr>
            <w:tcW w:w="4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480" w:type="dxa"/>
            <w:vAlign w:val="bottom"/>
            <w:tcBorders>
              <w:bottom w:val="single" w:sz="8" w:color="E4E4E4"/>
            </w:tcBorders>
            <w:shd w:val="clear" w:color="auto" w:fill="E4E4E4"/>
          </w:tcPr>
          <w:p>
            <w:pPr>
              <w:spacing w:after="0"/>
              <w:rPr>
                <w:sz w:val="24"/>
                <w:szCs w:val="24"/>
                <w:color w:val="auto"/>
              </w:rPr>
            </w:pPr>
          </w:p>
        </w:tc>
        <w:tc>
          <w:tcPr>
            <w:tcW w:w="8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Net income</w:t>
            </w:r>
          </w:p>
        </w:tc>
        <w:tc>
          <w:tcPr>
            <w:tcW w:w="46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5,494</w:t>
            </w:r>
          </w:p>
        </w:tc>
        <w:tc>
          <w:tcPr>
            <w:tcW w:w="48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4,864</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4,474</w:t>
            </w:r>
          </w:p>
        </w:tc>
        <w:tc>
          <w:tcPr>
            <w:tcW w:w="0" w:type="dxa"/>
            <w:vAlign w:val="bottom"/>
          </w:tcPr>
          <w:p>
            <w:pPr>
              <w:spacing w:after="0"/>
              <w:rPr>
                <w:sz w:val="1"/>
                <w:szCs w:val="1"/>
                <w:color w:val="auto"/>
              </w:rPr>
            </w:pPr>
          </w:p>
        </w:tc>
      </w:tr>
      <w:tr>
        <w:trPr>
          <w:trHeight w:val="204"/>
        </w:trPr>
        <w:tc>
          <w:tcPr>
            <w:tcW w:w="6300" w:type="dxa"/>
            <w:vAlign w:val="bottom"/>
            <w:shd w:val="clear" w:color="auto" w:fill="E4E4E4"/>
          </w:tcPr>
          <w:p>
            <w:pPr>
              <w:ind w:left="460"/>
              <w:spacing w:after="0" w:line="204" w:lineRule="exact"/>
              <w:rPr>
                <w:sz w:val="20"/>
                <w:szCs w:val="20"/>
                <w:color w:val="auto"/>
              </w:rPr>
            </w:pPr>
            <w:r>
              <w:rPr>
                <w:rFonts w:ascii="Arial" w:cs="Arial" w:eastAsia="Arial" w:hAnsi="Arial"/>
                <w:sz w:val="20"/>
                <w:szCs w:val="20"/>
                <w:color w:val="auto"/>
                <w:w w:val="97"/>
              </w:rPr>
              <w:t>eighted average common shares outstanding for basic earnings per</w:t>
            </w:r>
          </w:p>
        </w:tc>
        <w:tc>
          <w:tcPr>
            <w:tcW w:w="460" w:type="dxa"/>
            <w:vAlign w:val="bottom"/>
            <w:shd w:val="clear" w:color="auto" w:fill="E4E4E4"/>
          </w:tcPr>
          <w:p>
            <w:pPr>
              <w:spacing w:after="0"/>
              <w:rPr>
                <w:sz w:val="17"/>
                <w:szCs w:val="17"/>
                <w:color w:val="auto"/>
              </w:rPr>
            </w:pP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1,114</w:t>
            </w:r>
          </w:p>
        </w:tc>
        <w:tc>
          <w:tcPr>
            <w:tcW w:w="480" w:type="dxa"/>
            <w:vAlign w:val="bottom"/>
            <w:shd w:val="clear" w:color="auto" w:fill="E4E4E4"/>
          </w:tcPr>
          <w:p>
            <w:pPr>
              <w:spacing w:after="0"/>
              <w:rPr>
                <w:sz w:val="17"/>
                <w:szCs w:val="17"/>
                <w:color w:val="auto"/>
              </w:rPr>
            </w:pP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1,128</w:t>
            </w:r>
          </w:p>
        </w:tc>
        <w:tc>
          <w:tcPr>
            <w:tcW w:w="180" w:type="dxa"/>
            <w:vAlign w:val="bottom"/>
            <w:shd w:val="clear" w:color="auto" w:fill="E4E4E4"/>
          </w:tcPr>
          <w:p>
            <w:pPr>
              <w:spacing w:after="0"/>
              <w:rPr>
                <w:sz w:val="17"/>
                <w:szCs w:val="17"/>
                <w:color w:val="auto"/>
              </w:rPr>
            </w:pPr>
          </w:p>
        </w:tc>
        <w:tc>
          <w:tcPr>
            <w:tcW w:w="1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1,146</w:t>
            </w:r>
          </w:p>
        </w:tc>
        <w:tc>
          <w:tcPr>
            <w:tcW w:w="0" w:type="dxa"/>
            <w:vAlign w:val="bottom"/>
          </w:tcPr>
          <w:p>
            <w:pPr>
              <w:spacing w:after="0"/>
              <w:rPr>
                <w:sz w:val="1"/>
                <w:szCs w:val="1"/>
                <w:color w:val="auto"/>
              </w:rPr>
            </w:pPr>
          </w:p>
        </w:tc>
      </w:tr>
      <w:tr>
        <w:trPr>
          <w:trHeight w:val="281"/>
        </w:trPr>
        <w:tc>
          <w:tcPr>
            <w:tcW w:w="63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share calculation</w:t>
            </w:r>
          </w:p>
        </w:tc>
        <w:tc>
          <w:tcPr>
            <w:tcW w:w="460" w:type="dxa"/>
            <w:vAlign w:val="bottom"/>
            <w:shd w:val="clear" w:color="auto" w:fill="E4E4E4"/>
          </w:tcPr>
          <w:p>
            <w:pPr>
              <w:spacing w:after="0"/>
              <w:rPr>
                <w:sz w:val="24"/>
                <w:szCs w:val="24"/>
                <w:color w:val="auto"/>
              </w:rPr>
            </w:pPr>
          </w:p>
        </w:tc>
        <w:tc>
          <w:tcPr>
            <w:tcW w:w="840" w:type="dxa"/>
            <w:vAlign w:val="bottom"/>
            <w:vMerge w:val="continue"/>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300" w:type="dxa"/>
            <w:vAlign w:val="bottom"/>
            <w:shd w:val="clear" w:color="auto" w:fill="FEFEFE"/>
          </w:tcPr>
          <w:p>
            <w:pPr>
              <w:ind w:left="540"/>
              <w:spacing w:after="0"/>
              <w:rPr>
                <w:sz w:val="20"/>
                <w:szCs w:val="20"/>
                <w:color w:val="auto"/>
              </w:rPr>
            </w:pPr>
            <w:r>
              <w:rPr>
                <w:rFonts w:ascii="Arial" w:cs="Arial" w:eastAsia="Arial" w:hAnsi="Arial"/>
                <w:sz w:val="20"/>
                <w:szCs w:val="20"/>
                <w:color w:val="auto"/>
              </w:rPr>
              <w:t>Basic earnings per share</w:t>
            </w:r>
          </w:p>
        </w:tc>
        <w:tc>
          <w:tcPr>
            <w:tcW w:w="460" w:type="dxa"/>
            <w:vAlign w:val="bottom"/>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4.93</w:t>
            </w:r>
          </w:p>
        </w:tc>
        <w:tc>
          <w:tcPr>
            <w:tcW w:w="480" w:type="dxa"/>
            <w:vAlign w:val="bottom"/>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4.31</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3. 0</w:t>
            </w:r>
          </w:p>
        </w:tc>
        <w:tc>
          <w:tcPr>
            <w:tcW w:w="0" w:type="dxa"/>
            <w:vAlign w:val="bottom"/>
          </w:tcPr>
          <w:p>
            <w:pPr>
              <w:spacing w:after="0"/>
              <w:rPr>
                <w:sz w:val="1"/>
                <w:szCs w:val="1"/>
                <w:color w:val="auto"/>
              </w:rPr>
            </w:pPr>
          </w:p>
        </w:tc>
      </w:tr>
      <w:tr>
        <w:trPr>
          <w:trHeight w:val="286"/>
        </w:trPr>
        <w:tc>
          <w:tcPr>
            <w:tcW w:w="6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i w:val="1"/>
                <w:iCs w:val="1"/>
                <w:color w:val="auto"/>
              </w:rPr>
              <w:t>Diluted earnings per share:</w:t>
            </w:r>
          </w:p>
        </w:tc>
        <w:tc>
          <w:tcPr>
            <w:tcW w:w="4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480" w:type="dxa"/>
            <w:vAlign w:val="bottom"/>
            <w:tcBorders>
              <w:bottom w:val="single" w:sz="8" w:color="E4E4E4"/>
            </w:tcBorders>
            <w:shd w:val="clear" w:color="auto" w:fill="E4E4E4"/>
          </w:tcPr>
          <w:p>
            <w:pPr>
              <w:spacing w:after="0"/>
              <w:rPr>
                <w:sz w:val="24"/>
                <w:szCs w:val="24"/>
                <w:color w:val="auto"/>
              </w:rPr>
            </w:pPr>
          </w:p>
        </w:tc>
        <w:tc>
          <w:tcPr>
            <w:tcW w:w="8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Net income</w:t>
            </w:r>
          </w:p>
        </w:tc>
        <w:tc>
          <w:tcPr>
            <w:tcW w:w="46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5,494</w:t>
            </w:r>
          </w:p>
        </w:tc>
        <w:tc>
          <w:tcPr>
            <w:tcW w:w="480" w:type="dxa"/>
            <w:vAlign w:val="bottom"/>
            <w:tcBorders>
              <w:bottom w:val="single" w:sz="8" w:color="auto"/>
            </w:tcBorders>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4,864</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4,474</w:t>
            </w:r>
          </w:p>
        </w:tc>
        <w:tc>
          <w:tcPr>
            <w:tcW w:w="0" w:type="dxa"/>
            <w:vAlign w:val="bottom"/>
          </w:tcPr>
          <w:p>
            <w:pPr>
              <w:spacing w:after="0"/>
              <w:rPr>
                <w:sz w:val="1"/>
                <w:szCs w:val="1"/>
                <w:color w:val="auto"/>
              </w:rPr>
            </w:pPr>
          </w:p>
        </w:tc>
      </w:tr>
      <w:tr>
        <w:trPr>
          <w:trHeight w:val="204"/>
        </w:trPr>
        <w:tc>
          <w:tcPr>
            <w:tcW w:w="6300" w:type="dxa"/>
            <w:vAlign w:val="bottom"/>
            <w:shd w:val="clear" w:color="auto" w:fill="E4E4E4"/>
          </w:tcPr>
          <w:p>
            <w:pPr>
              <w:ind w:left="460"/>
              <w:spacing w:after="0" w:line="204" w:lineRule="exact"/>
              <w:rPr>
                <w:sz w:val="20"/>
                <w:szCs w:val="20"/>
                <w:color w:val="auto"/>
              </w:rPr>
            </w:pPr>
            <w:r>
              <w:rPr>
                <w:rFonts w:ascii="Arial" w:cs="Arial" w:eastAsia="Arial" w:hAnsi="Arial"/>
                <w:sz w:val="20"/>
                <w:szCs w:val="20"/>
                <w:color w:val="auto"/>
                <w:w w:val="97"/>
              </w:rPr>
              <w:t>eighted average common shares outstanding for basic earnings per</w:t>
            </w:r>
          </w:p>
        </w:tc>
        <w:tc>
          <w:tcPr>
            <w:tcW w:w="460" w:type="dxa"/>
            <w:vAlign w:val="bottom"/>
            <w:shd w:val="clear" w:color="auto" w:fill="E4E4E4"/>
          </w:tcPr>
          <w:p>
            <w:pPr>
              <w:spacing w:after="0"/>
              <w:rPr>
                <w:sz w:val="17"/>
                <w:szCs w:val="17"/>
                <w:color w:val="auto"/>
              </w:rPr>
            </w:pP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1,114</w:t>
            </w:r>
          </w:p>
        </w:tc>
        <w:tc>
          <w:tcPr>
            <w:tcW w:w="480" w:type="dxa"/>
            <w:vAlign w:val="bottom"/>
            <w:shd w:val="clear" w:color="auto" w:fill="E4E4E4"/>
          </w:tcPr>
          <w:p>
            <w:pPr>
              <w:spacing w:after="0"/>
              <w:rPr>
                <w:sz w:val="17"/>
                <w:szCs w:val="17"/>
                <w:color w:val="auto"/>
              </w:rPr>
            </w:pP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1,128</w:t>
            </w:r>
          </w:p>
        </w:tc>
        <w:tc>
          <w:tcPr>
            <w:tcW w:w="180" w:type="dxa"/>
            <w:vAlign w:val="bottom"/>
            <w:shd w:val="clear" w:color="auto" w:fill="E4E4E4"/>
          </w:tcPr>
          <w:p>
            <w:pPr>
              <w:spacing w:after="0"/>
              <w:rPr>
                <w:sz w:val="17"/>
                <w:szCs w:val="17"/>
                <w:color w:val="auto"/>
              </w:rPr>
            </w:pPr>
          </w:p>
        </w:tc>
        <w:tc>
          <w:tcPr>
            <w:tcW w:w="1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1,146</w:t>
            </w:r>
          </w:p>
        </w:tc>
        <w:tc>
          <w:tcPr>
            <w:tcW w:w="0" w:type="dxa"/>
            <w:vAlign w:val="bottom"/>
          </w:tcPr>
          <w:p>
            <w:pPr>
              <w:spacing w:after="0"/>
              <w:rPr>
                <w:sz w:val="1"/>
                <w:szCs w:val="1"/>
                <w:color w:val="auto"/>
              </w:rPr>
            </w:pPr>
          </w:p>
        </w:tc>
      </w:tr>
      <w:tr>
        <w:trPr>
          <w:trHeight w:val="281"/>
        </w:trPr>
        <w:tc>
          <w:tcPr>
            <w:tcW w:w="63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share calculation</w:t>
            </w:r>
          </w:p>
        </w:tc>
        <w:tc>
          <w:tcPr>
            <w:tcW w:w="460" w:type="dxa"/>
            <w:vAlign w:val="bottom"/>
            <w:shd w:val="clear" w:color="auto" w:fill="E4E4E4"/>
          </w:tcPr>
          <w:p>
            <w:pPr>
              <w:spacing w:after="0"/>
              <w:rPr>
                <w:sz w:val="24"/>
                <w:szCs w:val="24"/>
                <w:color w:val="auto"/>
              </w:rPr>
            </w:pPr>
          </w:p>
        </w:tc>
        <w:tc>
          <w:tcPr>
            <w:tcW w:w="840" w:type="dxa"/>
            <w:vAlign w:val="bottom"/>
            <w:vMerge w:val="continue"/>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4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3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Assumed exercise vesting of stock options and awards</w:t>
            </w:r>
          </w:p>
        </w:tc>
        <w:tc>
          <w:tcPr>
            <w:tcW w:w="46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48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18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04"/>
        </w:trPr>
        <w:tc>
          <w:tcPr>
            <w:tcW w:w="6300" w:type="dxa"/>
            <w:vAlign w:val="bottom"/>
            <w:shd w:val="clear" w:color="auto" w:fill="E4E4E4"/>
          </w:tcPr>
          <w:p>
            <w:pPr>
              <w:ind w:left="460"/>
              <w:spacing w:after="0" w:line="204" w:lineRule="exact"/>
              <w:rPr>
                <w:sz w:val="20"/>
                <w:szCs w:val="20"/>
                <w:color w:val="auto"/>
              </w:rPr>
            </w:pPr>
            <w:r>
              <w:rPr>
                <w:rFonts w:ascii="Arial" w:cs="Arial" w:eastAsia="Arial" w:hAnsi="Arial"/>
                <w:sz w:val="20"/>
                <w:szCs w:val="20"/>
                <w:color w:val="auto"/>
                <w:w w:val="95"/>
              </w:rPr>
              <w:t>eighted average common shares outstanding for diluted earnings per</w:t>
            </w:r>
          </w:p>
        </w:tc>
        <w:tc>
          <w:tcPr>
            <w:tcW w:w="460" w:type="dxa"/>
            <w:vAlign w:val="bottom"/>
            <w:shd w:val="clear" w:color="auto" w:fill="E4E4E4"/>
          </w:tcPr>
          <w:p>
            <w:pPr>
              <w:spacing w:after="0"/>
              <w:rPr>
                <w:sz w:val="17"/>
                <w:szCs w:val="17"/>
                <w:color w:val="auto"/>
              </w:rPr>
            </w:pPr>
          </w:p>
        </w:tc>
        <w:tc>
          <w:tcPr>
            <w:tcW w:w="8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1,128</w:t>
            </w:r>
          </w:p>
        </w:tc>
        <w:tc>
          <w:tcPr>
            <w:tcW w:w="480" w:type="dxa"/>
            <w:vAlign w:val="bottom"/>
            <w:shd w:val="clear" w:color="auto" w:fill="E4E4E4"/>
          </w:tcPr>
          <w:p>
            <w:pPr>
              <w:spacing w:after="0"/>
              <w:rPr>
                <w:sz w:val="17"/>
                <w:szCs w:val="17"/>
                <w:color w:val="auto"/>
              </w:rPr>
            </w:pP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1,142</w:t>
            </w:r>
          </w:p>
        </w:tc>
        <w:tc>
          <w:tcPr>
            <w:tcW w:w="180" w:type="dxa"/>
            <w:vAlign w:val="bottom"/>
            <w:shd w:val="clear" w:color="auto" w:fill="E4E4E4"/>
          </w:tcPr>
          <w:p>
            <w:pPr>
              <w:spacing w:after="0"/>
              <w:rPr>
                <w:sz w:val="17"/>
                <w:szCs w:val="17"/>
                <w:color w:val="auto"/>
              </w:rPr>
            </w:pPr>
          </w:p>
        </w:tc>
        <w:tc>
          <w:tcPr>
            <w:tcW w:w="1140" w:type="dxa"/>
            <w:vAlign w:val="bottom"/>
            <w:vMerge w:val="restart"/>
            <w:shd w:val="clear" w:color="auto" w:fill="E4E4E4"/>
          </w:tcPr>
          <w:p>
            <w:pPr>
              <w:jc w:val="right"/>
              <w:ind w:right="100"/>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71"/>
        </w:trPr>
        <w:tc>
          <w:tcPr>
            <w:tcW w:w="63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share calculation</w:t>
            </w:r>
          </w:p>
        </w:tc>
        <w:tc>
          <w:tcPr>
            <w:tcW w:w="460" w:type="dxa"/>
            <w:vAlign w:val="bottom"/>
            <w:tcBorders>
              <w:bottom w:val="single" w:sz="8" w:color="auto"/>
            </w:tcBorders>
            <w:shd w:val="clear" w:color="auto" w:fill="E4E4E4"/>
          </w:tcPr>
          <w:p>
            <w:pPr>
              <w:spacing w:after="0"/>
              <w:rPr>
                <w:sz w:val="23"/>
                <w:szCs w:val="23"/>
                <w:color w:val="auto"/>
              </w:rPr>
            </w:pPr>
          </w:p>
        </w:tc>
        <w:tc>
          <w:tcPr>
            <w:tcW w:w="840" w:type="dxa"/>
            <w:vAlign w:val="bottom"/>
            <w:tcBorders>
              <w:bottom w:val="single" w:sz="8" w:color="auto"/>
            </w:tcBorders>
            <w:vMerge w:val="continue"/>
            <w:shd w:val="clear" w:color="auto" w:fill="E4E4E4"/>
          </w:tcPr>
          <w:p>
            <w:pPr>
              <w:spacing w:after="0"/>
              <w:rPr>
                <w:sz w:val="23"/>
                <w:szCs w:val="23"/>
                <w:color w:val="auto"/>
              </w:rPr>
            </w:pPr>
          </w:p>
        </w:tc>
        <w:tc>
          <w:tcPr>
            <w:tcW w:w="480" w:type="dxa"/>
            <w:vAlign w:val="bottom"/>
            <w:tcBorders>
              <w:bottom w:val="single" w:sz="8" w:color="auto"/>
            </w:tcBorders>
            <w:shd w:val="clear" w:color="auto" w:fill="E4E4E4"/>
          </w:tcPr>
          <w:p>
            <w:pPr>
              <w:spacing w:after="0"/>
              <w:rPr>
                <w:sz w:val="23"/>
                <w:szCs w:val="23"/>
                <w:color w:val="auto"/>
              </w:rPr>
            </w:pPr>
          </w:p>
        </w:tc>
        <w:tc>
          <w:tcPr>
            <w:tcW w:w="860" w:type="dxa"/>
            <w:vAlign w:val="bottom"/>
            <w:tcBorders>
              <w:bottom w:val="single" w:sz="8" w:color="auto"/>
            </w:tcBorders>
            <w:vMerge w:val="continue"/>
            <w:shd w:val="clear" w:color="auto" w:fill="E4E4E4"/>
          </w:tcPr>
          <w:p>
            <w:pPr>
              <w:spacing w:after="0"/>
              <w:rPr>
                <w:sz w:val="23"/>
                <w:szCs w:val="23"/>
                <w:color w:val="auto"/>
              </w:rPr>
            </w:pPr>
          </w:p>
        </w:tc>
        <w:tc>
          <w:tcPr>
            <w:tcW w:w="180" w:type="dxa"/>
            <w:vAlign w:val="bottom"/>
            <w:tcBorders>
              <w:bottom w:val="single" w:sz="8" w:color="auto"/>
            </w:tcBorders>
            <w:shd w:val="clear" w:color="auto" w:fill="E4E4E4"/>
          </w:tcPr>
          <w:p>
            <w:pPr>
              <w:spacing w:after="0"/>
              <w:rPr>
                <w:sz w:val="23"/>
                <w:szCs w:val="23"/>
                <w:color w:val="auto"/>
              </w:rPr>
            </w:pPr>
          </w:p>
        </w:tc>
        <w:tc>
          <w:tcPr>
            <w:tcW w:w="1140" w:type="dxa"/>
            <w:vAlign w:val="bottom"/>
            <w:tcBorders>
              <w:bottom w:val="single" w:sz="8" w:color="auto"/>
            </w:tcBorders>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300" w:type="dxa"/>
            <w:vAlign w:val="bottom"/>
            <w:shd w:val="clear" w:color="auto" w:fill="FEFEFE"/>
          </w:tcPr>
          <w:p>
            <w:pPr>
              <w:ind w:left="540"/>
              <w:spacing w:after="0"/>
              <w:rPr>
                <w:sz w:val="20"/>
                <w:szCs w:val="20"/>
                <w:color w:val="auto"/>
              </w:rPr>
            </w:pPr>
            <w:r>
              <w:rPr>
                <w:rFonts w:ascii="Arial" w:cs="Arial" w:eastAsia="Arial" w:hAnsi="Arial"/>
                <w:sz w:val="20"/>
                <w:szCs w:val="20"/>
                <w:color w:val="auto"/>
              </w:rPr>
              <w:t>Diluted earnings per share</w:t>
            </w:r>
          </w:p>
        </w:tc>
        <w:tc>
          <w:tcPr>
            <w:tcW w:w="460" w:type="dxa"/>
            <w:vAlign w:val="bottom"/>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4.87</w:t>
            </w:r>
          </w:p>
        </w:tc>
        <w:tc>
          <w:tcPr>
            <w:tcW w:w="480" w:type="dxa"/>
            <w:vAlign w:val="bottom"/>
            <w:shd w:val="clear" w:color="auto" w:fill="FEFEFE"/>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4.26</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3.86</w:t>
            </w:r>
          </w:p>
        </w:tc>
        <w:tc>
          <w:tcPr>
            <w:tcW w:w="0" w:type="dxa"/>
            <w:vAlign w:val="bottom"/>
          </w:tcPr>
          <w:p>
            <w:pPr>
              <w:spacing w:after="0"/>
              <w:rPr>
                <w:sz w:val="1"/>
                <w:szCs w:val="1"/>
                <w:color w:val="auto"/>
              </w:rPr>
            </w:pPr>
          </w:p>
        </w:tc>
      </w:tr>
      <w:tr>
        <w:trPr>
          <w:trHeight w:val="296"/>
        </w:trPr>
        <w:tc>
          <w:tcPr>
            <w:tcW w:w="6300" w:type="dxa"/>
            <w:vAlign w:val="bottom"/>
            <w:tcBorders>
              <w:bottom w:val="single" w:sz="8" w:color="auto"/>
            </w:tcBorders>
            <w:shd w:val="clear" w:color="auto" w:fill="E4E4E4"/>
          </w:tcPr>
          <w:p>
            <w:pPr>
              <w:ind w:left="60"/>
              <w:spacing w:after="0"/>
              <w:rPr>
                <w:sz w:val="20"/>
                <w:szCs w:val="20"/>
                <w:color w:val="auto"/>
              </w:rPr>
            </w:pPr>
            <w:r>
              <w:rPr>
                <w:rFonts w:ascii="Arial" w:cs="Arial" w:eastAsia="Arial" w:hAnsi="Arial"/>
                <w:sz w:val="20"/>
                <w:szCs w:val="20"/>
                <w:i w:val="1"/>
                <w:iCs w:val="1"/>
                <w:color w:val="auto"/>
              </w:rPr>
              <w:t>Cash dividends declared per share</w:t>
            </w:r>
          </w:p>
        </w:tc>
        <w:tc>
          <w:tcPr>
            <w:tcW w:w="460" w:type="dxa"/>
            <w:vAlign w:val="bottom"/>
            <w:tcBorders>
              <w:bottom w:val="single" w:sz="8" w:color="auto"/>
            </w:tcBorders>
            <w:shd w:val="clear" w:color="auto" w:fill="E4E4E4"/>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1.70</w:t>
            </w:r>
          </w:p>
        </w:tc>
        <w:tc>
          <w:tcPr>
            <w:tcW w:w="480" w:type="dxa"/>
            <w:vAlign w:val="bottom"/>
            <w:tcBorders>
              <w:bottom w:val="single" w:sz="8" w:color="auto"/>
            </w:tcBorders>
            <w:shd w:val="clear" w:color="auto" w:fill="E4E4E4"/>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1.50</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3 million, 4 million, and 5 million such options excluded at the end of fiscal 2026, fiscal 2025 and fiscal 2024, respectively.</w:t>
      </w:r>
    </w:p>
    <w:p>
      <w:pPr>
        <w:sectPr>
          <w:pgSz w:w="12240" w:h="15841" w:orient="portrait"/>
          <w:cols w:equalWidth="0" w:num="1">
            <w:col w:w="10260"/>
          </w:cols>
          <w:pgMar w:left="1000" w:top="771"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F-17</w:t>
      </w:r>
    </w:p>
    <w:p>
      <w:pPr>
        <w:sectPr>
          <w:pgSz w:w="12240" w:h="15841" w:orient="portrait"/>
          <w:cols w:equalWidth="0" w:num="1">
            <w:col w:w="10260"/>
          </w:cols>
          <w:pgMar w:left="1000" w:top="771" w:right="981" w:bottom="0" w:gutter="0" w:footer="0" w:header="0"/>
          <w:type w:val="continuous"/>
        </w:sectPr>
      </w:pPr>
    </w:p>
    <w:bookmarkStart w:id="73" w:name="page74"/>
    <w:bookmarkEnd w:id="73"/>
    <w:p>
      <w:pPr>
        <w:spacing w:after="0"/>
        <w:tabs>
          <w:tab w:leader="none" w:pos="66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Note</w:t>
      </w:r>
      <w:r>
        <w:rPr>
          <w:sz w:val="20"/>
          <w:szCs w:val="20"/>
          <w:color w:val="auto"/>
        </w:rPr>
        <w:tab/>
      </w:r>
      <w:r>
        <w:rPr>
          <w:rFonts w:ascii="Arial" w:cs="Arial" w:eastAsia="Arial" w:hAnsi="Arial"/>
          <w:sz w:val="23"/>
          <w:szCs w:val="23"/>
          <w:color w:val="auto"/>
        </w:rPr>
        <w:t>. Financial Instruments</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 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 es all derivative instruments as either assets or liabilities in the Consolidated Balance Sheet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ualify for hedge accounting are reported in earnings in the period of the change. For derivatives that ualify for hedge accounting, changes in the fair value of the derivatives are either recorded in shareholders’ e uity as a component of Accumulated other comprehensive (loss) income or are recogni ed currently in earnings, along with an offsetting adjustment against the basis of the item being hedged. ains and losses on derivative instruments are reported in the Consolidated Statements of Cash Flows in operating activities, under ther, net.</w:t>
      </w:r>
    </w:p>
    <w:p>
      <w:pPr>
        <w:spacing w:after="0" w:line="65"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22"/>
          <w:szCs w:val="22"/>
          <w:i w:val="1"/>
          <w:iCs w:val="1"/>
          <w:color w:val="auto"/>
        </w:rPr>
        <w:t>iesel</w:t>
      </w:r>
      <w:r>
        <w:rPr>
          <w:sz w:val="20"/>
          <w:szCs w:val="20"/>
          <w:color w:val="auto"/>
        </w:rPr>
        <w:tab/>
      </w:r>
      <w:r>
        <w:rPr>
          <w:rFonts w:ascii="Arial" w:cs="Arial" w:eastAsia="Arial" w:hAnsi="Arial"/>
          <w:sz w:val="20"/>
          <w:szCs w:val="20"/>
          <w:i w:val="1"/>
          <w:iCs w:val="1"/>
          <w:color w:val="auto"/>
        </w:rPr>
        <w:t>uel Contracts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TJX hedges portions of its estimated notional diesel fuel re uirements based on the diesel fuel expected to be consumed 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2026, TJX entered into agreements to hedge a portion of its estimated notional diesel fuel re uirements for fiscal 2027. The hedge agreements outstanding at January 31, 2026 relate to approximately 50 of TJX’s estimated notional diesel fuel re uirements for fiscal 2027. These diesel fuel hedge agreements will settle throughout fiscal 2027 and the first month of fiscal 2028. pon settlement, the reali ed gains and losses on these contracts are offset by the reali ed gains and losses of the underlying item in Cost of sales, including buying and occupancy costs. TJX elected not to apply hedge accounting to these contracts.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oreign Currenc  Contracts</w:t>
      </w:r>
    </w:p>
    <w:p>
      <w:pPr>
        <w:spacing w:after="0" w:line="14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January 31, 2026 cover merchandise purchases the Company is committed to over the next several months in fiscal 2027. Additionally, TJX’s operations in Europe are subject to foreign currency exposure as a result of their buying function being centrali ed in the . . erchandise is purchased centrally in the . .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excess exposure. pon settlement, the reali ed gains and losses on these contracts are offset by the reali ed gains and losses of the underlying item in Cost of sales, including buying and occupancy costs.</w:t>
      </w:r>
    </w:p>
    <w:p>
      <w:pPr>
        <w:spacing w:after="0" w:line="66"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pon settlement, the reali ed gains and losses on these contracts are offset by the reali ed gains and losses of the underlying item in Selling, general and administrative expenses.</w:t>
      </w:r>
    </w:p>
    <w:p>
      <w:pPr>
        <w:sectPr>
          <w:pgSz w:w="12240" w:h="15841" w:orient="portrait"/>
          <w:cols w:equalWidth="0" w:num="1">
            <w:col w:w="10240"/>
          </w:cols>
          <w:pgMar w:left="1000" w:top="771"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2240" w:h="15841" w:orient="portrait"/>
          <w:cols w:equalWidth="0" w:num="1">
            <w:col w:w="10240"/>
          </w:cols>
          <w:pgMar w:left="1000" w:top="771" w:right="1001" w:bottom="0" w:gutter="0" w:footer="0" w:header="0"/>
          <w:type w:val="continuous"/>
        </w:sectPr>
      </w:pPr>
    </w:p>
    <w:bookmarkStart w:id="74" w:name="page75"/>
    <w:bookmarkEnd w:id="74"/>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 following is a summary of TJX’s derivative financial instruments, related fair value and balance sheet classification at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January 31, 2026:</w:t>
      </w:r>
    </w:p>
    <w:tbl>
      <w:tblPr>
        <w:tblLayout w:type="fixed"/>
        <w:tblInd w:w="0" w:type="dxa"/>
        <w:tblCellMar>
          <w:top w:w="0" w:type="dxa"/>
          <w:left w:w="0" w:type="dxa"/>
          <w:bottom w:w="0" w:type="dxa"/>
          <w:right w:w="0" w:type="dxa"/>
        </w:tblCellMar>
      </w:tblPr>
      <w:tr>
        <w:trPr>
          <w:trHeight w:val="225"/>
        </w:trPr>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vMerge w:val="restart"/>
          </w:tcPr>
          <w:p>
            <w:pPr>
              <w:ind w:left="100"/>
              <w:spacing w:after="0"/>
              <w:rPr>
                <w:sz w:val="20"/>
                <w:szCs w:val="20"/>
                <w:color w:val="auto"/>
              </w:rPr>
            </w:pPr>
            <w:r>
              <w:rPr>
                <w:rFonts w:ascii="Arial" w:cs="Arial" w:eastAsia="Arial" w:hAnsi="Arial"/>
                <w:sz w:val="20"/>
                <w:szCs w:val="20"/>
                <w:color w:val="auto"/>
              </w:rPr>
              <w:t>Blended</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ind w:right="180"/>
              <w:spacing w:after="0"/>
              <w:rPr>
                <w:sz w:val="20"/>
                <w:szCs w:val="20"/>
                <w:color w:val="auto"/>
              </w:rPr>
            </w:pPr>
            <w:r>
              <w:rPr>
                <w:rFonts w:ascii="Arial" w:cs="Arial" w:eastAsia="Arial" w:hAnsi="Arial"/>
                <w:sz w:val="20"/>
                <w:szCs w:val="20"/>
                <w:color w:val="auto"/>
                <w:w w:val="98"/>
              </w:rPr>
              <w:t>Current</w:t>
            </w:r>
          </w:p>
        </w:tc>
        <w:tc>
          <w:tcPr>
            <w:tcW w:w="20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Arial" w:cs="Arial" w:eastAsia="Arial" w:hAnsi="Arial"/>
                <w:sz w:val="20"/>
                <w:szCs w:val="20"/>
                <w:color w:val="auto"/>
              </w:rPr>
              <w:t>Current</w:t>
            </w:r>
          </w:p>
        </w:tc>
        <w:tc>
          <w:tcPr>
            <w:tcW w:w="1440" w:type="dxa"/>
            <w:vAlign w:val="bottom"/>
            <w:gridSpan w:val="2"/>
          </w:tcPr>
          <w:p>
            <w:pPr>
              <w:jc w:val="center"/>
              <w:spacing w:after="0" w:line="225" w:lineRule="exact"/>
              <w:rPr>
                <w:sz w:val="20"/>
                <w:szCs w:val="20"/>
                <w:color w:val="auto"/>
              </w:rPr>
            </w:pPr>
            <w:r>
              <w:rPr>
                <w:rFonts w:ascii="Arial" w:cs="Arial" w:eastAsia="Arial" w:hAnsi="Arial"/>
                <w:sz w:val="20"/>
                <w:szCs w:val="20"/>
                <w:color w:val="auto"/>
                <w:w w:val="98"/>
              </w:rPr>
              <w:t>Net Fair  alue</w:t>
            </w:r>
          </w:p>
        </w:tc>
        <w:tc>
          <w:tcPr>
            <w:tcW w:w="0" w:type="dxa"/>
            <w:vAlign w:val="bottom"/>
          </w:tcPr>
          <w:p>
            <w:pPr>
              <w:spacing w:after="0"/>
              <w:rPr>
                <w:sz w:val="1"/>
                <w:szCs w:val="1"/>
                <w:color w:val="auto"/>
              </w:rPr>
            </w:pPr>
          </w:p>
        </w:tc>
      </w:tr>
      <w:tr>
        <w:trPr>
          <w:trHeight w:val="200"/>
        </w:trPr>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300" w:type="dxa"/>
            <w:vAlign w:val="bottom"/>
            <w:vMerge w:val="restart"/>
          </w:tcPr>
          <w:p>
            <w:pPr>
              <w:ind w:left="40"/>
              <w:spacing w:after="0"/>
              <w:rPr>
                <w:sz w:val="20"/>
                <w:szCs w:val="20"/>
                <w:color w:val="auto"/>
              </w:rPr>
            </w:pPr>
            <w:r>
              <w:rPr>
                <w:rFonts w:ascii="Arial" w:cs="Arial" w:eastAsia="Arial" w:hAnsi="Arial"/>
                <w:sz w:val="20"/>
                <w:szCs w:val="20"/>
                <w:color w:val="auto"/>
                <w:w w:val="95"/>
              </w:rPr>
              <w:t>Balance Sheet</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tcPr>
          <w:p>
            <w:pPr>
              <w:jc w:val="right"/>
              <w:spacing w:after="0" w:line="200" w:lineRule="exact"/>
              <w:rPr>
                <w:sz w:val="20"/>
                <w:szCs w:val="20"/>
                <w:color w:val="auto"/>
              </w:rPr>
            </w:pPr>
            <w:r>
              <w:rPr>
                <w:rFonts w:ascii="Arial" w:cs="Arial" w:eastAsia="Arial" w:hAnsi="Arial"/>
                <w:sz w:val="20"/>
                <w:szCs w:val="20"/>
                <w:color w:val="auto"/>
              </w:rPr>
              <w:t>in</w:t>
            </w:r>
          </w:p>
        </w:tc>
        <w:tc>
          <w:tcPr>
            <w:tcW w:w="960" w:type="dxa"/>
            <w:vAlign w:val="bottom"/>
          </w:tcPr>
          <w:p>
            <w:pPr>
              <w:jc w:val="right"/>
              <w:ind w:right="180"/>
              <w:spacing w:after="0" w:line="200" w:lineRule="exact"/>
              <w:rPr>
                <w:sz w:val="20"/>
                <w:szCs w:val="20"/>
                <w:color w:val="auto"/>
              </w:rPr>
            </w:pPr>
            <w:r>
              <w:rPr>
                <w:rFonts w:ascii="Arial" w:cs="Arial" w:eastAsia="Arial" w:hAnsi="Arial"/>
                <w:sz w:val="20"/>
                <w:szCs w:val="20"/>
                <w:color w:val="auto"/>
              </w:rPr>
              <w:t>.S.$ at</w:t>
            </w:r>
          </w:p>
        </w:tc>
        <w:tc>
          <w:tcPr>
            <w:tcW w:w="0" w:type="dxa"/>
            <w:vAlign w:val="bottom"/>
          </w:tcPr>
          <w:p>
            <w:pPr>
              <w:spacing w:after="0"/>
              <w:rPr>
                <w:sz w:val="1"/>
                <w:szCs w:val="1"/>
                <w:color w:val="auto"/>
              </w:rPr>
            </w:pPr>
          </w:p>
        </w:tc>
      </w:tr>
      <w:tr>
        <w:trPr>
          <w:trHeight w:val="200"/>
        </w:trPr>
        <w:tc>
          <w:tcPr>
            <w:tcW w:w="960" w:type="dxa"/>
            <w:vAlign w:val="bottom"/>
          </w:tcPr>
          <w:p>
            <w:pPr>
              <w:spacing w:after="0"/>
              <w:rPr>
                <w:sz w:val="17"/>
                <w:szCs w:val="17"/>
                <w:color w:val="auto"/>
              </w:rPr>
            </w:pPr>
          </w:p>
        </w:tc>
        <w:tc>
          <w:tcPr>
            <w:tcW w:w="1380" w:type="dxa"/>
            <w:vAlign w:val="bottom"/>
            <w:vMerge w:val="restart"/>
          </w:tcPr>
          <w:p>
            <w:pPr>
              <w:jc w:val="center"/>
              <w:ind w:right="20"/>
              <w:spacing w:after="0"/>
              <w:rPr>
                <w:sz w:val="20"/>
                <w:szCs w:val="20"/>
                <w:color w:val="auto"/>
              </w:rPr>
            </w:pPr>
            <w:r>
              <w:rPr>
                <w:rFonts w:ascii="Arial" w:cs="Arial" w:eastAsia="Arial" w:hAnsi="Arial"/>
                <w:sz w:val="20"/>
                <w:szCs w:val="20"/>
                <w:color w:val="auto"/>
                <w:w w:val="86"/>
              </w:rPr>
              <w:t>Pay</w:t>
            </w:r>
          </w:p>
        </w:tc>
        <w:tc>
          <w:tcPr>
            <w:tcW w:w="1740" w:type="dxa"/>
            <w:vAlign w:val="bottom"/>
            <w:gridSpan w:val="2"/>
            <w:vMerge w:val="restart"/>
          </w:tcPr>
          <w:p>
            <w:pPr>
              <w:jc w:val="right"/>
              <w:ind w:right="520"/>
              <w:spacing w:after="0"/>
              <w:rPr>
                <w:sz w:val="20"/>
                <w:szCs w:val="20"/>
                <w:color w:val="auto"/>
              </w:rPr>
            </w:pPr>
            <w:r>
              <w:rPr>
                <w:rFonts w:ascii="Arial" w:cs="Arial" w:eastAsia="Arial" w:hAnsi="Arial"/>
                <w:sz w:val="20"/>
                <w:szCs w:val="20"/>
                <w:color w:val="auto"/>
              </w:rPr>
              <w:t>eceive</w:t>
            </w:r>
          </w:p>
        </w:tc>
        <w:tc>
          <w:tcPr>
            <w:tcW w:w="1020" w:type="dxa"/>
            <w:vAlign w:val="bottom"/>
          </w:tcPr>
          <w:p>
            <w:pPr>
              <w:ind w:left="80"/>
              <w:spacing w:after="0" w:line="200" w:lineRule="exact"/>
              <w:rPr>
                <w:sz w:val="20"/>
                <w:szCs w:val="20"/>
                <w:color w:val="auto"/>
              </w:rPr>
            </w:pPr>
            <w:r>
              <w:rPr>
                <w:rFonts w:ascii="Arial" w:cs="Arial" w:eastAsia="Arial" w:hAnsi="Arial"/>
                <w:sz w:val="20"/>
                <w:szCs w:val="20"/>
                <w:color w:val="auto"/>
              </w:rPr>
              <w:t>Contract</w:t>
            </w:r>
          </w:p>
        </w:tc>
        <w:tc>
          <w:tcPr>
            <w:tcW w:w="1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60"/>
              <w:spacing w:after="0" w:line="200" w:lineRule="exact"/>
              <w:rPr>
                <w:sz w:val="20"/>
                <w:szCs w:val="20"/>
                <w:color w:val="auto"/>
              </w:rPr>
            </w:pPr>
            <w:r>
              <w:rPr>
                <w:rFonts w:ascii="Arial" w:cs="Arial" w:eastAsia="Arial" w:hAnsi="Arial"/>
                <w:sz w:val="20"/>
                <w:szCs w:val="20"/>
                <w:color w:val="auto"/>
              </w:rPr>
              <w:t>Asset</w:t>
            </w:r>
          </w:p>
        </w:tc>
        <w:tc>
          <w:tcPr>
            <w:tcW w:w="200" w:type="dxa"/>
            <w:vAlign w:val="bottom"/>
          </w:tcPr>
          <w:p>
            <w:pPr>
              <w:spacing w:after="0"/>
              <w:rPr>
                <w:sz w:val="17"/>
                <w:szCs w:val="17"/>
                <w:color w:val="auto"/>
              </w:rPr>
            </w:pPr>
          </w:p>
        </w:tc>
        <w:tc>
          <w:tcPr>
            <w:tcW w:w="1000" w:type="dxa"/>
            <w:vAlign w:val="bottom"/>
          </w:tcPr>
          <w:p>
            <w:pPr>
              <w:jc w:val="right"/>
              <w:ind w:right="60"/>
              <w:spacing w:after="0" w:line="200" w:lineRule="exact"/>
              <w:rPr>
                <w:sz w:val="20"/>
                <w:szCs w:val="20"/>
                <w:color w:val="auto"/>
              </w:rPr>
            </w:pPr>
            <w:r>
              <w:rPr>
                <w:rFonts w:ascii="Arial" w:cs="Arial" w:eastAsia="Arial" w:hAnsi="Arial"/>
                <w:sz w:val="20"/>
                <w:szCs w:val="20"/>
                <w:color w:val="auto"/>
              </w:rPr>
              <w:t>(Liability)</w:t>
            </w:r>
          </w:p>
        </w:tc>
        <w:tc>
          <w:tcPr>
            <w:tcW w:w="1440" w:type="dxa"/>
            <w:vAlign w:val="bottom"/>
            <w:gridSpan w:val="2"/>
          </w:tcPr>
          <w:p>
            <w:pPr>
              <w:jc w:val="center"/>
              <w:spacing w:after="0" w:line="200" w:lineRule="exact"/>
              <w:rPr>
                <w:sz w:val="20"/>
                <w:szCs w:val="20"/>
                <w:color w:val="auto"/>
              </w:rPr>
            </w:pPr>
            <w:r>
              <w:rPr>
                <w:rFonts w:ascii="Arial" w:cs="Arial" w:eastAsia="Arial" w:hAnsi="Arial"/>
                <w:sz w:val="20"/>
                <w:szCs w:val="20"/>
                <w:color w:val="auto"/>
                <w:w w:val="87"/>
              </w:rPr>
              <w:t>January 31,</w:t>
            </w:r>
          </w:p>
        </w:tc>
        <w:tc>
          <w:tcPr>
            <w:tcW w:w="0" w:type="dxa"/>
            <w:vAlign w:val="bottom"/>
          </w:tcPr>
          <w:p>
            <w:pPr>
              <w:spacing w:after="0"/>
              <w:rPr>
                <w:sz w:val="1"/>
                <w:szCs w:val="1"/>
                <w:color w:val="auto"/>
              </w:rPr>
            </w:pPr>
          </w:p>
        </w:tc>
      </w:tr>
      <w:tr>
        <w:trPr>
          <w:trHeight w:val="263"/>
        </w:trPr>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380" w:type="dxa"/>
            <w:vAlign w:val="bottom"/>
            <w:tcBorders>
              <w:bottom w:val="single" w:sz="8" w:color="auto"/>
            </w:tcBorders>
            <w:vMerge w:val="continue"/>
          </w:tcPr>
          <w:p>
            <w:pPr>
              <w:spacing w:after="0"/>
              <w:rPr>
                <w:sz w:val="22"/>
                <w:szCs w:val="22"/>
                <w:color w:val="auto"/>
              </w:rPr>
            </w:pPr>
          </w:p>
        </w:tc>
        <w:tc>
          <w:tcPr>
            <w:tcW w:w="1740" w:type="dxa"/>
            <w:vAlign w:val="bottom"/>
            <w:tcBorders>
              <w:bottom w:val="single" w:sz="8" w:color="auto"/>
            </w:tcBorders>
            <w:gridSpan w:val="2"/>
            <w:vMerge w:val="continue"/>
          </w:tcPr>
          <w:p>
            <w:pPr>
              <w:spacing w:after="0"/>
              <w:rPr>
                <w:sz w:val="22"/>
                <w:szCs w:val="22"/>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ate</w:t>
            </w: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Location</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.S.$</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80"/>
              <w:spacing w:after="0"/>
              <w:rPr>
                <w:sz w:val="20"/>
                <w:szCs w:val="20"/>
                <w:color w:val="auto"/>
              </w:rPr>
            </w:pPr>
            <w:r>
              <w:rPr>
                <w:rFonts w:ascii="Arial" w:cs="Arial" w:eastAsia="Arial" w:hAnsi="Arial"/>
                <w:sz w:val="20"/>
                <w:szCs w:val="20"/>
                <w:color w:val="auto"/>
                <w:w w:val="89"/>
              </w:rPr>
              <w:t>2026</w:t>
            </w:r>
          </w:p>
        </w:tc>
        <w:tc>
          <w:tcPr>
            <w:tcW w:w="0" w:type="dxa"/>
            <w:vAlign w:val="bottom"/>
          </w:tcPr>
          <w:p>
            <w:pPr>
              <w:spacing w:after="0"/>
              <w:rPr>
                <w:sz w:val="1"/>
                <w:szCs w:val="1"/>
                <w:color w:val="auto"/>
              </w:rPr>
            </w:pPr>
          </w:p>
        </w:tc>
      </w:tr>
      <w:tr>
        <w:trPr>
          <w:trHeight w:val="275"/>
        </w:trPr>
        <w:tc>
          <w:tcPr>
            <w:tcW w:w="234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Fair value hedges:</w:t>
            </w:r>
          </w:p>
        </w:tc>
        <w:tc>
          <w:tcPr>
            <w:tcW w:w="980" w:type="dxa"/>
            <w:vAlign w:val="bottom"/>
            <w:shd w:val="clear" w:color="auto" w:fill="E4E4E4"/>
          </w:tcPr>
          <w:p>
            <w:pPr>
              <w:spacing w:after="0"/>
              <w:rPr>
                <w:sz w:val="23"/>
                <w:szCs w:val="23"/>
                <w:color w:val="auto"/>
              </w:rPr>
            </w:pPr>
          </w:p>
        </w:tc>
        <w:tc>
          <w:tcPr>
            <w:tcW w:w="760" w:type="dxa"/>
            <w:vAlign w:val="bottom"/>
            <w:shd w:val="clear" w:color="auto" w:fill="E4E4E4"/>
          </w:tcPr>
          <w:p>
            <w:pPr>
              <w:spacing w:after="0"/>
              <w:rPr>
                <w:sz w:val="23"/>
                <w:szCs w:val="23"/>
                <w:color w:val="auto"/>
              </w:rPr>
            </w:pPr>
          </w:p>
        </w:tc>
        <w:tc>
          <w:tcPr>
            <w:tcW w:w="1020" w:type="dxa"/>
            <w:vAlign w:val="bottom"/>
            <w:shd w:val="clear" w:color="auto" w:fill="E4E4E4"/>
          </w:tcPr>
          <w:p>
            <w:pPr>
              <w:spacing w:after="0"/>
              <w:rPr>
                <w:sz w:val="23"/>
                <w:szCs w:val="23"/>
                <w:color w:val="auto"/>
              </w:rPr>
            </w:pPr>
          </w:p>
        </w:tc>
        <w:tc>
          <w:tcPr>
            <w:tcW w:w="1300" w:type="dxa"/>
            <w:vAlign w:val="bottom"/>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200" w:type="dxa"/>
            <w:vAlign w:val="bottom"/>
            <w:shd w:val="clear" w:color="auto" w:fill="E4E4E4"/>
          </w:tcPr>
          <w:p>
            <w:pPr>
              <w:spacing w:after="0"/>
              <w:rPr>
                <w:sz w:val="23"/>
                <w:szCs w:val="23"/>
                <w:color w:val="auto"/>
              </w:rPr>
            </w:pPr>
          </w:p>
        </w:tc>
        <w:tc>
          <w:tcPr>
            <w:tcW w:w="1000" w:type="dxa"/>
            <w:vAlign w:val="bottom"/>
            <w:shd w:val="clear" w:color="auto" w:fill="E4E4E4"/>
          </w:tcPr>
          <w:p>
            <w:pPr>
              <w:spacing w:after="0"/>
              <w:rPr>
                <w:sz w:val="23"/>
                <w:szCs w:val="23"/>
                <w:color w:val="auto"/>
              </w:rPr>
            </w:pPr>
          </w:p>
        </w:tc>
        <w:tc>
          <w:tcPr>
            <w:tcW w:w="48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80" w:type="dxa"/>
            <w:vAlign w:val="bottom"/>
            <w:gridSpan w:val="4"/>
            <w:shd w:val="clear" w:color="auto" w:fill="FEFEFE"/>
          </w:tcPr>
          <w:p>
            <w:pPr>
              <w:ind w:left="280"/>
              <w:spacing w:after="0"/>
              <w:rPr>
                <w:sz w:val="20"/>
                <w:szCs w:val="20"/>
                <w:color w:val="auto"/>
              </w:rPr>
            </w:pPr>
            <w:r>
              <w:rPr>
                <w:rFonts w:ascii="Arial" w:cs="Arial" w:eastAsia="Arial" w:hAnsi="Arial"/>
                <w:sz w:val="20"/>
                <w:szCs w:val="20"/>
                <w:color w:val="auto"/>
              </w:rPr>
              <w:t>Intercompany balances, primarily debt:</w:t>
            </w:r>
          </w:p>
        </w:tc>
        <w:tc>
          <w:tcPr>
            <w:tcW w:w="1020" w:type="dxa"/>
            <w:vAlign w:val="bottom"/>
            <w:shd w:val="clear" w:color="auto" w:fill="FEFEFE"/>
          </w:tcPr>
          <w:p>
            <w:pPr>
              <w:spacing w:after="0"/>
              <w:rPr>
                <w:sz w:val="24"/>
                <w:szCs w:val="24"/>
                <w:color w:val="auto"/>
              </w:rPr>
            </w:pPr>
          </w:p>
        </w:tc>
        <w:tc>
          <w:tcPr>
            <w:tcW w:w="130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00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60" w:type="dxa"/>
            <w:vAlign w:val="bottom"/>
            <w:shd w:val="clear" w:color="auto" w:fill="E4E4E4"/>
          </w:tcPr>
          <w:p>
            <w:pPr>
              <w:spacing w:after="0"/>
              <w:rPr>
                <w:sz w:val="24"/>
                <w:szCs w:val="24"/>
                <w:color w:val="auto"/>
              </w:rPr>
            </w:pP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83</w:t>
            </w:r>
          </w:p>
        </w:tc>
        <w:tc>
          <w:tcPr>
            <w:tcW w:w="98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73</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0.875</w:t>
            </w:r>
          </w:p>
        </w:tc>
        <w:tc>
          <w:tcPr>
            <w:tcW w:w="1300" w:type="dxa"/>
            <w:vAlign w:val="bottom"/>
            <w:shd w:val="clear" w:color="auto" w:fill="E4E4E4"/>
          </w:tcPr>
          <w:p>
            <w:pPr>
              <w:ind w:left="12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0.9</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4E4E4"/>
          </w:tcPr>
          <w:p>
            <w:pPr>
              <w:spacing w:after="0"/>
              <w:rPr>
                <w:sz w:val="24"/>
                <w:szCs w:val="24"/>
                <w:color w:val="auto"/>
              </w:rPr>
            </w:pPr>
          </w:p>
        </w:tc>
        <w:tc>
          <w:tcPr>
            <w:tcW w:w="48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93"/>
        </w:trPr>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A$</w:t>
            </w:r>
          </w:p>
        </w:tc>
        <w:tc>
          <w:tcPr>
            <w:tcW w:w="13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240</w:t>
            </w:r>
          </w:p>
        </w:tc>
        <w:tc>
          <w:tcPr>
            <w:tcW w:w="980" w:type="dxa"/>
            <w:vAlign w:val="bottom"/>
            <w:shd w:val="clear" w:color="auto" w:fill="FEFEFE"/>
          </w:tcPr>
          <w:p>
            <w:pPr>
              <w:ind w:left="100"/>
              <w:spacing w:after="0"/>
              <w:rPr>
                <w:sz w:val="20"/>
                <w:szCs w:val="20"/>
                <w:color w:val="auto"/>
              </w:rPr>
            </w:pPr>
            <w:r>
              <w:rPr>
                <w:rFonts w:ascii="Arial" w:cs="Arial" w:eastAsia="Arial" w:hAnsi="Arial"/>
                <w:sz w:val="20"/>
                <w:szCs w:val="20"/>
                <w:color w:val="auto"/>
              </w:rPr>
              <w:t>.S.$</w:t>
            </w:r>
          </w:p>
        </w:tc>
        <w:tc>
          <w:tcPr>
            <w:tcW w:w="7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160</w:t>
            </w:r>
          </w:p>
        </w:tc>
        <w:tc>
          <w:tcPr>
            <w:tcW w:w="1020" w:type="dxa"/>
            <w:vAlign w:val="bottom"/>
            <w:shd w:val="clear" w:color="auto" w:fill="FEFEFE"/>
          </w:tcPr>
          <w:p>
            <w:pPr>
              <w:ind w:left="260"/>
              <w:spacing w:after="0"/>
              <w:rPr>
                <w:sz w:val="20"/>
                <w:szCs w:val="20"/>
                <w:color w:val="auto"/>
              </w:rPr>
            </w:pPr>
            <w:r>
              <w:rPr>
                <w:rFonts w:ascii="Arial" w:cs="Arial" w:eastAsia="Arial" w:hAnsi="Arial"/>
                <w:sz w:val="20"/>
                <w:szCs w:val="20"/>
                <w:color w:val="auto"/>
              </w:rPr>
              <w:t>0.6648</w:t>
            </w:r>
          </w:p>
        </w:tc>
        <w:tc>
          <w:tcPr>
            <w:tcW w:w="1300" w:type="dxa"/>
            <w:vAlign w:val="bottom"/>
            <w:shd w:val="clear" w:color="auto" w:fill="FEFEFE"/>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0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6.9</w:t>
            </w:r>
          </w:p>
        </w:tc>
        <w:tc>
          <w:tcPr>
            <w:tcW w:w="48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307"/>
        </w:trPr>
        <w:tc>
          <w:tcPr>
            <w:tcW w:w="960" w:type="dxa"/>
            <w:vAlign w:val="bottom"/>
            <w:shd w:val="clear" w:color="auto" w:fill="E4E4E4"/>
          </w:tcPr>
          <w:p>
            <w:pPr>
              <w:spacing w:after="0"/>
              <w:rPr>
                <w:sz w:val="24"/>
                <w:szCs w:val="24"/>
                <w:color w:val="auto"/>
              </w:rPr>
            </w:pP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200</w:t>
            </w:r>
          </w:p>
        </w:tc>
        <w:tc>
          <w:tcPr>
            <w:tcW w:w="980" w:type="dxa"/>
            <w:vAlign w:val="bottom"/>
            <w:shd w:val="clear" w:color="auto" w:fill="E4E4E4"/>
          </w:tcPr>
          <w:p>
            <w:pPr>
              <w:ind w:left="120"/>
              <w:spacing w:after="0"/>
              <w:rPr>
                <w:sz w:val="20"/>
                <w:szCs w:val="20"/>
                <w:color w:val="auto"/>
              </w:rPr>
            </w:pPr>
            <w:r>
              <w:rPr>
                <w:rFonts w:ascii="Arial" w:cs="Arial" w:eastAsia="Arial" w:hAnsi="Arial"/>
                <w:sz w:val="20"/>
                <w:szCs w:val="20"/>
                <w:color w:val="auto"/>
              </w:rPr>
              <w:t>.S.$</w:t>
            </w: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234</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1.1718</w:t>
            </w:r>
          </w:p>
        </w:tc>
        <w:tc>
          <w:tcPr>
            <w:tcW w:w="1300" w:type="dxa"/>
            <w:vAlign w:val="bottom"/>
            <w:shd w:val="clear" w:color="auto" w:fill="E4E4E4"/>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w:t>
            </w: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80"/>
        </w:trPr>
        <w:tc>
          <w:tcPr>
            <w:tcW w:w="5100" w:type="dxa"/>
            <w:vAlign w:val="bottom"/>
            <w:tcBorders>
              <w:bottom w:val="single" w:sz="8" w:color="FEFEFE"/>
            </w:tcBorders>
            <w:gridSpan w:val="5"/>
            <w:shd w:val="clear" w:color="auto" w:fill="FEFEFE"/>
          </w:tcPr>
          <w:p>
            <w:pPr>
              <w:ind w:left="40"/>
              <w:spacing w:after="0"/>
              <w:rPr>
                <w:sz w:val="20"/>
                <w:szCs w:val="20"/>
                <w:color w:val="auto"/>
              </w:rPr>
            </w:pPr>
            <w:r>
              <w:rPr>
                <w:rFonts w:ascii="Arial" w:cs="Arial" w:eastAsia="Arial" w:hAnsi="Arial"/>
                <w:sz w:val="20"/>
                <w:szCs w:val="20"/>
                <w:color w:val="auto"/>
                <w:w w:val="90"/>
              </w:rPr>
              <w:t>Economic hedges for which hedge accounting was not elected:</w:t>
            </w:r>
          </w:p>
        </w:tc>
        <w:tc>
          <w:tcPr>
            <w:tcW w:w="130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000" w:type="dxa"/>
            <w:vAlign w:val="bottom"/>
            <w:tcBorders>
              <w:bottom w:val="single" w:sz="8" w:color="FEFEFE"/>
            </w:tcBorders>
            <w:shd w:val="clear" w:color="auto" w:fill="FEFEFE"/>
          </w:tcPr>
          <w:p>
            <w:pPr>
              <w:spacing w:after="0"/>
              <w:rPr>
                <w:sz w:val="24"/>
                <w:szCs w:val="24"/>
                <w:color w:val="auto"/>
              </w:rPr>
            </w:pPr>
          </w:p>
        </w:tc>
        <w:tc>
          <w:tcPr>
            <w:tcW w:w="48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Diesel</w:t>
            </w:r>
          </w:p>
        </w:tc>
        <w:tc>
          <w:tcPr>
            <w:tcW w:w="1380" w:type="dxa"/>
            <w:vAlign w:val="bottom"/>
            <w:shd w:val="clear" w:color="auto" w:fill="E4E4E4"/>
          </w:tcPr>
          <w:p>
            <w:pPr>
              <w:jc w:val="center"/>
              <w:ind w:right="40"/>
              <w:spacing w:after="0"/>
              <w:rPr>
                <w:sz w:val="20"/>
                <w:szCs w:val="20"/>
                <w:color w:val="auto"/>
              </w:rPr>
            </w:pPr>
            <w:r>
              <w:rPr>
                <w:rFonts w:ascii="Arial" w:cs="Arial" w:eastAsia="Arial" w:hAnsi="Arial"/>
                <w:sz w:val="20"/>
                <w:szCs w:val="20"/>
                <w:color w:val="auto"/>
                <w:w w:val="93"/>
              </w:rPr>
              <w:t>Fixed on</w:t>
            </w:r>
          </w:p>
        </w:tc>
        <w:tc>
          <w:tcPr>
            <w:tcW w:w="1740" w:type="dxa"/>
            <w:vAlign w:val="bottom"/>
            <w:gridSpan w:val="2"/>
            <w:shd w:val="clear" w:color="auto" w:fill="E4E4E4"/>
          </w:tcPr>
          <w:p>
            <w:pPr>
              <w:jc w:val="right"/>
              <w:ind w:right="220"/>
              <w:spacing w:after="0"/>
              <w:rPr>
                <w:sz w:val="20"/>
                <w:szCs w:val="20"/>
                <w:color w:val="auto"/>
              </w:rPr>
            </w:pPr>
            <w:r>
              <w:rPr>
                <w:rFonts w:ascii="Arial" w:cs="Arial" w:eastAsia="Arial" w:hAnsi="Arial"/>
                <w:sz w:val="20"/>
                <w:szCs w:val="20"/>
                <w:color w:val="auto"/>
              </w:rPr>
              <w:t>Float on</w:t>
            </w:r>
          </w:p>
        </w:tc>
        <w:tc>
          <w:tcPr>
            <w:tcW w:w="1020" w:type="dxa"/>
            <w:vAlign w:val="bottom"/>
            <w:shd w:val="clear" w:color="auto" w:fill="E4E4E4"/>
          </w:tcPr>
          <w:p>
            <w:pPr>
              <w:spacing w:after="0"/>
              <w:rPr>
                <w:sz w:val="20"/>
                <w:szCs w:val="20"/>
                <w:color w:val="auto"/>
              </w:rPr>
            </w:pPr>
          </w:p>
        </w:tc>
        <w:tc>
          <w:tcPr>
            <w:tcW w:w="130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96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1000" w:type="dxa"/>
            <w:vAlign w:val="bottom"/>
            <w:shd w:val="clear" w:color="auto" w:fill="E4E4E4"/>
          </w:tcPr>
          <w:p>
            <w:pPr>
              <w:spacing w:after="0"/>
              <w:rPr>
                <w:sz w:val="20"/>
                <w:szCs w:val="20"/>
                <w:color w:val="auto"/>
              </w:rPr>
            </w:pPr>
          </w:p>
        </w:tc>
        <w:tc>
          <w:tcPr>
            <w:tcW w:w="480" w:type="dxa"/>
            <w:vAlign w:val="bottom"/>
            <w:shd w:val="clear" w:color="auto" w:fill="E4E4E4"/>
          </w:tcPr>
          <w:p>
            <w:pPr>
              <w:spacing w:after="0"/>
              <w:rPr>
                <w:sz w:val="20"/>
                <w:szCs w:val="20"/>
                <w:color w:val="auto"/>
              </w:rPr>
            </w:pPr>
          </w:p>
        </w:tc>
        <w:tc>
          <w:tcPr>
            <w:tcW w:w="9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shd w:val="clear" w:color="auto" w:fill="E4E4E4"/>
          </w:tcPr>
          <w:p>
            <w:pPr>
              <w:jc w:val="right"/>
              <w:spacing w:after="0" w:line="200" w:lineRule="exact"/>
              <w:rPr>
                <w:sz w:val="20"/>
                <w:szCs w:val="20"/>
                <w:color w:val="auto"/>
              </w:rPr>
            </w:pPr>
            <w:r>
              <w:rPr>
                <w:rFonts w:ascii="Arial" w:cs="Arial" w:eastAsia="Arial" w:hAnsi="Arial"/>
                <w:sz w:val="20"/>
                <w:szCs w:val="20"/>
                <w:color w:val="auto"/>
              </w:rPr>
              <w:t>fuel</w:t>
            </w:r>
          </w:p>
        </w:tc>
        <w:tc>
          <w:tcPr>
            <w:tcW w:w="1380" w:type="dxa"/>
            <w:vAlign w:val="bottom"/>
            <w:shd w:val="clear" w:color="auto" w:fill="E4E4E4"/>
          </w:tcPr>
          <w:p>
            <w:pPr>
              <w:jc w:val="right"/>
              <w:ind w:right="420"/>
              <w:spacing w:after="0" w:line="200" w:lineRule="exact"/>
              <w:rPr>
                <w:sz w:val="20"/>
                <w:szCs w:val="20"/>
                <w:color w:val="auto"/>
              </w:rPr>
            </w:pPr>
            <w:r>
              <w:rPr>
                <w:rFonts w:ascii="Arial" w:cs="Arial" w:eastAsia="Arial" w:hAnsi="Arial"/>
                <w:sz w:val="20"/>
                <w:szCs w:val="20"/>
                <w:color w:val="auto"/>
              </w:rPr>
              <w:t>3.2  - 3.</w:t>
            </w:r>
          </w:p>
        </w:tc>
        <w:tc>
          <w:tcPr>
            <w:tcW w:w="980" w:type="dxa"/>
            <w:vAlign w:val="bottom"/>
            <w:shd w:val="clear" w:color="auto" w:fill="E4E4E4"/>
          </w:tcPr>
          <w:p>
            <w:pPr>
              <w:ind w:left="580"/>
              <w:spacing w:after="0" w:line="200" w:lineRule="exact"/>
              <w:rPr>
                <w:sz w:val="20"/>
                <w:szCs w:val="20"/>
                <w:color w:val="auto"/>
              </w:rPr>
            </w:pPr>
            <w:r>
              <w:rPr>
                <w:rFonts w:ascii="Arial" w:cs="Arial" w:eastAsia="Arial" w:hAnsi="Arial"/>
                <w:sz w:val="20"/>
                <w:szCs w:val="20"/>
                <w:color w:val="auto"/>
              </w:rPr>
              <w:t>3.2</w:t>
            </w:r>
          </w:p>
        </w:tc>
        <w:tc>
          <w:tcPr>
            <w:tcW w:w="760" w:type="dxa"/>
            <w:vAlign w:val="bottom"/>
            <w:shd w:val="clear" w:color="auto" w:fill="E4E4E4"/>
          </w:tcPr>
          <w:p>
            <w:pPr>
              <w:jc w:val="right"/>
              <w:ind w:right="320"/>
              <w:spacing w:after="0" w:line="200" w:lineRule="exact"/>
              <w:rPr>
                <w:sz w:val="20"/>
                <w:szCs w:val="20"/>
                <w:color w:val="auto"/>
              </w:rPr>
            </w:pPr>
            <w:r>
              <w:rPr>
                <w:rFonts w:ascii="Arial" w:cs="Arial" w:eastAsia="Arial" w:hAnsi="Arial"/>
                <w:sz w:val="20"/>
                <w:szCs w:val="20"/>
                <w:color w:val="auto"/>
              </w:rPr>
              <w:t>- 3.</w:t>
            </w:r>
          </w:p>
        </w:tc>
        <w:tc>
          <w:tcPr>
            <w:tcW w:w="1020" w:type="dxa"/>
            <w:vAlign w:val="bottom"/>
            <w:vMerge w:val="restart"/>
            <w:shd w:val="clear" w:color="auto" w:fill="E4E4E4"/>
          </w:tcPr>
          <w:p>
            <w:pPr>
              <w:ind w:left="500"/>
              <w:spacing w:after="0"/>
              <w:rPr>
                <w:sz w:val="20"/>
                <w:szCs w:val="20"/>
                <w:color w:val="auto"/>
              </w:rPr>
            </w:pPr>
            <w:r>
              <w:rPr>
                <w:rFonts w:ascii="Arial" w:cs="Arial" w:eastAsia="Arial" w:hAnsi="Arial"/>
                <w:sz w:val="20"/>
                <w:szCs w:val="20"/>
                <w:color w:val="auto"/>
              </w:rPr>
              <w:t>N A</w:t>
            </w:r>
          </w:p>
        </w:tc>
        <w:tc>
          <w:tcPr>
            <w:tcW w:w="1300" w:type="dxa"/>
            <w:vAlign w:val="bottom"/>
            <w:vMerge w:val="restart"/>
            <w:shd w:val="clear" w:color="auto" w:fill="E4E4E4"/>
          </w:tcPr>
          <w:p>
            <w:pPr>
              <w:ind w:left="12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E4E4E4"/>
          </w:tcPr>
          <w:p>
            <w:pPr>
              <w:spacing w:after="0"/>
              <w:rPr>
                <w:sz w:val="17"/>
                <w:szCs w:val="17"/>
                <w:color w:val="auto"/>
              </w:rPr>
            </w:pP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6.2</w:t>
            </w:r>
          </w:p>
        </w:tc>
        <w:tc>
          <w:tcPr>
            <w:tcW w:w="20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480" w:type="dxa"/>
            <w:vAlign w:val="bottom"/>
            <w:shd w:val="clear" w:color="auto" w:fill="E4E4E4"/>
          </w:tcPr>
          <w:p>
            <w:pPr>
              <w:spacing w:after="0"/>
              <w:rPr>
                <w:sz w:val="17"/>
                <w:szCs w:val="17"/>
                <w:color w:val="auto"/>
              </w:rPr>
            </w:pP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73"/>
        </w:trPr>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contracts</w:t>
            </w:r>
          </w:p>
        </w:tc>
        <w:tc>
          <w:tcPr>
            <w:tcW w:w="1380" w:type="dxa"/>
            <w:vAlign w:val="bottom"/>
            <w:shd w:val="clear" w:color="auto" w:fill="E4E4E4"/>
          </w:tcPr>
          <w:p>
            <w:pPr>
              <w:jc w:val="center"/>
              <w:ind w:right="40"/>
              <w:spacing w:after="0"/>
              <w:rPr>
                <w:sz w:val="20"/>
                <w:szCs w:val="20"/>
                <w:color w:val="auto"/>
              </w:rPr>
            </w:pPr>
            <w:r>
              <w:rPr>
                <w:rFonts w:ascii="Arial" w:cs="Arial" w:eastAsia="Arial" w:hAnsi="Arial"/>
                <w:sz w:val="20"/>
                <w:szCs w:val="20"/>
                <w:color w:val="auto"/>
                <w:w w:val="91"/>
              </w:rPr>
              <w:t>gal per month</w:t>
            </w:r>
          </w:p>
        </w:tc>
        <w:tc>
          <w:tcPr>
            <w:tcW w:w="17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gal per month</w:t>
            </w:r>
          </w:p>
        </w:tc>
        <w:tc>
          <w:tcPr>
            <w:tcW w:w="1020" w:type="dxa"/>
            <w:vAlign w:val="bottom"/>
            <w:vMerge w:val="continue"/>
            <w:shd w:val="clear" w:color="auto" w:fill="E4E4E4"/>
          </w:tcPr>
          <w:p>
            <w:pPr>
              <w:spacing w:after="0"/>
              <w:rPr>
                <w:sz w:val="23"/>
                <w:szCs w:val="23"/>
                <w:color w:val="auto"/>
              </w:rPr>
            </w:pPr>
          </w:p>
        </w:tc>
        <w:tc>
          <w:tcPr>
            <w:tcW w:w="1300" w:type="dxa"/>
            <w:vAlign w:val="bottom"/>
            <w:vMerge w:val="continue"/>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960" w:type="dxa"/>
            <w:vAlign w:val="bottom"/>
            <w:vMerge w:val="continue"/>
            <w:shd w:val="clear" w:color="auto" w:fill="E4E4E4"/>
          </w:tcPr>
          <w:p>
            <w:pPr>
              <w:spacing w:after="0"/>
              <w:rPr>
                <w:sz w:val="23"/>
                <w:szCs w:val="23"/>
                <w:color w:val="auto"/>
              </w:rPr>
            </w:pPr>
          </w:p>
        </w:tc>
        <w:tc>
          <w:tcPr>
            <w:tcW w:w="200" w:type="dxa"/>
            <w:vAlign w:val="bottom"/>
            <w:shd w:val="clear" w:color="auto" w:fill="E4E4E4"/>
          </w:tcPr>
          <w:p>
            <w:pPr>
              <w:spacing w:after="0"/>
              <w:rPr>
                <w:sz w:val="23"/>
                <w:szCs w:val="23"/>
                <w:color w:val="auto"/>
              </w:rPr>
            </w:pPr>
          </w:p>
        </w:tc>
        <w:tc>
          <w:tcPr>
            <w:tcW w:w="1000" w:type="dxa"/>
            <w:vAlign w:val="bottom"/>
            <w:shd w:val="clear" w:color="auto" w:fill="E4E4E4"/>
          </w:tcPr>
          <w:p>
            <w:pPr>
              <w:spacing w:after="0"/>
              <w:rPr>
                <w:sz w:val="23"/>
                <w:szCs w:val="23"/>
                <w:color w:val="auto"/>
              </w:rPr>
            </w:pPr>
          </w:p>
        </w:tc>
        <w:tc>
          <w:tcPr>
            <w:tcW w:w="480" w:type="dxa"/>
            <w:vAlign w:val="bottom"/>
            <w:shd w:val="clear" w:color="auto" w:fill="E4E4E4"/>
          </w:tcPr>
          <w:p>
            <w:pPr>
              <w:spacing w:after="0"/>
              <w:rPr>
                <w:sz w:val="23"/>
                <w:szCs w:val="23"/>
                <w:color w:val="auto"/>
              </w:rPr>
            </w:pPr>
          </w:p>
        </w:tc>
        <w:tc>
          <w:tcPr>
            <w:tcW w:w="96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00" w:type="dxa"/>
            <w:vAlign w:val="bottom"/>
            <w:tcBorders>
              <w:bottom w:val="single" w:sz="8" w:color="FEFEFE"/>
            </w:tcBorders>
            <w:gridSpan w:val="6"/>
            <w:shd w:val="clear" w:color="auto" w:fill="FEFEFE"/>
          </w:tcPr>
          <w:p>
            <w:pPr>
              <w:ind w:left="260"/>
              <w:spacing w:after="0"/>
              <w:rPr>
                <w:sz w:val="20"/>
                <w:szCs w:val="20"/>
                <w:color w:val="auto"/>
              </w:rPr>
            </w:pPr>
            <w:r>
              <w:rPr>
                <w:rFonts w:ascii="Arial" w:cs="Arial" w:eastAsia="Arial" w:hAnsi="Arial"/>
                <w:sz w:val="20"/>
                <w:szCs w:val="20"/>
                <w:color w:val="auto"/>
              </w:rPr>
              <w:t>Intercompany billings in TJX International, primarily merchandise:</w:t>
            </w:r>
          </w:p>
        </w:tc>
        <w:tc>
          <w:tcPr>
            <w:tcW w:w="26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000" w:type="dxa"/>
            <w:vAlign w:val="bottom"/>
            <w:tcBorders>
              <w:bottom w:val="single" w:sz="8" w:color="FEFEFE"/>
            </w:tcBorders>
            <w:shd w:val="clear" w:color="auto" w:fill="FEFEFE"/>
          </w:tcPr>
          <w:p>
            <w:pPr>
              <w:spacing w:after="0"/>
              <w:rPr>
                <w:sz w:val="24"/>
                <w:szCs w:val="24"/>
                <w:color w:val="auto"/>
              </w:rPr>
            </w:pPr>
          </w:p>
        </w:tc>
        <w:tc>
          <w:tcPr>
            <w:tcW w:w="48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60" w:type="dxa"/>
            <w:vAlign w:val="bottom"/>
            <w:shd w:val="clear" w:color="auto" w:fill="E4E4E4"/>
          </w:tcPr>
          <w:p>
            <w:pPr>
              <w:spacing w:after="0"/>
              <w:rPr>
                <w:sz w:val="24"/>
                <w:szCs w:val="24"/>
                <w:color w:val="auto"/>
              </w:rPr>
            </w:pP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111</w:t>
            </w:r>
          </w:p>
        </w:tc>
        <w:tc>
          <w:tcPr>
            <w:tcW w:w="98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0.8680</w:t>
            </w:r>
          </w:p>
        </w:tc>
        <w:tc>
          <w:tcPr>
            <w:tcW w:w="1300" w:type="dxa"/>
            <w:vAlign w:val="bottom"/>
            <w:shd w:val="clear" w:color="auto" w:fill="E4E4E4"/>
          </w:tcPr>
          <w:p>
            <w:pPr>
              <w:ind w:left="12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0.2</w:t>
            </w: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spacing w:after="0"/>
              <w:rPr>
                <w:sz w:val="24"/>
                <w:szCs w:val="24"/>
                <w:color w:val="auto"/>
              </w:rPr>
            </w:pP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80"/>
        </w:trPr>
        <w:tc>
          <w:tcPr>
            <w:tcW w:w="4080" w:type="dxa"/>
            <w:vAlign w:val="bottom"/>
            <w:tcBorders>
              <w:bottom w:val="single" w:sz="8" w:color="FEFEFE"/>
            </w:tcBorders>
            <w:gridSpan w:val="4"/>
            <w:shd w:val="clear" w:color="auto" w:fill="FEFEFE"/>
          </w:tcPr>
          <w:p>
            <w:pPr>
              <w:ind w:left="260"/>
              <w:spacing w:after="0"/>
              <w:rPr>
                <w:sz w:val="20"/>
                <w:szCs w:val="20"/>
                <w:color w:val="auto"/>
              </w:rPr>
            </w:pPr>
            <w:r>
              <w:rPr>
                <w:rFonts w:ascii="Arial" w:cs="Arial" w:eastAsia="Arial" w:hAnsi="Arial"/>
                <w:sz w:val="20"/>
                <w:szCs w:val="20"/>
                <w:color w:val="auto"/>
                <w:w w:val="97"/>
              </w:rPr>
              <w:t>Intercompany balances in TJX International:</w:t>
            </w:r>
          </w:p>
        </w:tc>
        <w:tc>
          <w:tcPr>
            <w:tcW w:w="1020" w:type="dxa"/>
            <w:vAlign w:val="bottom"/>
            <w:tcBorders>
              <w:bottom w:val="single" w:sz="8" w:color="FEFEFE"/>
            </w:tcBorders>
            <w:shd w:val="clear" w:color="auto" w:fill="FEFEFE"/>
          </w:tcPr>
          <w:p>
            <w:pPr>
              <w:spacing w:after="0"/>
              <w:rPr>
                <w:sz w:val="24"/>
                <w:szCs w:val="24"/>
                <w:color w:val="auto"/>
              </w:rPr>
            </w:pPr>
          </w:p>
        </w:tc>
        <w:tc>
          <w:tcPr>
            <w:tcW w:w="130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000" w:type="dxa"/>
            <w:vAlign w:val="bottom"/>
            <w:tcBorders>
              <w:bottom w:val="single" w:sz="8" w:color="FEFEFE"/>
            </w:tcBorders>
            <w:shd w:val="clear" w:color="auto" w:fill="FEFEFE"/>
          </w:tcPr>
          <w:p>
            <w:pPr>
              <w:spacing w:after="0"/>
              <w:rPr>
                <w:sz w:val="24"/>
                <w:szCs w:val="24"/>
                <w:color w:val="auto"/>
              </w:rPr>
            </w:pPr>
          </w:p>
        </w:tc>
        <w:tc>
          <w:tcPr>
            <w:tcW w:w="48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60" w:type="dxa"/>
            <w:vAlign w:val="bottom"/>
            <w:shd w:val="clear" w:color="auto" w:fill="E4E4E4"/>
          </w:tcPr>
          <w:p>
            <w:pPr>
              <w:spacing w:after="0"/>
              <w:rPr>
                <w:sz w:val="24"/>
                <w:szCs w:val="24"/>
                <w:color w:val="auto"/>
              </w:rPr>
            </w:pP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168</w:t>
            </w:r>
          </w:p>
        </w:tc>
        <w:tc>
          <w:tcPr>
            <w:tcW w:w="980" w:type="dxa"/>
            <w:vAlign w:val="bottom"/>
            <w:shd w:val="clear" w:color="auto" w:fill="E4E4E4"/>
          </w:tcPr>
          <w:p>
            <w:pPr>
              <w:ind w:left="100"/>
              <w:spacing w:after="0"/>
              <w:rPr>
                <w:sz w:val="20"/>
                <w:szCs w:val="20"/>
                <w:color w:val="auto"/>
              </w:rPr>
            </w:pPr>
            <w:r>
              <w:rPr>
                <w:rFonts w:ascii="Arial" w:cs="Arial" w:eastAsia="Arial" w:hAnsi="Arial"/>
                <w:sz w:val="20"/>
                <w:szCs w:val="20"/>
                <w:color w:val="auto"/>
              </w:rPr>
              <w:t>.S.$</w:t>
            </w: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226</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1.3472</w:t>
            </w:r>
          </w:p>
        </w:tc>
        <w:tc>
          <w:tcPr>
            <w:tcW w:w="1300" w:type="dxa"/>
            <w:vAlign w:val="bottom"/>
            <w:shd w:val="clear" w:color="auto" w:fill="E4E4E4"/>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3.6</w:t>
            </w: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80"/>
        </w:trPr>
        <w:tc>
          <w:tcPr>
            <w:tcW w:w="3320" w:type="dxa"/>
            <w:vAlign w:val="bottom"/>
            <w:tcBorders>
              <w:bottom w:val="single" w:sz="8" w:color="FEFEFE"/>
            </w:tcBorders>
            <w:gridSpan w:val="3"/>
            <w:shd w:val="clear" w:color="auto" w:fill="FEFEFE"/>
          </w:tcPr>
          <w:p>
            <w:pPr>
              <w:ind w:left="440"/>
              <w:spacing w:after="0"/>
              <w:rPr>
                <w:sz w:val="20"/>
                <w:szCs w:val="20"/>
                <w:color w:val="auto"/>
              </w:rPr>
            </w:pPr>
            <w:r>
              <w:rPr>
                <w:rFonts w:ascii="Arial" w:cs="Arial" w:eastAsia="Arial" w:hAnsi="Arial"/>
                <w:sz w:val="20"/>
                <w:szCs w:val="20"/>
                <w:color w:val="auto"/>
                <w:w w:val="90"/>
              </w:rPr>
              <w:t>erchandise purchase commitments:</w:t>
            </w:r>
          </w:p>
        </w:tc>
        <w:tc>
          <w:tcPr>
            <w:tcW w:w="760" w:type="dxa"/>
            <w:vAlign w:val="bottom"/>
            <w:tcBorders>
              <w:bottom w:val="single" w:sz="8" w:color="FEFEFE"/>
            </w:tcBorders>
            <w:shd w:val="clear" w:color="auto" w:fill="FEFEFE"/>
          </w:tcPr>
          <w:p>
            <w:pPr>
              <w:spacing w:after="0"/>
              <w:rPr>
                <w:sz w:val="24"/>
                <w:szCs w:val="24"/>
                <w:color w:val="auto"/>
              </w:rPr>
            </w:pPr>
          </w:p>
        </w:tc>
        <w:tc>
          <w:tcPr>
            <w:tcW w:w="1020" w:type="dxa"/>
            <w:vAlign w:val="bottom"/>
            <w:tcBorders>
              <w:bottom w:val="single" w:sz="8" w:color="FEFEFE"/>
            </w:tcBorders>
            <w:shd w:val="clear" w:color="auto" w:fill="FEFEFE"/>
          </w:tcPr>
          <w:p>
            <w:pPr>
              <w:spacing w:after="0"/>
              <w:rPr>
                <w:sz w:val="24"/>
                <w:szCs w:val="24"/>
                <w:color w:val="auto"/>
              </w:rPr>
            </w:pPr>
          </w:p>
        </w:tc>
        <w:tc>
          <w:tcPr>
            <w:tcW w:w="130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000" w:type="dxa"/>
            <w:vAlign w:val="bottom"/>
            <w:tcBorders>
              <w:bottom w:val="single" w:sz="8" w:color="FEFEFE"/>
            </w:tcBorders>
            <w:shd w:val="clear" w:color="auto" w:fill="FEFEFE"/>
          </w:tcPr>
          <w:p>
            <w:pPr>
              <w:spacing w:after="0"/>
              <w:rPr>
                <w:sz w:val="24"/>
                <w:szCs w:val="24"/>
                <w:color w:val="auto"/>
              </w:rPr>
            </w:pPr>
          </w:p>
        </w:tc>
        <w:tc>
          <w:tcPr>
            <w:tcW w:w="480" w:type="dxa"/>
            <w:vAlign w:val="bottom"/>
            <w:tcBorders>
              <w:bottom w:val="single" w:sz="8" w:color="FEFEFE"/>
            </w:tcBorders>
            <w:shd w:val="clear" w:color="auto" w:fill="FEFEFE"/>
          </w:tcPr>
          <w:p>
            <w:pPr>
              <w:spacing w:after="0"/>
              <w:rPr>
                <w:sz w:val="24"/>
                <w:szCs w:val="24"/>
                <w:color w:val="auto"/>
              </w:rPr>
            </w:pPr>
          </w:p>
        </w:tc>
        <w:tc>
          <w:tcPr>
            <w:tcW w:w="960" w:type="dxa"/>
            <w:vAlign w:val="bottom"/>
            <w:tcBorders>
              <w:bottom w:val="single" w:sz="8" w:color="FEFEFE"/>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6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980" w:type="dxa"/>
            <w:vAlign w:val="bottom"/>
            <w:shd w:val="clear" w:color="auto" w:fill="E4E4E4"/>
          </w:tcPr>
          <w:p>
            <w:pPr>
              <w:spacing w:after="0"/>
              <w:rPr>
                <w:sz w:val="20"/>
                <w:szCs w:val="20"/>
                <w:color w:val="auto"/>
              </w:rPr>
            </w:pPr>
          </w:p>
        </w:tc>
        <w:tc>
          <w:tcPr>
            <w:tcW w:w="7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1300" w:type="dxa"/>
            <w:vAlign w:val="bottom"/>
            <w:shd w:val="clear" w:color="auto" w:fill="E4E4E4"/>
          </w:tcPr>
          <w:p>
            <w:pPr>
              <w:ind w:left="6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E4E4E4"/>
          </w:tcPr>
          <w:p>
            <w:pPr>
              <w:spacing w:after="0"/>
              <w:rPr>
                <w:sz w:val="20"/>
                <w:szCs w:val="20"/>
                <w:color w:val="auto"/>
              </w:rPr>
            </w:pPr>
          </w:p>
        </w:tc>
        <w:tc>
          <w:tcPr>
            <w:tcW w:w="96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1000" w:type="dxa"/>
            <w:vAlign w:val="bottom"/>
            <w:shd w:val="clear" w:color="auto" w:fill="E4E4E4"/>
          </w:tcPr>
          <w:p>
            <w:pPr>
              <w:spacing w:after="0"/>
              <w:rPr>
                <w:sz w:val="20"/>
                <w:szCs w:val="20"/>
                <w:color w:val="auto"/>
              </w:rPr>
            </w:pPr>
          </w:p>
        </w:tc>
        <w:tc>
          <w:tcPr>
            <w:tcW w:w="480" w:type="dxa"/>
            <w:vAlign w:val="bottom"/>
            <w:shd w:val="clear" w:color="auto" w:fill="E4E4E4"/>
          </w:tcPr>
          <w:p>
            <w:pPr>
              <w:spacing w:after="0"/>
              <w:rPr>
                <w:sz w:val="20"/>
                <w:szCs w:val="20"/>
                <w:color w:val="auto"/>
              </w:rPr>
            </w:pPr>
          </w:p>
        </w:tc>
        <w:tc>
          <w:tcPr>
            <w:tcW w:w="9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C$</w:t>
            </w: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856</w:t>
            </w:r>
          </w:p>
        </w:tc>
        <w:tc>
          <w:tcPr>
            <w:tcW w:w="980" w:type="dxa"/>
            <w:vAlign w:val="bottom"/>
            <w:shd w:val="clear" w:color="auto" w:fill="E4E4E4"/>
          </w:tcPr>
          <w:p>
            <w:pPr>
              <w:ind w:left="100"/>
              <w:spacing w:after="0"/>
              <w:rPr>
                <w:sz w:val="20"/>
                <w:szCs w:val="20"/>
                <w:color w:val="auto"/>
              </w:rPr>
            </w:pPr>
            <w:r>
              <w:rPr>
                <w:rFonts w:ascii="Arial" w:cs="Arial" w:eastAsia="Arial" w:hAnsi="Arial"/>
                <w:sz w:val="20"/>
                <w:szCs w:val="20"/>
                <w:color w:val="auto"/>
              </w:rPr>
              <w:t>.S.$</w:t>
            </w: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620</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0.7241</w:t>
            </w:r>
          </w:p>
        </w:tc>
        <w:tc>
          <w:tcPr>
            <w:tcW w:w="1300" w:type="dxa"/>
            <w:vAlign w:val="bottom"/>
            <w:shd w:val="clear" w:color="auto" w:fill="E4E4E4"/>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0.1</w:t>
            </w: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10.8</w:t>
            </w: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52"/>
        </w:trPr>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C$</w:t>
            </w:r>
          </w:p>
        </w:tc>
        <w:tc>
          <w:tcPr>
            <w:tcW w:w="1380" w:type="dxa"/>
            <w:vAlign w:val="bottom"/>
            <w:vMerge w:val="restart"/>
            <w:shd w:val="clear" w:color="auto" w:fill="FEFEFE"/>
          </w:tcPr>
          <w:p>
            <w:pPr>
              <w:jc w:val="right"/>
              <w:ind w:right="120"/>
              <w:spacing w:after="0"/>
              <w:rPr>
                <w:sz w:val="20"/>
                <w:szCs w:val="20"/>
                <w:color w:val="auto"/>
              </w:rPr>
            </w:pPr>
            <w:r>
              <w:rPr>
                <w:rFonts w:ascii="Arial" w:cs="Arial" w:eastAsia="Arial" w:hAnsi="Arial"/>
                <w:sz w:val="20"/>
                <w:szCs w:val="20"/>
                <w:color w:val="auto"/>
              </w:rPr>
              <w:t>37</w:t>
            </w:r>
          </w:p>
        </w:tc>
        <w:tc>
          <w:tcPr>
            <w:tcW w:w="980" w:type="dxa"/>
            <w:vAlign w:val="bottom"/>
            <w:shd w:val="clear" w:color="auto" w:fill="FEFEFE"/>
          </w:tcPr>
          <w:p>
            <w:pPr>
              <w:spacing w:after="0"/>
              <w:rPr>
                <w:sz w:val="21"/>
                <w:szCs w:val="21"/>
                <w:color w:val="auto"/>
              </w:rPr>
            </w:pPr>
          </w:p>
        </w:tc>
        <w:tc>
          <w:tcPr>
            <w:tcW w:w="7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23</w:t>
            </w:r>
          </w:p>
        </w:tc>
        <w:tc>
          <w:tcPr>
            <w:tcW w:w="1020" w:type="dxa"/>
            <w:vAlign w:val="bottom"/>
            <w:vMerge w:val="restart"/>
            <w:shd w:val="clear" w:color="auto" w:fill="FEFEFE"/>
          </w:tcPr>
          <w:p>
            <w:pPr>
              <w:ind w:left="260"/>
              <w:spacing w:after="0"/>
              <w:rPr>
                <w:sz w:val="20"/>
                <w:szCs w:val="20"/>
                <w:color w:val="auto"/>
              </w:rPr>
            </w:pPr>
            <w:r>
              <w:rPr>
                <w:rFonts w:ascii="Arial" w:cs="Arial" w:eastAsia="Arial" w:hAnsi="Arial"/>
                <w:sz w:val="20"/>
                <w:szCs w:val="20"/>
                <w:color w:val="auto"/>
              </w:rPr>
              <w:t>0.6176</w:t>
            </w:r>
          </w:p>
        </w:tc>
        <w:tc>
          <w:tcPr>
            <w:tcW w:w="1300" w:type="dxa"/>
            <w:vAlign w:val="bottom"/>
            <w:shd w:val="clear" w:color="auto" w:fill="FEFEFE"/>
          </w:tcPr>
          <w:p>
            <w:pPr>
              <w:ind w:left="6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FEFEFE"/>
          </w:tcPr>
          <w:p>
            <w:pPr>
              <w:spacing w:after="0"/>
              <w:rPr>
                <w:sz w:val="21"/>
                <w:szCs w:val="21"/>
                <w:color w:val="auto"/>
              </w:rPr>
            </w:pPr>
          </w:p>
        </w:tc>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0.0</w:t>
            </w:r>
          </w:p>
        </w:tc>
        <w:tc>
          <w:tcPr>
            <w:tcW w:w="200" w:type="dxa"/>
            <w:vAlign w:val="bottom"/>
            <w:shd w:val="clear" w:color="auto" w:fill="FEFEFE"/>
          </w:tcPr>
          <w:p>
            <w:pPr>
              <w:spacing w:after="0"/>
              <w:rPr>
                <w:sz w:val="21"/>
                <w:szCs w:val="21"/>
                <w:color w:val="auto"/>
              </w:rPr>
            </w:pPr>
          </w:p>
        </w:tc>
        <w:tc>
          <w:tcPr>
            <w:tcW w:w="10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480" w:type="dxa"/>
            <w:vAlign w:val="bottom"/>
            <w:shd w:val="clear" w:color="auto" w:fill="FEFEFE"/>
          </w:tcPr>
          <w:p>
            <w:pPr>
              <w:spacing w:after="0"/>
              <w:rPr>
                <w:sz w:val="21"/>
                <w:szCs w:val="21"/>
                <w:color w:val="auto"/>
              </w:rPr>
            </w:pPr>
          </w:p>
        </w:tc>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67"/>
        </w:trPr>
        <w:tc>
          <w:tcPr>
            <w:tcW w:w="960" w:type="dxa"/>
            <w:vAlign w:val="bottom"/>
            <w:vMerge w:val="continue"/>
            <w:shd w:val="clear" w:color="auto" w:fill="FEFEFE"/>
          </w:tcPr>
          <w:p>
            <w:pPr>
              <w:spacing w:after="0"/>
              <w:rPr>
                <w:sz w:val="23"/>
                <w:szCs w:val="23"/>
                <w:color w:val="auto"/>
              </w:rPr>
            </w:pPr>
          </w:p>
        </w:tc>
        <w:tc>
          <w:tcPr>
            <w:tcW w:w="1380" w:type="dxa"/>
            <w:vAlign w:val="bottom"/>
            <w:vMerge w:val="continue"/>
            <w:shd w:val="clear" w:color="auto" w:fill="FEFEFE"/>
          </w:tcPr>
          <w:p>
            <w:pPr>
              <w:spacing w:after="0"/>
              <w:rPr>
                <w:sz w:val="23"/>
                <w:szCs w:val="23"/>
                <w:color w:val="auto"/>
              </w:rPr>
            </w:pPr>
          </w:p>
        </w:tc>
        <w:tc>
          <w:tcPr>
            <w:tcW w:w="980" w:type="dxa"/>
            <w:vAlign w:val="bottom"/>
            <w:shd w:val="clear" w:color="auto" w:fill="FEFEFE"/>
          </w:tcPr>
          <w:p>
            <w:pPr>
              <w:spacing w:after="0"/>
              <w:rPr>
                <w:sz w:val="23"/>
                <w:szCs w:val="23"/>
                <w:color w:val="auto"/>
              </w:rPr>
            </w:pPr>
          </w:p>
        </w:tc>
        <w:tc>
          <w:tcPr>
            <w:tcW w:w="760" w:type="dxa"/>
            <w:vAlign w:val="bottom"/>
            <w:vMerge w:val="continue"/>
            <w:shd w:val="clear" w:color="auto" w:fill="FEFEFE"/>
          </w:tcPr>
          <w:p>
            <w:pPr>
              <w:spacing w:after="0"/>
              <w:rPr>
                <w:sz w:val="23"/>
                <w:szCs w:val="23"/>
                <w:color w:val="auto"/>
              </w:rPr>
            </w:pPr>
          </w:p>
        </w:tc>
        <w:tc>
          <w:tcPr>
            <w:tcW w:w="1020" w:type="dxa"/>
            <w:vAlign w:val="bottom"/>
            <w:vMerge w:val="continue"/>
            <w:shd w:val="clear" w:color="auto" w:fill="FEFEFE"/>
          </w:tcPr>
          <w:p>
            <w:pPr>
              <w:spacing w:after="0"/>
              <w:rPr>
                <w:sz w:val="23"/>
                <w:szCs w:val="23"/>
                <w:color w:val="auto"/>
              </w:rPr>
            </w:pPr>
          </w:p>
        </w:tc>
        <w:tc>
          <w:tcPr>
            <w:tcW w:w="1300" w:type="dxa"/>
            <w:vAlign w:val="bottom"/>
            <w:shd w:val="clear" w:color="auto" w:fill="FEFEFE"/>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FEFEFE"/>
          </w:tcPr>
          <w:p>
            <w:pPr>
              <w:spacing w:after="0"/>
              <w:rPr>
                <w:sz w:val="23"/>
                <w:szCs w:val="23"/>
                <w:color w:val="auto"/>
              </w:rPr>
            </w:pPr>
          </w:p>
        </w:tc>
        <w:tc>
          <w:tcPr>
            <w:tcW w:w="960" w:type="dxa"/>
            <w:vAlign w:val="bottom"/>
            <w:vMerge w:val="continue"/>
            <w:shd w:val="clear" w:color="auto" w:fill="FEFEFE"/>
          </w:tcPr>
          <w:p>
            <w:pPr>
              <w:spacing w:after="0"/>
              <w:rPr>
                <w:sz w:val="23"/>
                <w:szCs w:val="23"/>
                <w:color w:val="auto"/>
              </w:rPr>
            </w:pPr>
          </w:p>
        </w:tc>
        <w:tc>
          <w:tcPr>
            <w:tcW w:w="200" w:type="dxa"/>
            <w:vAlign w:val="bottom"/>
            <w:shd w:val="clear" w:color="auto" w:fill="FEFEFE"/>
          </w:tcPr>
          <w:p>
            <w:pPr>
              <w:spacing w:after="0"/>
              <w:rPr>
                <w:sz w:val="23"/>
                <w:szCs w:val="23"/>
                <w:color w:val="auto"/>
              </w:rPr>
            </w:pPr>
          </w:p>
        </w:tc>
        <w:tc>
          <w:tcPr>
            <w:tcW w:w="1000" w:type="dxa"/>
            <w:vAlign w:val="bottom"/>
            <w:vMerge w:val="continue"/>
            <w:shd w:val="clear" w:color="auto" w:fill="FEFEFE"/>
          </w:tcPr>
          <w:p>
            <w:pPr>
              <w:spacing w:after="0"/>
              <w:rPr>
                <w:sz w:val="23"/>
                <w:szCs w:val="23"/>
                <w:color w:val="auto"/>
              </w:rPr>
            </w:pPr>
          </w:p>
        </w:tc>
        <w:tc>
          <w:tcPr>
            <w:tcW w:w="480" w:type="dxa"/>
            <w:vAlign w:val="bottom"/>
            <w:shd w:val="clear" w:color="auto" w:fill="FEFEFE"/>
          </w:tcPr>
          <w:p>
            <w:pPr>
              <w:spacing w:after="0"/>
              <w:rPr>
                <w:sz w:val="23"/>
                <w:szCs w:val="23"/>
                <w:color w:val="auto"/>
              </w:rPr>
            </w:pPr>
          </w:p>
        </w:tc>
        <w:tc>
          <w:tcPr>
            <w:tcW w:w="96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960" w:type="dxa"/>
            <w:vAlign w:val="bottom"/>
            <w:shd w:val="clear" w:color="auto" w:fill="E4E4E4"/>
          </w:tcPr>
          <w:p>
            <w:pPr>
              <w:spacing w:after="0"/>
              <w:rPr>
                <w:sz w:val="24"/>
                <w:szCs w:val="24"/>
                <w:color w:val="auto"/>
              </w:rPr>
            </w:pP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572</w:t>
            </w:r>
          </w:p>
        </w:tc>
        <w:tc>
          <w:tcPr>
            <w:tcW w:w="980" w:type="dxa"/>
            <w:vAlign w:val="bottom"/>
            <w:shd w:val="clear" w:color="auto" w:fill="E4E4E4"/>
          </w:tcPr>
          <w:p>
            <w:pPr>
              <w:ind w:left="100"/>
              <w:spacing w:after="0"/>
              <w:rPr>
                <w:sz w:val="20"/>
                <w:szCs w:val="20"/>
                <w:color w:val="auto"/>
              </w:rPr>
            </w:pPr>
            <w:r>
              <w:rPr>
                <w:rFonts w:ascii="Arial" w:cs="Arial" w:eastAsia="Arial" w:hAnsi="Arial"/>
                <w:sz w:val="20"/>
                <w:szCs w:val="20"/>
                <w:color w:val="auto"/>
              </w:rPr>
              <w:t>.S.$</w:t>
            </w: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766</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1.3386</w:t>
            </w:r>
          </w:p>
        </w:tc>
        <w:tc>
          <w:tcPr>
            <w:tcW w:w="1300" w:type="dxa"/>
            <w:vAlign w:val="bottom"/>
            <w:shd w:val="clear" w:color="auto" w:fill="E4E4E4"/>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17.0</w:t>
            </w: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17.0</w:t>
            </w:r>
          </w:p>
        </w:tc>
        <w:tc>
          <w:tcPr>
            <w:tcW w:w="0" w:type="dxa"/>
            <w:vAlign w:val="bottom"/>
          </w:tcPr>
          <w:p>
            <w:pPr>
              <w:spacing w:after="0"/>
              <w:rPr>
                <w:sz w:val="1"/>
                <w:szCs w:val="1"/>
                <w:color w:val="auto"/>
              </w:rPr>
            </w:pPr>
          </w:p>
        </w:tc>
      </w:tr>
      <w:tr>
        <w:trPr>
          <w:trHeight w:val="233"/>
        </w:trPr>
        <w:tc>
          <w:tcPr>
            <w:tcW w:w="960" w:type="dxa"/>
            <w:vAlign w:val="bottom"/>
            <w:shd w:val="clear" w:color="auto" w:fill="FEFEFE"/>
          </w:tcPr>
          <w:p>
            <w:pPr>
              <w:spacing w:after="0"/>
              <w:rPr>
                <w:sz w:val="20"/>
                <w:szCs w:val="20"/>
                <w:color w:val="auto"/>
              </w:rPr>
            </w:pPr>
          </w:p>
        </w:tc>
        <w:tc>
          <w:tcPr>
            <w:tcW w:w="1380" w:type="dxa"/>
            <w:vAlign w:val="bottom"/>
            <w:shd w:val="clear" w:color="auto" w:fill="FEFEFE"/>
          </w:tcPr>
          <w:p>
            <w:pPr>
              <w:spacing w:after="0"/>
              <w:rPr>
                <w:sz w:val="20"/>
                <w:szCs w:val="20"/>
                <w:color w:val="auto"/>
              </w:rPr>
            </w:pPr>
          </w:p>
        </w:tc>
        <w:tc>
          <w:tcPr>
            <w:tcW w:w="980" w:type="dxa"/>
            <w:vAlign w:val="bottom"/>
            <w:shd w:val="clear" w:color="auto" w:fill="FEFEFE"/>
          </w:tcPr>
          <w:p>
            <w:pPr>
              <w:spacing w:after="0"/>
              <w:rPr>
                <w:sz w:val="20"/>
                <w:szCs w:val="20"/>
                <w:color w:val="auto"/>
              </w:rPr>
            </w:pPr>
          </w:p>
        </w:tc>
        <w:tc>
          <w:tcPr>
            <w:tcW w:w="760" w:type="dxa"/>
            <w:vAlign w:val="bottom"/>
            <w:shd w:val="clear" w:color="auto" w:fill="FEFEFE"/>
          </w:tcPr>
          <w:p>
            <w:pPr>
              <w:spacing w:after="0"/>
              <w:rPr>
                <w:sz w:val="20"/>
                <w:szCs w:val="20"/>
                <w:color w:val="auto"/>
              </w:rPr>
            </w:pPr>
          </w:p>
        </w:tc>
        <w:tc>
          <w:tcPr>
            <w:tcW w:w="1020" w:type="dxa"/>
            <w:vAlign w:val="bottom"/>
            <w:shd w:val="clear" w:color="auto" w:fill="FEFEFE"/>
          </w:tcPr>
          <w:p>
            <w:pPr>
              <w:spacing w:after="0"/>
              <w:rPr>
                <w:sz w:val="20"/>
                <w:szCs w:val="20"/>
                <w:color w:val="auto"/>
              </w:rPr>
            </w:pPr>
          </w:p>
        </w:tc>
        <w:tc>
          <w:tcPr>
            <w:tcW w:w="1300" w:type="dxa"/>
            <w:vAlign w:val="bottom"/>
            <w:shd w:val="clear" w:color="auto" w:fill="FEFEFE"/>
          </w:tcPr>
          <w:p>
            <w:pPr>
              <w:ind w:left="6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FEFEFE"/>
          </w:tcPr>
          <w:p>
            <w:pPr>
              <w:spacing w:after="0"/>
              <w:rPr>
                <w:sz w:val="20"/>
                <w:szCs w:val="20"/>
                <w:color w:val="auto"/>
              </w:rPr>
            </w:pPr>
          </w:p>
        </w:tc>
        <w:tc>
          <w:tcPr>
            <w:tcW w:w="9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000" w:type="dxa"/>
            <w:vAlign w:val="bottom"/>
            <w:shd w:val="clear" w:color="auto" w:fill="FEFEFE"/>
          </w:tcPr>
          <w:p>
            <w:pPr>
              <w:spacing w:after="0"/>
              <w:rPr>
                <w:sz w:val="20"/>
                <w:szCs w:val="20"/>
                <w:color w:val="auto"/>
              </w:rPr>
            </w:pPr>
          </w:p>
        </w:tc>
        <w:tc>
          <w:tcPr>
            <w:tcW w:w="480" w:type="dxa"/>
            <w:vAlign w:val="bottom"/>
            <w:shd w:val="clear" w:color="auto" w:fill="FEFEFE"/>
          </w:tcPr>
          <w:p>
            <w:pPr>
              <w:spacing w:after="0"/>
              <w:rPr>
                <w:sz w:val="20"/>
                <w:szCs w:val="20"/>
                <w:color w:val="auto"/>
              </w:rPr>
            </w:pPr>
          </w:p>
        </w:tc>
        <w:tc>
          <w:tcPr>
            <w:tcW w:w="96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960" w:type="dxa"/>
            <w:vAlign w:val="bottom"/>
            <w:shd w:val="clear" w:color="auto" w:fill="FEFEFE"/>
          </w:tcPr>
          <w:p>
            <w:pPr>
              <w:spacing w:after="0"/>
              <w:rPr>
                <w:sz w:val="24"/>
                <w:szCs w:val="24"/>
                <w:color w:val="auto"/>
              </w:rPr>
            </w:pPr>
          </w:p>
        </w:tc>
        <w:tc>
          <w:tcPr>
            <w:tcW w:w="1380" w:type="dxa"/>
            <w:vAlign w:val="bottom"/>
            <w:shd w:val="clear" w:color="auto" w:fill="FEFEFE"/>
          </w:tcPr>
          <w:p>
            <w:pPr>
              <w:jc w:val="right"/>
              <w:ind w:right="120"/>
              <w:spacing w:after="0"/>
              <w:rPr>
                <w:sz w:val="20"/>
                <w:szCs w:val="20"/>
                <w:color w:val="auto"/>
              </w:rPr>
            </w:pPr>
            <w:r>
              <w:rPr>
                <w:rFonts w:ascii="Arial" w:cs="Arial" w:eastAsia="Arial" w:hAnsi="Arial"/>
                <w:sz w:val="20"/>
                <w:szCs w:val="20"/>
                <w:color w:val="auto"/>
              </w:rPr>
              <w:t>402</w:t>
            </w:r>
          </w:p>
        </w:tc>
        <w:tc>
          <w:tcPr>
            <w:tcW w:w="980" w:type="dxa"/>
            <w:vAlign w:val="bottom"/>
            <w:shd w:val="clear" w:color="auto" w:fill="FEFEFE"/>
          </w:tcPr>
          <w:p>
            <w:pPr>
              <w:spacing w:after="0"/>
              <w:rPr>
                <w:sz w:val="24"/>
                <w:szCs w:val="24"/>
                <w:color w:val="auto"/>
              </w:rPr>
            </w:pPr>
          </w:p>
        </w:tc>
        <w:tc>
          <w:tcPr>
            <w:tcW w:w="7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83</w:t>
            </w:r>
          </w:p>
        </w:tc>
        <w:tc>
          <w:tcPr>
            <w:tcW w:w="1020" w:type="dxa"/>
            <w:vAlign w:val="bottom"/>
            <w:shd w:val="clear" w:color="auto" w:fill="FEFEFE"/>
          </w:tcPr>
          <w:p>
            <w:pPr>
              <w:ind w:left="260"/>
              <w:spacing w:after="0"/>
              <w:rPr>
                <w:sz w:val="20"/>
                <w:szCs w:val="20"/>
                <w:color w:val="auto"/>
              </w:rPr>
            </w:pPr>
            <w:r>
              <w:rPr>
                <w:rFonts w:ascii="Arial" w:cs="Arial" w:eastAsia="Arial" w:hAnsi="Arial"/>
                <w:sz w:val="20"/>
                <w:szCs w:val="20"/>
                <w:color w:val="auto"/>
              </w:rPr>
              <w:t>0.2062</w:t>
            </w:r>
          </w:p>
        </w:tc>
        <w:tc>
          <w:tcPr>
            <w:tcW w:w="1300" w:type="dxa"/>
            <w:vAlign w:val="bottom"/>
            <w:shd w:val="clear" w:color="auto" w:fill="FEFEFE"/>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0.7</w:t>
            </w:r>
          </w:p>
        </w:tc>
        <w:tc>
          <w:tcPr>
            <w:tcW w:w="200" w:type="dxa"/>
            <w:vAlign w:val="bottom"/>
            <w:shd w:val="clear" w:color="auto" w:fill="FEFEFE"/>
          </w:tcPr>
          <w:p>
            <w:pPr>
              <w:spacing w:after="0"/>
              <w:rPr>
                <w:sz w:val="24"/>
                <w:szCs w:val="24"/>
                <w:color w:val="auto"/>
              </w:rPr>
            </w:pPr>
          </w:p>
        </w:tc>
        <w:tc>
          <w:tcPr>
            <w:tcW w:w="10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0.3</w:t>
            </w:r>
          </w:p>
        </w:tc>
        <w:tc>
          <w:tcPr>
            <w:tcW w:w="480" w:type="dxa"/>
            <w:vAlign w:val="bottom"/>
            <w:shd w:val="clear" w:color="auto" w:fill="FEFEFE"/>
          </w:tcPr>
          <w:p>
            <w:pPr>
              <w:spacing w:after="0"/>
              <w:rPr>
                <w:sz w:val="24"/>
                <w:szCs w:val="24"/>
                <w:color w:val="auto"/>
              </w:rPr>
            </w:pPr>
          </w:p>
        </w:tc>
        <w:tc>
          <w:tcPr>
            <w:tcW w:w="9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306"/>
        </w:trPr>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A$</w:t>
            </w:r>
          </w:p>
        </w:tc>
        <w:tc>
          <w:tcPr>
            <w:tcW w:w="13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122</w:t>
            </w:r>
          </w:p>
        </w:tc>
        <w:tc>
          <w:tcPr>
            <w:tcW w:w="980" w:type="dxa"/>
            <w:vAlign w:val="bottom"/>
            <w:shd w:val="clear" w:color="auto" w:fill="E4E4E4"/>
          </w:tcPr>
          <w:p>
            <w:pPr>
              <w:ind w:left="100"/>
              <w:spacing w:after="0"/>
              <w:rPr>
                <w:sz w:val="20"/>
                <w:szCs w:val="20"/>
                <w:color w:val="auto"/>
              </w:rPr>
            </w:pPr>
            <w:r>
              <w:rPr>
                <w:rFonts w:ascii="Arial" w:cs="Arial" w:eastAsia="Arial" w:hAnsi="Arial"/>
                <w:sz w:val="20"/>
                <w:szCs w:val="20"/>
                <w:color w:val="auto"/>
              </w:rPr>
              <w:t>.S.$</w:t>
            </w: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81</w:t>
            </w:r>
          </w:p>
        </w:tc>
        <w:tc>
          <w:tcPr>
            <w:tcW w:w="1020" w:type="dxa"/>
            <w:vAlign w:val="bottom"/>
            <w:shd w:val="clear" w:color="auto" w:fill="E4E4E4"/>
          </w:tcPr>
          <w:p>
            <w:pPr>
              <w:ind w:left="260"/>
              <w:spacing w:after="0"/>
              <w:rPr>
                <w:sz w:val="20"/>
                <w:szCs w:val="20"/>
                <w:color w:val="auto"/>
              </w:rPr>
            </w:pPr>
            <w:r>
              <w:rPr>
                <w:rFonts w:ascii="Arial" w:cs="Arial" w:eastAsia="Arial" w:hAnsi="Arial"/>
                <w:sz w:val="20"/>
                <w:szCs w:val="20"/>
                <w:color w:val="auto"/>
              </w:rPr>
              <w:t>0.6621</w:t>
            </w:r>
          </w:p>
        </w:tc>
        <w:tc>
          <w:tcPr>
            <w:tcW w:w="1300" w:type="dxa"/>
            <w:vAlign w:val="bottom"/>
            <w:shd w:val="clear" w:color="auto" w:fill="E4E4E4"/>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4.1</w:t>
            </w:r>
          </w:p>
        </w:tc>
        <w:tc>
          <w:tcPr>
            <w:tcW w:w="480" w:type="dxa"/>
            <w:vAlign w:val="bottom"/>
            <w:shd w:val="clear" w:color="auto" w:fill="E4E4E4"/>
          </w:tcPr>
          <w:p>
            <w:pPr>
              <w:spacing w:after="0"/>
              <w:rPr>
                <w:sz w:val="24"/>
                <w:szCs w:val="24"/>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52"/>
        </w:trPr>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.S.$</w:t>
            </w:r>
          </w:p>
        </w:tc>
        <w:tc>
          <w:tcPr>
            <w:tcW w:w="1380" w:type="dxa"/>
            <w:vAlign w:val="bottom"/>
            <w:vMerge w:val="restart"/>
            <w:shd w:val="clear" w:color="auto" w:fill="FEFEFE"/>
          </w:tcPr>
          <w:p>
            <w:pPr>
              <w:jc w:val="right"/>
              <w:ind w:right="120"/>
              <w:spacing w:after="0"/>
              <w:rPr>
                <w:sz w:val="20"/>
                <w:szCs w:val="20"/>
                <w:color w:val="auto"/>
              </w:rPr>
            </w:pPr>
            <w:r>
              <w:rPr>
                <w:rFonts w:ascii="Arial" w:cs="Arial" w:eastAsia="Arial" w:hAnsi="Arial"/>
                <w:sz w:val="20"/>
                <w:szCs w:val="20"/>
                <w:color w:val="auto"/>
              </w:rPr>
              <w:t>87</w:t>
            </w:r>
          </w:p>
        </w:tc>
        <w:tc>
          <w:tcPr>
            <w:tcW w:w="980" w:type="dxa"/>
            <w:vAlign w:val="bottom"/>
            <w:shd w:val="clear" w:color="auto" w:fill="FEFEFE"/>
          </w:tcPr>
          <w:p>
            <w:pPr>
              <w:spacing w:after="0"/>
              <w:rPr>
                <w:sz w:val="21"/>
                <w:szCs w:val="21"/>
                <w:color w:val="auto"/>
              </w:rPr>
            </w:pPr>
          </w:p>
        </w:tc>
        <w:tc>
          <w:tcPr>
            <w:tcW w:w="7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74</w:t>
            </w:r>
          </w:p>
        </w:tc>
        <w:tc>
          <w:tcPr>
            <w:tcW w:w="1020" w:type="dxa"/>
            <w:vAlign w:val="bottom"/>
            <w:vMerge w:val="restart"/>
            <w:shd w:val="clear" w:color="auto" w:fill="FEFEFE"/>
          </w:tcPr>
          <w:p>
            <w:pPr>
              <w:ind w:left="260"/>
              <w:spacing w:after="0"/>
              <w:rPr>
                <w:sz w:val="20"/>
                <w:szCs w:val="20"/>
                <w:color w:val="auto"/>
              </w:rPr>
            </w:pPr>
            <w:r>
              <w:rPr>
                <w:rFonts w:ascii="Arial" w:cs="Arial" w:eastAsia="Arial" w:hAnsi="Arial"/>
                <w:sz w:val="20"/>
                <w:szCs w:val="20"/>
                <w:color w:val="auto"/>
              </w:rPr>
              <w:t>0.84 5</w:t>
            </w:r>
          </w:p>
        </w:tc>
        <w:tc>
          <w:tcPr>
            <w:tcW w:w="1300" w:type="dxa"/>
            <w:vAlign w:val="bottom"/>
            <w:shd w:val="clear" w:color="auto" w:fill="FEFEFE"/>
          </w:tcPr>
          <w:p>
            <w:pPr>
              <w:ind w:left="60"/>
              <w:spacing w:after="0"/>
              <w:rPr>
                <w:sz w:val="20"/>
                <w:szCs w:val="20"/>
                <w:color w:val="auto"/>
              </w:rPr>
            </w:pPr>
            <w:r>
              <w:rPr>
                <w:rFonts w:ascii="Arial" w:cs="Arial" w:eastAsia="Arial" w:hAnsi="Arial"/>
                <w:sz w:val="20"/>
                <w:szCs w:val="20"/>
                <w:color w:val="auto"/>
              </w:rPr>
              <w:t>Prepaid Exp</w:t>
            </w:r>
          </w:p>
        </w:tc>
        <w:tc>
          <w:tcPr>
            <w:tcW w:w="260" w:type="dxa"/>
            <w:vAlign w:val="bottom"/>
            <w:shd w:val="clear" w:color="auto" w:fill="FEFEFE"/>
          </w:tcPr>
          <w:p>
            <w:pPr>
              <w:spacing w:after="0"/>
              <w:rPr>
                <w:sz w:val="21"/>
                <w:szCs w:val="21"/>
                <w:color w:val="auto"/>
              </w:rPr>
            </w:pPr>
          </w:p>
        </w:tc>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0.9</w:t>
            </w:r>
          </w:p>
        </w:tc>
        <w:tc>
          <w:tcPr>
            <w:tcW w:w="200" w:type="dxa"/>
            <w:vAlign w:val="bottom"/>
            <w:shd w:val="clear" w:color="auto" w:fill="FEFEFE"/>
          </w:tcPr>
          <w:p>
            <w:pPr>
              <w:spacing w:after="0"/>
              <w:rPr>
                <w:sz w:val="21"/>
                <w:szCs w:val="21"/>
                <w:color w:val="auto"/>
              </w:rPr>
            </w:pPr>
          </w:p>
        </w:tc>
        <w:tc>
          <w:tcPr>
            <w:tcW w:w="10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480" w:type="dxa"/>
            <w:vAlign w:val="bottom"/>
            <w:shd w:val="clear" w:color="auto" w:fill="FEFEFE"/>
          </w:tcPr>
          <w:p>
            <w:pPr>
              <w:spacing w:after="0"/>
              <w:rPr>
                <w:sz w:val="21"/>
                <w:szCs w:val="21"/>
                <w:color w:val="auto"/>
              </w:rPr>
            </w:pPr>
          </w:p>
        </w:tc>
        <w:tc>
          <w:tcPr>
            <w:tcW w:w="9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63"/>
        </w:trPr>
        <w:tc>
          <w:tcPr>
            <w:tcW w:w="960" w:type="dxa"/>
            <w:vAlign w:val="bottom"/>
            <w:tcBorders>
              <w:bottom w:val="single" w:sz="8" w:color="auto"/>
            </w:tcBorders>
            <w:vMerge w:val="continue"/>
            <w:shd w:val="clear" w:color="auto" w:fill="FEFEFE"/>
          </w:tcPr>
          <w:p>
            <w:pPr>
              <w:spacing w:after="0"/>
              <w:rPr>
                <w:sz w:val="22"/>
                <w:szCs w:val="22"/>
                <w:color w:val="auto"/>
              </w:rPr>
            </w:pPr>
          </w:p>
        </w:tc>
        <w:tc>
          <w:tcPr>
            <w:tcW w:w="1380" w:type="dxa"/>
            <w:vAlign w:val="bottom"/>
            <w:tcBorders>
              <w:bottom w:val="single" w:sz="8" w:color="auto"/>
            </w:tcBorders>
            <w:vMerge w:val="continue"/>
            <w:shd w:val="clear" w:color="auto" w:fill="FEFEFE"/>
          </w:tcPr>
          <w:p>
            <w:pPr>
              <w:spacing w:after="0"/>
              <w:rPr>
                <w:sz w:val="22"/>
                <w:szCs w:val="22"/>
                <w:color w:val="auto"/>
              </w:rPr>
            </w:pPr>
          </w:p>
        </w:tc>
        <w:tc>
          <w:tcPr>
            <w:tcW w:w="980" w:type="dxa"/>
            <w:vAlign w:val="bottom"/>
            <w:tcBorders>
              <w:bottom w:val="single" w:sz="8" w:color="auto"/>
            </w:tcBorders>
            <w:shd w:val="clear" w:color="auto" w:fill="FEFEFE"/>
          </w:tcPr>
          <w:p>
            <w:pPr>
              <w:spacing w:after="0"/>
              <w:rPr>
                <w:sz w:val="22"/>
                <w:szCs w:val="22"/>
                <w:color w:val="auto"/>
              </w:rPr>
            </w:pPr>
          </w:p>
        </w:tc>
        <w:tc>
          <w:tcPr>
            <w:tcW w:w="760" w:type="dxa"/>
            <w:vAlign w:val="bottom"/>
            <w:tcBorders>
              <w:bottom w:val="single" w:sz="8" w:color="auto"/>
            </w:tcBorders>
            <w:vMerge w:val="continue"/>
            <w:shd w:val="clear" w:color="auto" w:fill="FEFEFE"/>
          </w:tcPr>
          <w:p>
            <w:pPr>
              <w:spacing w:after="0"/>
              <w:rPr>
                <w:sz w:val="22"/>
                <w:szCs w:val="22"/>
                <w:color w:val="auto"/>
              </w:rPr>
            </w:pPr>
          </w:p>
        </w:tc>
        <w:tc>
          <w:tcPr>
            <w:tcW w:w="1020" w:type="dxa"/>
            <w:vAlign w:val="bottom"/>
            <w:tcBorders>
              <w:bottom w:val="single" w:sz="8" w:color="auto"/>
            </w:tcBorders>
            <w:vMerge w:val="continue"/>
            <w:shd w:val="clear" w:color="auto" w:fill="FEFEFE"/>
          </w:tcPr>
          <w:p>
            <w:pPr>
              <w:spacing w:after="0"/>
              <w:rPr>
                <w:sz w:val="22"/>
                <w:szCs w:val="22"/>
                <w:color w:val="auto"/>
              </w:rPr>
            </w:pPr>
          </w:p>
        </w:tc>
        <w:tc>
          <w:tcPr>
            <w:tcW w:w="130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w w:val="99"/>
              </w:rPr>
              <w:t>(Accrued Exp)</w:t>
            </w:r>
          </w:p>
        </w:tc>
        <w:tc>
          <w:tcPr>
            <w:tcW w:w="260" w:type="dxa"/>
            <w:vAlign w:val="bottom"/>
            <w:tcBorders>
              <w:bottom w:val="single" w:sz="8" w:color="auto"/>
            </w:tcBorders>
            <w:shd w:val="clear" w:color="auto" w:fill="FEFEFE"/>
          </w:tcPr>
          <w:p>
            <w:pPr>
              <w:spacing w:after="0"/>
              <w:rPr>
                <w:sz w:val="22"/>
                <w:szCs w:val="22"/>
                <w:color w:val="auto"/>
              </w:rPr>
            </w:pPr>
          </w:p>
        </w:tc>
        <w:tc>
          <w:tcPr>
            <w:tcW w:w="960" w:type="dxa"/>
            <w:vAlign w:val="bottom"/>
            <w:tcBorders>
              <w:bottom w:val="single" w:sz="8" w:color="auto"/>
            </w:tcBorders>
            <w:vMerge w:val="continue"/>
            <w:shd w:val="clear" w:color="auto" w:fill="FEFEFE"/>
          </w:tcPr>
          <w:p>
            <w:pPr>
              <w:spacing w:after="0"/>
              <w:rPr>
                <w:sz w:val="22"/>
                <w:szCs w:val="22"/>
                <w:color w:val="auto"/>
              </w:rPr>
            </w:pPr>
          </w:p>
        </w:tc>
        <w:tc>
          <w:tcPr>
            <w:tcW w:w="200" w:type="dxa"/>
            <w:vAlign w:val="bottom"/>
            <w:tcBorders>
              <w:bottom w:val="single" w:sz="8" w:color="auto"/>
            </w:tcBorders>
            <w:shd w:val="clear" w:color="auto" w:fill="FEFEFE"/>
          </w:tcPr>
          <w:p>
            <w:pPr>
              <w:spacing w:after="0"/>
              <w:rPr>
                <w:sz w:val="22"/>
                <w:szCs w:val="22"/>
                <w:color w:val="auto"/>
              </w:rPr>
            </w:pPr>
          </w:p>
        </w:tc>
        <w:tc>
          <w:tcPr>
            <w:tcW w:w="1000" w:type="dxa"/>
            <w:vAlign w:val="bottom"/>
            <w:tcBorders>
              <w:bottom w:val="single" w:sz="8" w:color="auto"/>
            </w:tcBorders>
            <w:vMerge w:val="continue"/>
            <w:shd w:val="clear" w:color="auto" w:fill="FEFEFE"/>
          </w:tcPr>
          <w:p>
            <w:pPr>
              <w:spacing w:after="0"/>
              <w:rPr>
                <w:sz w:val="22"/>
                <w:szCs w:val="22"/>
                <w:color w:val="auto"/>
              </w:rPr>
            </w:pPr>
          </w:p>
        </w:tc>
        <w:tc>
          <w:tcPr>
            <w:tcW w:w="480" w:type="dxa"/>
            <w:vAlign w:val="bottom"/>
            <w:tcBorders>
              <w:bottom w:val="single" w:sz="8" w:color="auto"/>
            </w:tcBorders>
            <w:shd w:val="clear" w:color="auto" w:fill="FEFEFE"/>
          </w:tcPr>
          <w:p>
            <w:pPr>
              <w:spacing w:after="0"/>
              <w:rPr>
                <w:sz w:val="22"/>
                <w:szCs w:val="22"/>
                <w:color w:val="auto"/>
              </w:rPr>
            </w:pPr>
          </w:p>
        </w:tc>
        <w:tc>
          <w:tcPr>
            <w:tcW w:w="960" w:type="dxa"/>
            <w:vAlign w:val="bottom"/>
            <w:tcBorders>
              <w:bottom w:val="single" w:sz="8" w:color="auto"/>
            </w:tcBorders>
            <w:vMerge w:val="continue"/>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60" w:type="dxa"/>
            <w:vAlign w:val="bottom"/>
            <w:tcBorders>
              <w:bottom w:val="single" w:sz="8" w:color="auto"/>
            </w:tcBorders>
            <w:shd w:val="clear" w:color="auto" w:fill="E4E4E4"/>
          </w:tcPr>
          <w:p>
            <w:pPr>
              <w:jc w:val="right"/>
              <w:ind w:right="1"/>
              <w:spacing w:after="0"/>
              <w:rPr>
                <w:sz w:val="20"/>
                <w:szCs w:val="20"/>
                <w:color w:val="auto"/>
              </w:rPr>
            </w:pPr>
            <w:r>
              <w:rPr>
                <w:rFonts w:ascii="Arial" w:cs="Arial" w:eastAsia="Arial" w:hAnsi="Arial"/>
                <w:sz w:val="20"/>
                <w:szCs w:val="20"/>
                <w:color w:val="auto"/>
              </w:rPr>
              <w:t>otal fair</w:t>
            </w: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alue of deri ati</w:t>
            </w:r>
          </w:p>
        </w:tc>
        <w:tc>
          <w:tcPr>
            <w:tcW w:w="2760" w:type="dxa"/>
            <w:vAlign w:val="bottom"/>
            <w:tcBorders>
              <w:bottom w:val="single" w:sz="8" w:color="auto"/>
            </w:tcBorders>
            <w:gridSpan w:val="3"/>
            <w:shd w:val="clear" w:color="auto" w:fill="E4E4E4"/>
          </w:tcPr>
          <w:p>
            <w:pPr>
              <w:ind w:left="60"/>
              <w:spacing w:after="0"/>
              <w:rPr>
                <w:sz w:val="20"/>
                <w:szCs w:val="20"/>
                <w:color w:val="auto"/>
              </w:rPr>
            </w:pPr>
            <w:r>
              <w:rPr>
                <w:rFonts w:ascii="Arial" w:cs="Arial" w:eastAsia="Arial" w:hAnsi="Arial"/>
                <w:sz w:val="20"/>
                <w:szCs w:val="20"/>
                <w:color w:val="auto"/>
              </w:rPr>
              <w:t>e financial instruments</w:t>
            </w:r>
          </w:p>
        </w:tc>
        <w:tc>
          <w:tcPr>
            <w:tcW w:w="1300" w:type="dxa"/>
            <w:vAlign w:val="bottom"/>
            <w:tcBorders>
              <w:bottom w:val="single" w:sz="8" w:color="auto"/>
            </w:tcBorders>
            <w:shd w:val="clear" w:color="auto" w:fill="E4E4E4"/>
          </w:tcPr>
          <w:p>
            <w:pPr>
              <w:spacing w:after="0"/>
              <w:rPr>
                <w:sz w:val="23"/>
                <w:szCs w:val="23"/>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9.0</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46.1</w:t>
            </w:r>
          </w:p>
        </w:tc>
        <w:tc>
          <w:tcPr>
            <w:tcW w:w="480" w:type="dxa"/>
            <w:vAlign w:val="bottom"/>
            <w:tcBorders>
              <w:bottom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F-1</w:t>
      </w:r>
    </w:p>
    <w:p>
      <w:pPr>
        <w:sectPr>
          <w:pgSz w:w="12240" w:h="15841" w:orient="portrait"/>
          <w:cols w:equalWidth="0" w:num="1">
            <w:col w:w="10260"/>
          </w:cols>
          <w:pgMar w:left="1000" w:top="792" w:right="981" w:bottom="0" w:gutter="0" w:footer="0" w:header="0"/>
          <w:type w:val="continuous"/>
        </w:sectPr>
      </w:pPr>
    </w:p>
    <w:bookmarkStart w:id="75" w:name="page76"/>
    <w:bookmarkEnd w:id="75"/>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 following is a summary of TJX’s derivative financial instruments, related fair value and balance sheet classification at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February 1,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vMerge w:val="restart"/>
          </w:tcPr>
          <w:p>
            <w:pPr>
              <w:ind w:left="80"/>
              <w:spacing w:after="0"/>
              <w:rPr>
                <w:sz w:val="20"/>
                <w:szCs w:val="20"/>
                <w:color w:val="auto"/>
              </w:rPr>
            </w:pPr>
            <w:r>
              <w:rPr>
                <w:rFonts w:ascii="Arial" w:cs="Arial" w:eastAsia="Arial" w:hAnsi="Arial"/>
                <w:sz w:val="20"/>
                <w:szCs w:val="20"/>
                <w:color w:val="auto"/>
              </w:rPr>
              <w:t>Blended</w:t>
            </w:r>
          </w:p>
        </w:tc>
        <w:tc>
          <w:tcPr>
            <w:tcW w:w="160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20"/>
                <w:szCs w:val="20"/>
                <w:color w:val="auto"/>
                <w:w w:val="95"/>
              </w:rPr>
              <w:t>Current</w:t>
            </w:r>
          </w:p>
        </w:tc>
        <w:tc>
          <w:tcPr>
            <w:tcW w:w="180" w:type="dxa"/>
            <w:vAlign w:val="bottom"/>
          </w:tcPr>
          <w:p>
            <w:pPr>
              <w:spacing w:after="0"/>
              <w:rPr>
                <w:sz w:val="19"/>
                <w:szCs w:val="19"/>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20"/>
                <w:szCs w:val="20"/>
                <w:color w:val="auto"/>
              </w:rPr>
              <w:t>Current</w:t>
            </w:r>
          </w:p>
        </w:tc>
        <w:tc>
          <w:tcPr>
            <w:tcW w:w="940" w:type="dxa"/>
            <w:vAlign w:val="bottom"/>
          </w:tcPr>
          <w:p>
            <w:pPr>
              <w:jc w:val="right"/>
              <w:ind w:right="80"/>
              <w:spacing w:after="0"/>
              <w:rPr>
                <w:sz w:val="20"/>
                <w:szCs w:val="20"/>
                <w:color w:val="auto"/>
              </w:rPr>
            </w:pPr>
            <w:r>
              <w:rPr>
                <w:rFonts w:ascii="Arial" w:cs="Arial" w:eastAsia="Arial" w:hAnsi="Arial"/>
                <w:sz w:val="20"/>
                <w:szCs w:val="20"/>
                <w:color w:val="auto"/>
              </w:rPr>
              <w:t>Net Fair</w:t>
            </w:r>
          </w:p>
        </w:tc>
        <w:tc>
          <w:tcPr>
            <w:tcW w:w="480" w:type="dxa"/>
            <w:vAlign w:val="bottom"/>
          </w:tcPr>
          <w:p>
            <w:pPr>
              <w:jc w:val="right"/>
              <w:ind w:right="20"/>
              <w:spacing w:after="0"/>
              <w:rPr>
                <w:sz w:val="20"/>
                <w:szCs w:val="20"/>
                <w:color w:val="auto"/>
              </w:rPr>
            </w:pPr>
            <w:r>
              <w:rPr>
                <w:rFonts w:ascii="Arial" w:cs="Arial" w:eastAsia="Arial" w:hAnsi="Arial"/>
                <w:sz w:val="20"/>
                <w:szCs w:val="20"/>
                <w:color w:val="auto"/>
                <w:w w:val="89"/>
              </w:rPr>
              <w:t>alue</w:t>
            </w: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restart"/>
          </w:tcPr>
          <w:p>
            <w:pPr>
              <w:ind w:left="60"/>
              <w:spacing w:after="0"/>
              <w:rPr>
                <w:sz w:val="20"/>
                <w:szCs w:val="20"/>
                <w:color w:val="auto"/>
              </w:rPr>
            </w:pPr>
            <w:r>
              <w:rPr>
                <w:rFonts w:ascii="Arial" w:cs="Arial" w:eastAsia="Arial" w:hAnsi="Arial"/>
                <w:sz w:val="20"/>
                <w:szCs w:val="20"/>
                <w:color w:val="auto"/>
              </w:rPr>
              <w:t>Balance Sheet</w:t>
            </w: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20"/>
                <w:szCs w:val="20"/>
                <w:color w:val="auto"/>
              </w:rPr>
              <w:t>in  .S.$</w:t>
            </w:r>
          </w:p>
        </w:tc>
        <w:tc>
          <w:tcPr>
            <w:tcW w:w="480" w:type="dxa"/>
            <w:vAlign w:val="bottom"/>
          </w:tcPr>
          <w:p>
            <w:pPr>
              <w:jc w:val="right"/>
              <w:ind w:right="200"/>
              <w:spacing w:after="0" w:line="200" w:lineRule="exact"/>
              <w:rPr>
                <w:sz w:val="20"/>
                <w:szCs w:val="20"/>
                <w:color w:val="auto"/>
              </w:rPr>
            </w:pPr>
            <w:r>
              <w:rPr>
                <w:rFonts w:ascii="Arial" w:cs="Arial" w:eastAsia="Arial" w:hAnsi="Arial"/>
                <w:sz w:val="20"/>
                <w:szCs w:val="20"/>
                <w:color w:val="auto"/>
                <w:w w:val="95"/>
              </w:rPr>
              <w:t>at</w:t>
            </w: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20"/>
                <w:szCs w:val="20"/>
                <w:color w:val="auto"/>
                <w:w w:val="86"/>
              </w:rPr>
              <w:t>Pay</w:t>
            </w:r>
          </w:p>
        </w:tc>
        <w:tc>
          <w:tcPr>
            <w:tcW w:w="520" w:type="dxa"/>
            <w:vAlign w:val="bottom"/>
          </w:tcPr>
          <w:p>
            <w:pPr>
              <w:spacing w:after="0"/>
              <w:rPr>
                <w:sz w:val="17"/>
                <w:szCs w:val="17"/>
                <w:color w:val="auto"/>
              </w:rPr>
            </w:pPr>
          </w:p>
        </w:tc>
        <w:tc>
          <w:tcPr>
            <w:tcW w:w="1300" w:type="dxa"/>
            <w:vAlign w:val="bottom"/>
            <w:vMerge w:val="restart"/>
          </w:tcPr>
          <w:p>
            <w:pPr>
              <w:jc w:val="right"/>
              <w:ind w:right="560"/>
              <w:spacing w:after="0"/>
              <w:rPr>
                <w:sz w:val="20"/>
                <w:szCs w:val="20"/>
                <w:color w:val="auto"/>
              </w:rPr>
            </w:pPr>
            <w:r>
              <w:rPr>
                <w:rFonts w:ascii="Arial" w:cs="Arial" w:eastAsia="Arial" w:hAnsi="Arial"/>
                <w:sz w:val="20"/>
                <w:szCs w:val="20"/>
                <w:color w:val="auto"/>
              </w:rPr>
              <w:t>eceive</w:t>
            </w:r>
          </w:p>
        </w:tc>
        <w:tc>
          <w:tcPr>
            <w:tcW w:w="980" w:type="dxa"/>
            <w:vAlign w:val="bottom"/>
          </w:tcPr>
          <w:p>
            <w:pPr>
              <w:ind w:left="60"/>
              <w:spacing w:after="0" w:line="200" w:lineRule="exact"/>
              <w:rPr>
                <w:sz w:val="20"/>
                <w:szCs w:val="20"/>
                <w:color w:val="auto"/>
              </w:rPr>
            </w:pPr>
            <w:r>
              <w:rPr>
                <w:rFonts w:ascii="Arial" w:cs="Arial" w:eastAsia="Arial" w:hAnsi="Arial"/>
                <w:sz w:val="20"/>
                <w:szCs w:val="20"/>
                <w:color w:val="auto"/>
              </w:rPr>
              <w:t>Contract</w:t>
            </w:r>
          </w:p>
        </w:tc>
        <w:tc>
          <w:tcPr>
            <w:tcW w:w="1600" w:type="dxa"/>
            <w:vAlign w:val="bottom"/>
            <w:vMerge w:val="continue"/>
          </w:tcPr>
          <w:p>
            <w:pPr>
              <w:spacing w:after="0"/>
              <w:rPr>
                <w:sz w:val="17"/>
                <w:szCs w:val="17"/>
                <w:color w:val="auto"/>
              </w:rPr>
            </w:pPr>
          </w:p>
        </w:tc>
        <w:tc>
          <w:tcPr>
            <w:tcW w:w="940" w:type="dxa"/>
            <w:vAlign w:val="bottom"/>
          </w:tcPr>
          <w:p>
            <w:pPr>
              <w:jc w:val="right"/>
              <w:ind w:right="260"/>
              <w:spacing w:after="0" w:line="200" w:lineRule="exact"/>
              <w:rPr>
                <w:sz w:val="20"/>
                <w:szCs w:val="20"/>
                <w:color w:val="auto"/>
              </w:rPr>
            </w:pPr>
            <w:r>
              <w:rPr>
                <w:rFonts w:ascii="Arial" w:cs="Arial" w:eastAsia="Arial" w:hAnsi="Arial"/>
                <w:sz w:val="20"/>
                <w:szCs w:val="20"/>
                <w:color w:val="auto"/>
              </w:rPr>
              <w:t>Asset</w:t>
            </w:r>
          </w:p>
        </w:tc>
        <w:tc>
          <w:tcPr>
            <w:tcW w:w="180" w:type="dxa"/>
            <w:vAlign w:val="bottom"/>
          </w:tcPr>
          <w:p>
            <w:pPr>
              <w:spacing w:after="0"/>
              <w:rPr>
                <w:sz w:val="17"/>
                <w:szCs w:val="17"/>
                <w:color w:val="auto"/>
              </w:rPr>
            </w:pPr>
          </w:p>
        </w:tc>
        <w:tc>
          <w:tcPr>
            <w:tcW w:w="1020" w:type="dxa"/>
            <w:vAlign w:val="bottom"/>
          </w:tcPr>
          <w:p>
            <w:pPr>
              <w:jc w:val="right"/>
              <w:ind w:right="80"/>
              <w:spacing w:after="0" w:line="200" w:lineRule="exact"/>
              <w:rPr>
                <w:sz w:val="20"/>
                <w:szCs w:val="20"/>
                <w:color w:val="auto"/>
              </w:rPr>
            </w:pPr>
            <w:r>
              <w:rPr>
                <w:rFonts w:ascii="Arial" w:cs="Arial" w:eastAsia="Arial" w:hAnsi="Arial"/>
                <w:sz w:val="20"/>
                <w:szCs w:val="20"/>
                <w:color w:val="auto"/>
              </w:rPr>
              <w:t>(Liability)</w:t>
            </w:r>
          </w:p>
        </w:tc>
        <w:tc>
          <w:tcPr>
            <w:tcW w:w="1420" w:type="dxa"/>
            <w:vAlign w:val="bottom"/>
            <w:gridSpan w:val="2"/>
          </w:tcPr>
          <w:p>
            <w:pPr>
              <w:jc w:val="right"/>
              <w:ind w:right="160"/>
              <w:spacing w:after="0" w:line="200" w:lineRule="exact"/>
              <w:rPr>
                <w:sz w:val="20"/>
                <w:szCs w:val="20"/>
                <w:color w:val="auto"/>
              </w:rPr>
            </w:pPr>
            <w:r>
              <w:rPr>
                <w:rFonts w:ascii="Arial" w:cs="Arial" w:eastAsia="Arial" w:hAnsi="Arial"/>
                <w:sz w:val="20"/>
                <w:szCs w:val="20"/>
                <w:color w:val="auto"/>
              </w:rPr>
              <w:t>February 1,</w:t>
            </w:r>
          </w:p>
        </w:tc>
        <w:tc>
          <w:tcPr>
            <w:tcW w:w="0" w:type="dxa"/>
            <w:vAlign w:val="bottom"/>
          </w:tcPr>
          <w:p>
            <w:pPr>
              <w:spacing w:after="0"/>
              <w:rPr>
                <w:sz w:val="1"/>
                <w:szCs w:val="1"/>
                <w:color w:val="auto"/>
              </w:rPr>
            </w:pPr>
          </w:p>
        </w:tc>
      </w:tr>
      <w:tr>
        <w:trPr>
          <w:trHeight w:val="263"/>
        </w:trPr>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32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ate</w:t>
            </w:r>
          </w:p>
        </w:tc>
        <w:tc>
          <w:tcPr>
            <w:tcW w:w="16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Location</w:t>
            </w: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.S.$</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Fair value hedges:</w:t>
            </w:r>
          </w:p>
        </w:tc>
        <w:tc>
          <w:tcPr>
            <w:tcW w:w="520" w:type="dxa"/>
            <w:vAlign w:val="bottom"/>
            <w:shd w:val="clear" w:color="auto" w:fill="E4E4E4"/>
          </w:tcPr>
          <w:p>
            <w:pPr>
              <w:spacing w:after="0"/>
              <w:rPr>
                <w:sz w:val="23"/>
                <w:szCs w:val="23"/>
                <w:color w:val="auto"/>
              </w:rPr>
            </w:pPr>
          </w:p>
        </w:tc>
        <w:tc>
          <w:tcPr>
            <w:tcW w:w="1300" w:type="dxa"/>
            <w:vAlign w:val="bottom"/>
            <w:shd w:val="clear" w:color="auto" w:fill="E4E4E4"/>
          </w:tcPr>
          <w:p>
            <w:pPr>
              <w:spacing w:after="0"/>
              <w:rPr>
                <w:sz w:val="23"/>
                <w:szCs w:val="23"/>
                <w:color w:val="auto"/>
              </w:rPr>
            </w:pPr>
          </w:p>
        </w:tc>
        <w:tc>
          <w:tcPr>
            <w:tcW w:w="980" w:type="dxa"/>
            <w:vAlign w:val="bottom"/>
            <w:shd w:val="clear" w:color="auto" w:fill="E4E4E4"/>
          </w:tcPr>
          <w:p>
            <w:pPr>
              <w:spacing w:after="0"/>
              <w:rPr>
                <w:sz w:val="23"/>
                <w:szCs w:val="23"/>
                <w:color w:val="auto"/>
              </w:rPr>
            </w:pPr>
          </w:p>
        </w:tc>
        <w:tc>
          <w:tcPr>
            <w:tcW w:w="1600" w:type="dxa"/>
            <w:vAlign w:val="bottom"/>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020" w:type="dxa"/>
            <w:vAlign w:val="bottom"/>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48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120" w:type="dxa"/>
            <w:vAlign w:val="bottom"/>
            <w:gridSpan w:val="4"/>
            <w:shd w:val="clear" w:color="auto" w:fill="FEFEFE"/>
          </w:tcPr>
          <w:p>
            <w:pPr>
              <w:ind w:left="280"/>
              <w:spacing w:after="0"/>
              <w:rPr>
                <w:sz w:val="20"/>
                <w:szCs w:val="20"/>
                <w:color w:val="auto"/>
              </w:rPr>
            </w:pPr>
            <w:r>
              <w:rPr>
                <w:rFonts w:ascii="Arial" w:cs="Arial" w:eastAsia="Arial" w:hAnsi="Arial"/>
                <w:sz w:val="20"/>
                <w:szCs w:val="20"/>
                <w:color w:val="auto"/>
              </w:rPr>
              <w:t>Intercompany balances, primarily debt:</w:t>
            </w:r>
          </w:p>
        </w:tc>
        <w:tc>
          <w:tcPr>
            <w:tcW w:w="980" w:type="dxa"/>
            <w:vAlign w:val="bottom"/>
            <w:shd w:val="clear" w:color="auto" w:fill="FEFEFE"/>
          </w:tcPr>
          <w:p>
            <w:pPr>
              <w:spacing w:after="0"/>
              <w:rPr>
                <w:sz w:val="24"/>
                <w:szCs w:val="24"/>
                <w:color w:val="auto"/>
              </w:rPr>
            </w:pPr>
          </w:p>
        </w:tc>
        <w:tc>
          <w:tcPr>
            <w:tcW w:w="160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E4E4E4"/>
          </w:tcPr>
          <w:p>
            <w:pPr>
              <w:spacing w:after="0"/>
              <w:rPr>
                <w:sz w:val="19"/>
                <w:szCs w:val="19"/>
                <w:color w:val="auto"/>
              </w:rPr>
            </w:pPr>
          </w:p>
        </w:tc>
        <w:tc>
          <w:tcPr>
            <w:tcW w:w="1320" w:type="dxa"/>
            <w:vAlign w:val="bottom"/>
            <w:vMerge w:val="restart"/>
            <w:shd w:val="clear" w:color="auto" w:fill="E4E4E4"/>
          </w:tcPr>
          <w:p>
            <w:pPr>
              <w:jc w:val="right"/>
              <w:ind w:right="160"/>
              <w:spacing w:after="0"/>
              <w:rPr>
                <w:sz w:val="20"/>
                <w:szCs w:val="20"/>
                <w:color w:val="auto"/>
              </w:rPr>
            </w:pPr>
            <w:r>
              <w:rPr>
                <w:rFonts w:ascii="Arial" w:cs="Arial" w:eastAsia="Arial" w:hAnsi="Arial"/>
                <w:sz w:val="20"/>
                <w:szCs w:val="20"/>
                <w:color w:val="auto"/>
              </w:rPr>
              <w:t>7</w:t>
            </w:r>
          </w:p>
        </w:tc>
        <w:tc>
          <w:tcPr>
            <w:tcW w:w="520" w:type="dxa"/>
            <w:vAlign w:val="bottom"/>
            <w:shd w:val="clear" w:color="auto" w:fill="E4E4E4"/>
          </w:tcPr>
          <w:p>
            <w:pPr>
              <w:spacing w:after="0"/>
              <w:rPr>
                <w:sz w:val="19"/>
                <w:szCs w:val="19"/>
                <w:color w:val="auto"/>
              </w:rPr>
            </w:pPr>
          </w:p>
        </w:tc>
        <w:tc>
          <w:tcPr>
            <w:tcW w:w="1300" w:type="dxa"/>
            <w:vAlign w:val="bottom"/>
            <w:vMerge w:val="restart"/>
            <w:shd w:val="clear" w:color="auto" w:fill="E4E4E4"/>
          </w:tcPr>
          <w:p>
            <w:pPr>
              <w:jc w:val="right"/>
              <w:ind w:right="40"/>
              <w:spacing w:after="0"/>
              <w:rPr>
                <w:sz w:val="20"/>
                <w:szCs w:val="20"/>
                <w:color w:val="auto"/>
              </w:rPr>
            </w:pPr>
            <w:r>
              <w:rPr>
                <w:rFonts w:ascii="Arial" w:cs="Arial" w:eastAsia="Arial" w:hAnsi="Arial"/>
                <w:sz w:val="20"/>
                <w:szCs w:val="20"/>
                <w:color w:val="auto"/>
              </w:rPr>
              <w:t>67</w:t>
            </w:r>
          </w:p>
        </w:tc>
        <w:tc>
          <w:tcPr>
            <w:tcW w:w="980" w:type="dxa"/>
            <w:vAlign w:val="bottom"/>
            <w:vMerge w:val="restart"/>
            <w:shd w:val="clear" w:color="auto" w:fill="E4E4E4"/>
          </w:tcPr>
          <w:p>
            <w:pPr>
              <w:ind w:left="240"/>
              <w:spacing w:after="0"/>
              <w:rPr>
                <w:sz w:val="20"/>
                <w:szCs w:val="20"/>
                <w:color w:val="auto"/>
              </w:rPr>
            </w:pPr>
            <w:r>
              <w:rPr>
                <w:rFonts w:ascii="Arial" w:cs="Arial" w:eastAsia="Arial" w:hAnsi="Arial"/>
                <w:sz w:val="20"/>
                <w:szCs w:val="20"/>
                <w:color w:val="auto"/>
              </w:rPr>
              <w:t>0.8523</w:t>
            </w:r>
          </w:p>
        </w:tc>
        <w:tc>
          <w:tcPr>
            <w:tcW w:w="1600" w:type="dxa"/>
            <w:vAlign w:val="bottom"/>
            <w:shd w:val="clear" w:color="auto" w:fill="E4E4E4"/>
          </w:tcPr>
          <w:p>
            <w:pPr>
              <w:ind w:left="80"/>
              <w:spacing w:after="0" w:line="229"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0.7</w:t>
            </w:r>
          </w:p>
        </w:tc>
        <w:tc>
          <w:tcPr>
            <w:tcW w:w="1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(0.1)</w:t>
            </w:r>
          </w:p>
        </w:tc>
        <w:tc>
          <w:tcPr>
            <w:tcW w:w="940" w:type="dxa"/>
            <w:vAlign w:val="bottom"/>
            <w:vMerge w:val="restart"/>
            <w:shd w:val="clear" w:color="auto" w:fill="E4E4E4"/>
          </w:tcPr>
          <w:p>
            <w:pPr>
              <w:jc w:val="right"/>
              <w:ind w:right="700"/>
              <w:spacing w:after="0"/>
              <w:rPr>
                <w:sz w:val="20"/>
                <w:szCs w:val="20"/>
                <w:color w:val="auto"/>
              </w:rPr>
            </w:pPr>
            <w:r>
              <w:rPr>
                <w:rFonts w:ascii="Arial" w:cs="Arial" w:eastAsia="Arial" w:hAnsi="Arial"/>
                <w:sz w:val="20"/>
                <w:szCs w:val="20"/>
                <w:color w:val="auto"/>
              </w:rPr>
              <w:t>$</w:t>
            </w:r>
          </w:p>
        </w:tc>
        <w:tc>
          <w:tcPr>
            <w:tcW w:w="4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73"/>
        </w:trPr>
        <w:tc>
          <w:tcPr>
            <w:tcW w:w="980" w:type="dxa"/>
            <w:vAlign w:val="bottom"/>
            <w:shd w:val="clear" w:color="auto" w:fill="E4E4E4"/>
          </w:tcPr>
          <w:p>
            <w:pPr>
              <w:spacing w:after="0"/>
              <w:rPr>
                <w:sz w:val="23"/>
                <w:szCs w:val="23"/>
                <w:color w:val="auto"/>
              </w:rPr>
            </w:pPr>
          </w:p>
        </w:tc>
        <w:tc>
          <w:tcPr>
            <w:tcW w:w="1320" w:type="dxa"/>
            <w:vAlign w:val="bottom"/>
            <w:vMerge w:val="continue"/>
            <w:shd w:val="clear" w:color="auto" w:fill="E4E4E4"/>
          </w:tcPr>
          <w:p>
            <w:pPr>
              <w:spacing w:after="0"/>
              <w:rPr>
                <w:sz w:val="23"/>
                <w:szCs w:val="23"/>
                <w:color w:val="auto"/>
              </w:rPr>
            </w:pPr>
          </w:p>
        </w:tc>
        <w:tc>
          <w:tcPr>
            <w:tcW w:w="520" w:type="dxa"/>
            <w:vAlign w:val="bottom"/>
            <w:shd w:val="clear" w:color="auto" w:fill="E4E4E4"/>
          </w:tcPr>
          <w:p>
            <w:pPr>
              <w:spacing w:after="0"/>
              <w:rPr>
                <w:sz w:val="23"/>
                <w:szCs w:val="23"/>
                <w:color w:val="auto"/>
              </w:rPr>
            </w:pPr>
          </w:p>
        </w:tc>
        <w:tc>
          <w:tcPr>
            <w:tcW w:w="1300" w:type="dxa"/>
            <w:vAlign w:val="bottom"/>
            <w:vMerge w:val="continue"/>
            <w:shd w:val="clear" w:color="auto" w:fill="E4E4E4"/>
          </w:tcPr>
          <w:p>
            <w:pPr>
              <w:spacing w:after="0"/>
              <w:rPr>
                <w:sz w:val="23"/>
                <w:szCs w:val="23"/>
                <w:color w:val="auto"/>
              </w:rPr>
            </w:pPr>
          </w:p>
        </w:tc>
        <w:tc>
          <w:tcPr>
            <w:tcW w:w="980" w:type="dxa"/>
            <w:vAlign w:val="bottom"/>
            <w:vMerge w:val="continue"/>
            <w:shd w:val="clear" w:color="auto" w:fill="E4E4E4"/>
          </w:tcPr>
          <w:p>
            <w:pPr>
              <w:spacing w:after="0"/>
              <w:rPr>
                <w:sz w:val="23"/>
                <w:szCs w:val="23"/>
                <w:color w:val="auto"/>
              </w:rPr>
            </w:pPr>
          </w:p>
        </w:tc>
        <w:tc>
          <w:tcPr>
            <w:tcW w:w="1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(Accrued Exp)  $</w:t>
            </w:r>
          </w:p>
        </w:tc>
        <w:tc>
          <w:tcPr>
            <w:tcW w:w="940" w:type="dxa"/>
            <w:vAlign w:val="bottom"/>
            <w:vMerge w:val="continue"/>
            <w:shd w:val="clear" w:color="auto" w:fill="E4E4E4"/>
          </w:tcPr>
          <w:p>
            <w:pPr>
              <w:spacing w:after="0"/>
              <w:rPr>
                <w:sz w:val="23"/>
                <w:szCs w:val="23"/>
                <w:color w:val="auto"/>
              </w:rPr>
            </w:pPr>
          </w:p>
        </w:tc>
        <w:tc>
          <w:tcPr>
            <w:tcW w:w="180" w:type="dxa"/>
            <w:vAlign w:val="bottom"/>
            <w:vMerge w:val="continue"/>
            <w:shd w:val="clear" w:color="auto" w:fill="E4E4E4"/>
          </w:tcPr>
          <w:p>
            <w:pPr>
              <w:spacing w:after="0"/>
              <w:rPr>
                <w:sz w:val="23"/>
                <w:szCs w:val="23"/>
                <w:color w:val="auto"/>
              </w:rPr>
            </w:pPr>
          </w:p>
        </w:tc>
        <w:tc>
          <w:tcPr>
            <w:tcW w:w="1020" w:type="dxa"/>
            <w:vAlign w:val="bottom"/>
            <w:vMerge w:val="continue"/>
            <w:shd w:val="clear" w:color="auto" w:fill="E4E4E4"/>
          </w:tcPr>
          <w:p>
            <w:pPr>
              <w:spacing w:after="0"/>
              <w:rPr>
                <w:sz w:val="23"/>
                <w:szCs w:val="23"/>
                <w:color w:val="auto"/>
              </w:rPr>
            </w:pPr>
          </w:p>
        </w:tc>
        <w:tc>
          <w:tcPr>
            <w:tcW w:w="940" w:type="dxa"/>
            <w:vAlign w:val="bottom"/>
            <w:vMerge w:val="continue"/>
            <w:shd w:val="clear" w:color="auto" w:fill="E4E4E4"/>
          </w:tcPr>
          <w:p>
            <w:pPr>
              <w:spacing w:after="0"/>
              <w:rPr>
                <w:sz w:val="23"/>
                <w:szCs w:val="23"/>
                <w:color w:val="auto"/>
              </w:rPr>
            </w:pPr>
          </w:p>
        </w:tc>
        <w:tc>
          <w:tcPr>
            <w:tcW w:w="48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9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A$</w:t>
            </w:r>
          </w:p>
        </w:tc>
        <w:tc>
          <w:tcPr>
            <w:tcW w:w="132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210</w:t>
            </w:r>
          </w:p>
        </w:tc>
        <w:tc>
          <w:tcPr>
            <w:tcW w:w="520" w:type="dxa"/>
            <w:vAlign w:val="bottom"/>
            <w:shd w:val="clear" w:color="auto" w:fill="FEFEFE"/>
          </w:tcPr>
          <w:p>
            <w:pPr>
              <w:ind w:left="140"/>
              <w:spacing w:after="0"/>
              <w:rPr>
                <w:sz w:val="20"/>
                <w:szCs w:val="20"/>
                <w:color w:val="auto"/>
              </w:rPr>
            </w:pPr>
            <w:r>
              <w:rPr>
                <w:rFonts w:ascii="Arial" w:cs="Arial" w:eastAsia="Arial" w:hAnsi="Arial"/>
                <w:sz w:val="20"/>
                <w:szCs w:val="20"/>
                <w:color w:val="auto"/>
              </w:rPr>
              <w:t>.S.$</w:t>
            </w:r>
          </w:p>
        </w:tc>
        <w:tc>
          <w:tcPr>
            <w:tcW w:w="1300" w:type="dxa"/>
            <w:vAlign w:val="bottom"/>
            <w:shd w:val="clear" w:color="auto" w:fill="FEFEFE"/>
          </w:tcPr>
          <w:p>
            <w:pPr>
              <w:jc w:val="right"/>
              <w:ind w:right="40"/>
              <w:spacing w:after="0"/>
              <w:rPr>
                <w:sz w:val="20"/>
                <w:szCs w:val="20"/>
                <w:color w:val="auto"/>
              </w:rPr>
            </w:pPr>
            <w:r>
              <w:rPr>
                <w:rFonts w:ascii="Arial" w:cs="Arial" w:eastAsia="Arial" w:hAnsi="Arial"/>
                <w:sz w:val="20"/>
                <w:szCs w:val="20"/>
                <w:color w:val="auto"/>
              </w:rPr>
              <w:t>135</w:t>
            </w:r>
          </w:p>
        </w:tc>
        <w:tc>
          <w:tcPr>
            <w:tcW w:w="980" w:type="dxa"/>
            <w:vAlign w:val="bottom"/>
            <w:shd w:val="clear" w:color="auto" w:fill="FEFEFE"/>
          </w:tcPr>
          <w:p>
            <w:pPr>
              <w:ind w:left="240"/>
              <w:spacing w:after="0"/>
              <w:rPr>
                <w:sz w:val="20"/>
                <w:szCs w:val="20"/>
                <w:color w:val="auto"/>
              </w:rPr>
            </w:pPr>
            <w:r>
              <w:rPr>
                <w:rFonts w:ascii="Arial" w:cs="Arial" w:eastAsia="Arial" w:hAnsi="Arial"/>
                <w:sz w:val="20"/>
                <w:szCs w:val="20"/>
                <w:color w:val="auto"/>
              </w:rPr>
              <w:t>0.6420</w:t>
            </w:r>
          </w:p>
        </w:tc>
        <w:tc>
          <w:tcPr>
            <w:tcW w:w="1600" w:type="dxa"/>
            <w:vAlign w:val="bottom"/>
            <w:shd w:val="clear" w:color="auto" w:fill="FEFEFE"/>
          </w:tcPr>
          <w:p>
            <w:pPr>
              <w:ind w:left="140"/>
              <w:spacing w:after="0"/>
              <w:rPr>
                <w:sz w:val="20"/>
                <w:szCs w:val="20"/>
                <w:color w:val="auto"/>
              </w:rPr>
            </w:pPr>
            <w:r>
              <w:rPr>
                <w:rFonts w:ascii="Arial" w:cs="Arial" w:eastAsia="Arial" w:hAnsi="Arial"/>
                <w:sz w:val="20"/>
                <w:szCs w:val="20"/>
                <w:color w:val="auto"/>
              </w:rPr>
              <w:t>Prepaid Exp</w:t>
            </w: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w:t>
            </w: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92"/>
        </w:trPr>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.S.$</w:t>
            </w:r>
          </w:p>
        </w:tc>
        <w:tc>
          <w:tcPr>
            <w:tcW w:w="132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67</w:t>
            </w:r>
          </w:p>
        </w:tc>
        <w:tc>
          <w:tcPr>
            <w:tcW w:w="520" w:type="dxa"/>
            <w:vAlign w:val="bottom"/>
            <w:shd w:val="clear" w:color="auto" w:fill="E4E4E4"/>
          </w:tcPr>
          <w:p>
            <w:pPr>
              <w:spacing w:after="0"/>
              <w:rPr>
                <w:sz w:val="24"/>
                <w:szCs w:val="24"/>
                <w:color w:val="auto"/>
              </w:rPr>
            </w:pPr>
          </w:p>
        </w:tc>
        <w:tc>
          <w:tcPr>
            <w:tcW w:w="130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rPr>
              <w:t>55</w:t>
            </w:r>
          </w:p>
        </w:tc>
        <w:tc>
          <w:tcPr>
            <w:tcW w:w="980" w:type="dxa"/>
            <w:vAlign w:val="bottom"/>
            <w:shd w:val="clear" w:color="auto" w:fill="E4E4E4"/>
          </w:tcPr>
          <w:p>
            <w:pPr>
              <w:ind w:left="240"/>
              <w:spacing w:after="0"/>
              <w:rPr>
                <w:sz w:val="20"/>
                <w:szCs w:val="20"/>
                <w:color w:val="auto"/>
              </w:rPr>
            </w:pPr>
            <w:r>
              <w:rPr>
                <w:rFonts w:ascii="Arial" w:cs="Arial" w:eastAsia="Arial" w:hAnsi="Arial"/>
                <w:sz w:val="20"/>
                <w:szCs w:val="20"/>
                <w:color w:val="auto"/>
              </w:rPr>
              <w:t>0.8177</w:t>
            </w:r>
          </w:p>
        </w:tc>
        <w:tc>
          <w:tcPr>
            <w:tcW w:w="1600" w:type="dxa"/>
            <w:vAlign w:val="bottom"/>
            <w:shd w:val="clear" w:color="auto" w:fill="E4E4E4"/>
          </w:tcPr>
          <w:p>
            <w:pPr>
              <w:ind w:left="140"/>
              <w:spacing w:after="0"/>
              <w:rPr>
                <w:sz w:val="20"/>
                <w:szCs w:val="20"/>
                <w:color w:val="auto"/>
              </w:rPr>
            </w:pPr>
            <w:r>
              <w:rPr>
                <w:rFonts w:ascii="Arial" w:cs="Arial" w:eastAsia="Arial" w:hAnsi="Arial"/>
                <w:sz w:val="20"/>
                <w:szCs w:val="20"/>
                <w:color w:val="auto"/>
              </w:rPr>
              <w:t>Prepaid Exp</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0.8</w:t>
            </w:r>
          </w:p>
        </w:tc>
        <w:tc>
          <w:tcPr>
            <w:tcW w:w="180" w:type="dxa"/>
            <w:vAlign w:val="bottom"/>
            <w:shd w:val="clear" w:color="auto" w:fill="E4E4E4"/>
          </w:tcPr>
          <w:p>
            <w:pPr>
              <w:spacing w:after="0"/>
              <w:rPr>
                <w:sz w:val="24"/>
                <w:szCs w:val="24"/>
                <w:color w:val="auto"/>
              </w:rPr>
            </w:pPr>
          </w:p>
        </w:tc>
        <w:tc>
          <w:tcPr>
            <w:tcW w:w="1020" w:type="dxa"/>
            <w:vAlign w:val="bottom"/>
            <w:shd w:val="clear" w:color="auto" w:fill="E4E4E4"/>
          </w:tcPr>
          <w:p>
            <w:pPr>
              <w:spacing w:after="0"/>
              <w:rPr>
                <w:sz w:val="24"/>
                <w:szCs w:val="24"/>
                <w:color w:val="auto"/>
              </w:rPr>
            </w:pPr>
          </w:p>
        </w:tc>
        <w:tc>
          <w:tcPr>
            <w:tcW w:w="940" w:type="dxa"/>
            <w:vAlign w:val="bottom"/>
            <w:shd w:val="clear" w:color="auto" w:fill="E4E4E4"/>
          </w:tcPr>
          <w:p>
            <w:pPr>
              <w:spacing w:after="0"/>
              <w:rPr>
                <w:sz w:val="24"/>
                <w:szCs w:val="24"/>
                <w:color w:val="auto"/>
              </w:rPr>
            </w:pPr>
          </w:p>
        </w:tc>
        <w:tc>
          <w:tcPr>
            <w:tcW w:w="4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93"/>
        </w:trPr>
        <w:tc>
          <w:tcPr>
            <w:tcW w:w="980" w:type="dxa"/>
            <w:vAlign w:val="bottom"/>
            <w:shd w:val="clear" w:color="auto" w:fill="FEFEFE"/>
          </w:tcPr>
          <w:p>
            <w:pPr>
              <w:spacing w:after="0"/>
              <w:rPr>
                <w:sz w:val="24"/>
                <w:szCs w:val="24"/>
                <w:color w:val="auto"/>
              </w:rPr>
            </w:pPr>
          </w:p>
        </w:tc>
        <w:tc>
          <w:tcPr>
            <w:tcW w:w="132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50</w:t>
            </w:r>
          </w:p>
        </w:tc>
        <w:tc>
          <w:tcPr>
            <w:tcW w:w="520" w:type="dxa"/>
            <w:vAlign w:val="bottom"/>
            <w:shd w:val="clear" w:color="auto" w:fill="FEFEFE"/>
          </w:tcPr>
          <w:p>
            <w:pPr>
              <w:ind w:left="140"/>
              <w:spacing w:after="0"/>
              <w:rPr>
                <w:sz w:val="20"/>
                <w:szCs w:val="20"/>
                <w:color w:val="auto"/>
              </w:rPr>
            </w:pPr>
            <w:r>
              <w:rPr>
                <w:rFonts w:ascii="Arial" w:cs="Arial" w:eastAsia="Arial" w:hAnsi="Arial"/>
                <w:sz w:val="20"/>
                <w:szCs w:val="20"/>
                <w:color w:val="auto"/>
              </w:rPr>
              <w:t>.S.$</w:t>
            </w:r>
          </w:p>
        </w:tc>
        <w:tc>
          <w:tcPr>
            <w:tcW w:w="1300" w:type="dxa"/>
            <w:vAlign w:val="bottom"/>
            <w:shd w:val="clear" w:color="auto" w:fill="FEFEFE"/>
          </w:tcPr>
          <w:p>
            <w:pPr>
              <w:jc w:val="right"/>
              <w:ind w:right="40"/>
              <w:spacing w:after="0"/>
              <w:rPr>
                <w:sz w:val="20"/>
                <w:szCs w:val="20"/>
                <w:color w:val="auto"/>
              </w:rPr>
            </w:pPr>
            <w:r>
              <w:rPr>
                <w:rFonts w:ascii="Arial" w:cs="Arial" w:eastAsia="Arial" w:hAnsi="Arial"/>
                <w:sz w:val="20"/>
                <w:szCs w:val="20"/>
                <w:color w:val="auto"/>
              </w:rPr>
              <w:t>61</w:t>
            </w:r>
          </w:p>
        </w:tc>
        <w:tc>
          <w:tcPr>
            <w:tcW w:w="980" w:type="dxa"/>
            <w:vAlign w:val="bottom"/>
            <w:shd w:val="clear" w:color="auto" w:fill="FEFEFE"/>
          </w:tcPr>
          <w:p>
            <w:pPr>
              <w:ind w:left="240"/>
              <w:spacing w:after="0"/>
              <w:rPr>
                <w:sz w:val="20"/>
                <w:szCs w:val="20"/>
                <w:color w:val="auto"/>
              </w:rPr>
            </w:pPr>
            <w:r>
              <w:rPr>
                <w:rFonts w:ascii="Arial" w:cs="Arial" w:eastAsia="Arial" w:hAnsi="Arial"/>
                <w:sz w:val="20"/>
                <w:szCs w:val="20"/>
                <w:color w:val="auto"/>
              </w:rPr>
              <w:t>1.2222</w:t>
            </w:r>
          </w:p>
        </w:tc>
        <w:tc>
          <w:tcPr>
            <w:tcW w:w="1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(0. )</w:t>
            </w: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(0. )</w:t>
            </w:r>
          </w:p>
        </w:tc>
        <w:tc>
          <w:tcPr>
            <w:tcW w:w="0" w:type="dxa"/>
            <w:vAlign w:val="bottom"/>
          </w:tcPr>
          <w:p>
            <w:pPr>
              <w:spacing w:after="0"/>
              <w:rPr>
                <w:sz w:val="1"/>
                <w:szCs w:val="1"/>
                <w:color w:val="auto"/>
              </w:rPr>
            </w:pPr>
          </w:p>
        </w:tc>
      </w:tr>
      <w:tr>
        <w:trPr>
          <w:trHeight w:val="228"/>
        </w:trPr>
        <w:tc>
          <w:tcPr>
            <w:tcW w:w="980" w:type="dxa"/>
            <w:vAlign w:val="bottom"/>
            <w:shd w:val="clear" w:color="auto" w:fill="E4E4E4"/>
          </w:tcPr>
          <w:p>
            <w:pPr>
              <w:spacing w:after="0"/>
              <w:rPr>
                <w:sz w:val="19"/>
                <w:szCs w:val="19"/>
                <w:color w:val="auto"/>
              </w:rPr>
            </w:pPr>
          </w:p>
        </w:tc>
        <w:tc>
          <w:tcPr>
            <w:tcW w:w="1320" w:type="dxa"/>
            <w:vAlign w:val="bottom"/>
            <w:vMerge w:val="restart"/>
            <w:shd w:val="clear" w:color="auto" w:fill="E4E4E4"/>
          </w:tcPr>
          <w:p>
            <w:pPr>
              <w:jc w:val="right"/>
              <w:ind w:right="60"/>
              <w:spacing w:after="0"/>
              <w:rPr>
                <w:sz w:val="20"/>
                <w:szCs w:val="20"/>
                <w:color w:val="auto"/>
              </w:rPr>
            </w:pPr>
            <w:r>
              <w:rPr>
                <w:rFonts w:ascii="Arial" w:cs="Arial" w:eastAsia="Arial" w:hAnsi="Arial"/>
                <w:sz w:val="20"/>
                <w:szCs w:val="20"/>
                <w:color w:val="auto"/>
              </w:rPr>
              <w:t>200</w:t>
            </w:r>
          </w:p>
        </w:tc>
        <w:tc>
          <w:tcPr>
            <w:tcW w:w="520" w:type="dxa"/>
            <w:vAlign w:val="bottom"/>
            <w:vMerge w:val="restart"/>
            <w:shd w:val="clear" w:color="auto" w:fill="E4E4E4"/>
          </w:tcPr>
          <w:p>
            <w:pPr>
              <w:ind w:left="140"/>
              <w:spacing w:after="0"/>
              <w:rPr>
                <w:sz w:val="20"/>
                <w:szCs w:val="20"/>
                <w:color w:val="auto"/>
              </w:rPr>
            </w:pPr>
            <w:r>
              <w:rPr>
                <w:rFonts w:ascii="Arial" w:cs="Arial" w:eastAsia="Arial" w:hAnsi="Arial"/>
                <w:sz w:val="20"/>
                <w:szCs w:val="20"/>
                <w:color w:val="auto"/>
              </w:rPr>
              <w:t>.S.$</w:t>
            </w:r>
          </w:p>
        </w:tc>
        <w:tc>
          <w:tcPr>
            <w:tcW w:w="1300" w:type="dxa"/>
            <w:vAlign w:val="bottom"/>
            <w:vMerge w:val="restart"/>
            <w:shd w:val="clear" w:color="auto" w:fill="E4E4E4"/>
          </w:tcPr>
          <w:p>
            <w:pPr>
              <w:jc w:val="right"/>
              <w:ind w:right="40"/>
              <w:spacing w:after="0"/>
              <w:rPr>
                <w:sz w:val="20"/>
                <w:szCs w:val="20"/>
                <w:color w:val="auto"/>
              </w:rPr>
            </w:pPr>
            <w:r>
              <w:rPr>
                <w:rFonts w:ascii="Arial" w:cs="Arial" w:eastAsia="Arial" w:hAnsi="Arial"/>
                <w:sz w:val="20"/>
                <w:szCs w:val="20"/>
                <w:color w:val="auto"/>
              </w:rPr>
              <w:t>217</w:t>
            </w:r>
          </w:p>
        </w:tc>
        <w:tc>
          <w:tcPr>
            <w:tcW w:w="980" w:type="dxa"/>
            <w:vAlign w:val="bottom"/>
            <w:vMerge w:val="restart"/>
            <w:shd w:val="clear" w:color="auto" w:fill="E4E4E4"/>
          </w:tcPr>
          <w:p>
            <w:pPr>
              <w:ind w:left="240"/>
              <w:spacing w:after="0"/>
              <w:rPr>
                <w:sz w:val="20"/>
                <w:szCs w:val="20"/>
                <w:color w:val="auto"/>
              </w:rPr>
            </w:pPr>
            <w:r>
              <w:rPr>
                <w:rFonts w:ascii="Arial" w:cs="Arial" w:eastAsia="Arial" w:hAnsi="Arial"/>
                <w:sz w:val="20"/>
                <w:szCs w:val="20"/>
                <w:color w:val="auto"/>
              </w:rPr>
              <w:t>1.0852</w:t>
            </w:r>
          </w:p>
        </w:tc>
        <w:tc>
          <w:tcPr>
            <w:tcW w:w="1600" w:type="dxa"/>
            <w:vAlign w:val="bottom"/>
            <w:shd w:val="clear" w:color="auto" w:fill="E4E4E4"/>
          </w:tcPr>
          <w:p>
            <w:pPr>
              <w:ind w:left="80"/>
              <w:spacing w:after="0" w:line="229"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7.6</w:t>
            </w:r>
          </w:p>
        </w:tc>
        <w:tc>
          <w:tcPr>
            <w:tcW w:w="180" w:type="dxa"/>
            <w:vAlign w:val="bottom"/>
            <w:shd w:val="clear" w:color="auto" w:fill="E4E4E4"/>
          </w:tcPr>
          <w:p>
            <w:pPr>
              <w:spacing w:after="0"/>
              <w:rPr>
                <w:sz w:val="19"/>
                <w:szCs w:val="19"/>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(0.4)</w:t>
            </w:r>
          </w:p>
        </w:tc>
        <w:tc>
          <w:tcPr>
            <w:tcW w:w="940" w:type="dxa"/>
            <w:vAlign w:val="bottom"/>
            <w:shd w:val="clear" w:color="auto" w:fill="E4E4E4"/>
          </w:tcPr>
          <w:p>
            <w:pPr>
              <w:spacing w:after="0"/>
              <w:rPr>
                <w:sz w:val="19"/>
                <w:szCs w:val="19"/>
                <w:color w:val="auto"/>
              </w:rPr>
            </w:pPr>
          </w:p>
        </w:tc>
        <w:tc>
          <w:tcPr>
            <w:tcW w:w="4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73"/>
        </w:trPr>
        <w:tc>
          <w:tcPr>
            <w:tcW w:w="980" w:type="dxa"/>
            <w:vAlign w:val="bottom"/>
            <w:shd w:val="clear" w:color="auto" w:fill="E4E4E4"/>
          </w:tcPr>
          <w:p>
            <w:pPr>
              <w:spacing w:after="0"/>
              <w:rPr>
                <w:sz w:val="23"/>
                <w:szCs w:val="23"/>
                <w:color w:val="auto"/>
              </w:rPr>
            </w:pPr>
          </w:p>
        </w:tc>
        <w:tc>
          <w:tcPr>
            <w:tcW w:w="1320" w:type="dxa"/>
            <w:vAlign w:val="bottom"/>
            <w:vMerge w:val="continue"/>
            <w:shd w:val="clear" w:color="auto" w:fill="E4E4E4"/>
          </w:tcPr>
          <w:p>
            <w:pPr>
              <w:spacing w:after="0"/>
              <w:rPr>
                <w:sz w:val="23"/>
                <w:szCs w:val="23"/>
                <w:color w:val="auto"/>
              </w:rPr>
            </w:pPr>
          </w:p>
        </w:tc>
        <w:tc>
          <w:tcPr>
            <w:tcW w:w="520" w:type="dxa"/>
            <w:vAlign w:val="bottom"/>
            <w:vMerge w:val="continue"/>
            <w:shd w:val="clear" w:color="auto" w:fill="E4E4E4"/>
          </w:tcPr>
          <w:p>
            <w:pPr>
              <w:spacing w:after="0"/>
              <w:rPr>
                <w:sz w:val="23"/>
                <w:szCs w:val="23"/>
                <w:color w:val="auto"/>
              </w:rPr>
            </w:pPr>
          </w:p>
        </w:tc>
        <w:tc>
          <w:tcPr>
            <w:tcW w:w="1300" w:type="dxa"/>
            <w:vAlign w:val="bottom"/>
            <w:vMerge w:val="continue"/>
            <w:shd w:val="clear" w:color="auto" w:fill="E4E4E4"/>
          </w:tcPr>
          <w:p>
            <w:pPr>
              <w:spacing w:after="0"/>
              <w:rPr>
                <w:sz w:val="23"/>
                <w:szCs w:val="23"/>
                <w:color w:val="auto"/>
              </w:rPr>
            </w:pPr>
          </w:p>
        </w:tc>
        <w:tc>
          <w:tcPr>
            <w:tcW w:w="980" w:type="dxa"/>
            <w:vAlign w:val="bottom"/>
            <w:vMerge w:val="continue"/>
            <w:shd w:val="clear" w:color="auto" w:fill="E4E4E4"/>
          </w:tcPr>
          <w:p>
            <w:pPr>
              <w:spacing w:after="0"/>
              <w:rPr>
                <w:sz w:val="23"/>
                <w:szCs w:val="23"/>
                <w:color w:val="auto"/>
              </w:rPr>
            </w:pPr>
          </w:p>
        </w:tc>
        <w:tc>
          <w:tcPr>
            <w:tcW w:w="1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vMerge w:val="continue"/>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020" w:type="dxa"/>
            <w:vAlign w:val="bottom"/>
            <w:vMerge w:val="continue"/>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48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100" w:type="dxa"/>
            <w:vAlign w:val="bottom"/>
            <w:gridSpan w:val="5"/>
            <w:shd w:val="clear" w:color="auto" w:fill="FEFEFE"/>
          </w:tcPr>
          <w:p>
            <w:pPr>
              <w:ind w:left="40"/>
              <w:spacing w:after="0"/>
              <w:rPr>
                <w:sz w:val="20"/>
                <w:szCs w:val="20"/>
                <w:color w:val="auto"/>
              </w:rPr>
            </w:pPr>
            <w:r>
              <w:rPr>
                <w:rFonts w:ascii="Arial" w:cs="Arial" w:eastAsia="Arial" w:hAnsi="Arial"/>
                <w:sz w:val="20"/>
                <w:szCs w:val="20"/>
                <w:color w:val="auto"/>
                <w:w w:val="90"/>
              </w:rPr>
              <w:t>Economic hedges for which hedge accounting was not elected:</w:t>
            </w:r>
          </w:p>
        </w:tc>
        <w:tc>
          <w:tcPr>
            <w:tcW w:w="160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E4E4E4"/>
          </w:tcPr>
          <w:p>
            <w:pPr>
              <w:jc w:val="right"/>
              <w:spacing w:after="0" w:line="193" w:lineRule="exact"/>
              <w:rPr>
                <w:sz w:val="20"/>
                <w:szCs w:val="20"/>
                <w:color w:val="auto"/>
              </w:rPr>
            </w:pPr>
            <w:r>
              <w:rPr>
                <w:rFonts w:ascii="Arial" w:cs="Arial" w:eastAsia="Arial" w:hAnsi="Arial"/>
                <w:sz w:val="20"/>
                <w:szCs w:val="20"/>
                <w:color w:val="auto"/>
              </w:rPr>
              <w:t>Diesel</w:t>
            </w:r>
          </w:p>
        </w:tc>
        <w:tc>
          <w:tcPr>
            <w:tcW w:w="1320" w:type="dxa"/>
            <w:vAlign w:val="bottom"/>
            <w:shd w:val="clear" w:color="auto" w:fill="E4E4E4"/>
          </w:tcPr>
          <w:p>
            <w:pPr>
              <w:jc w:val="center"/>
              <w:spacing w:after="0" w:line="193" w:lineRule="exact"/>
              <w:rPr>
                <w:sz w:val="20"/>
                <w:szCs w:val="20"/>
                <w:color w:val="auto"/>
              </w:rPr>
            </w:pPr>
            <w:r>
              <w:rPr>
                <w:rFonts w:ascii="Arial" w:cs="Arial" w:eastAsia="Arial" w:hAnsi="Arial"/>
                <w:sz w:val="20"/>
                <w:szCs w:val="20"/>
                <w:color w:val="auto"/>
                <w:w w:val="91"/>
              </w:rPr>
              <w:t>Fixed on</w:t>
            </w:r>
          </w:p>
        </w:tc>
        <w:tc>
          <w:tcPr>
            <w:tcW w:w="520" w:type="dxa"/>
            <w:vAlign w:val="bottom"/>
            <w:shd w:val="clear" w:color="auto" w:fill="E4E4E4"/>
          </w:tcPr>
          <w:p>
            <w:pPr>
              <w:spacing w:after="0"/>
              <w:rPr>
                <w:sz w:val="16"/>
                <w:szCs w:val="16"/>
                <w:color w:val="auto"/>
              </w:rPr>
            </w:pPr>
          </w:p>
        </w:tc>
        <w:tc>
          <w:tcPr>
            <w:tcW w:w="1300" w:type="dxa"/>
            <w:vAlign w:val="bottom"/>
            <w:shd w:val="clear" w:color="auto" w:fill="E4E4E4"/>
          </w:tcPr>
          <w:p>
            <w:pPr>
              <w:jc w:val="right"/>
              <w:ind w:right="240"/>
              <w:spacing w:after="0" w:line="193" w:lineRule="exact"/>
              <w:rPr>
                <w:sz w:val="20"/>
                <w:szCs w:val="20"/>
                <w:color w:val="auto"/>
              </w:rPr>
            </w:pPr>
            <w:r>
              <w:rPr>
                <w:rFonts w:ascii="Arial" w:cs="Arial" w:eastAsia="Arial" w:hAnsi="Arial"/>
                <w:sz w:val="20"/>
                <w:szCs w:val="20"/>
                <w:color w:val="auto"/>
              </w:rPr>
              <w:t>Float on</w:t>
            </w:r>
          </w:p>
        </w:tc>
        <w:tc>
          <w:tcPr>
            <w:tcW w:w="980" w:type="dxa"/>
            <w:vAlign w:val="bottom"/>
            <w:shd w:val="clear" w:color="auto" w:fill="E4E4E4"/>
          </w:tcPr>
          <w:p>
            <w:pPr>
              <w:spacing w:after="0"/>
              <w:rPr>
                <w:sz w:val="16"/>
                <w:szCs w:val="16"/>
                <w:color w:val="auto"/>
              </w:rPr>
            </w:pPr>
          </w:p>
        </w:tc>
        <w:tc>
          <w:tcPr>
            <w:tcW w:w="1600" w:type="dxa"/>
            <w:vAlign w:val="bottom"/>
            <w:shd w:val="clear" w:color="auto" w:fill="E4E4E4"/>
          </w:tcPr>
          <w:p>
            <w:pPr>
              <w:spacing w:after="0"/>
              <w:rPr>
                <w:sz w:val="16"/>
                <w:szCs w:val="16"/>
                <w:color w:val="auto"/>
              </w:rPr>
            </w:pPr>
          </w:p>
        </w:tc>
        <w:tc>
          <w:tcPr>
            <w:tcW w:w="94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020" w:type="dxa"/>
            <w:vAlign w:val="bottom"/>
            <w:shd w:val="clear" w:color="auto" w:fill="E4E4E4"/>
          </w:tcPr>
          <w:p>
            <w:pPr>
              <w:spacing w:after="0"/>
              <w:rPr>
                <w:sz w:val="16"/>
                <w:szCs w:val="16"/>
                <w:color w:val="auto"/>
              </w:rPr>
            </w:pPr>
          </w:p>
        </w:tc>
        <w:tc>
          <w:tcPr>
            <w:tcW w:w="940" w:type="dxa"/>
            <w:vAlign w:val="bottom"/>
            <w:shd w:val="clear" w:color="auto" w:fill="E4E4E4"/>
          </w:tcPr>
          <w:p>
            <w:pPr>
              <w:spacing w:after="0"/>
              <w:rPr>
                <w:sz w:val="16"/>
                <w:szCs w:val="16"/>
                <w:color w:val="auto"/>
              </w:rPr>
            </w:pPr>
          </w:p>
        </w:tc>
        <w:tc>
          <w:tcPr>
            <w:tcW w:w="4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80" w:type="dxa"/>
            <w:vAlign w:val="bottom"/>
            <w:shd w:val="clear" w:color="auto" w:fill="E4E4E4"/>
          </w:tcPr>
          <w:p>
            <w:pPr>
              <w:jc w:val="right"/>
              <w:spacing w:after="0" w:line="200" w:lineRule="exact"/>
              <w:rPr>
                <w:sz w:val="20"/>
                <w:szCs w:val="20"/>
                <w:color w:val="auto"/>
              </w:rPr>
            </w:pPr>
            <w:r>
              <w:rPr>
                <w:rFonts w:ascii="Arial" w:cs="Arial" w:eastAsia="Arial" w:hAnsi="Arial"/>
                <w:sz w:val="20"/>
                <w:szCs w:val="20"/>
                <w:color w:val="auto"/>
              </w:rPr>
              <w:t>fuel</w:t>
            </w:r>
          </w:p>
        </w:tc>
        <w:tc>
          <w:tcPr>
            <w:tcW w:w="1320" w:type="dxa"/>
            <w:vAlign w:val="bottom"/>
            <w:shd w:val="clear" w:color="auto" w:fill="E4E4E4"/>
          </w:tcPr>
          <w:p>
            <w:pPr>
              <w:jc w:val="right"/>
              <w:ind w:right="380"/>
              <w:spacing w:after="0" w:line="200" w:lineRule="exact"/>
              <w:rPr>
                <w:sz w:val="20"/>
                <w:szCs w:val="20"/>
                <w:color w:val="auto"/>
              </w:rPr>
            </w:pPr>
            <w:r>
              <w:rPr>
                <w:rFonts w:ascii="Arial" w:cs="Arial" w:eastAsia="Arial" w:hAnsi="Arial"/>
                <w:sz w:val="20"/>
                <w:szCs w:val="20"/>
                <w:color w:val="auto"/>
              </w:rPr>
              <w:t>3.1  - 3.</w:t>
            </w:r>
          </w:p>
        </w:tc>
        <w:tc>
          <w:tcPr>
            <w:tcW w:w="520" w:type="dxa"/>
            <w:vAlign w:val="bottom"/>
            <w:shd w:val="clear" w:color="auto" w:fill="E4E4E4"/>
          </w:tcPr>
          <w:p>
            <w:pPr>
              <w:spacing w:after="0"/>
              <w:rPr>
                <w:sz w:val="17"/>
                <w:szCs w:val="17"/>
                <w:color w:val="auto"/>
              </w:rPr>
            </w:pPr>
          </w:p>
        </w:tc>
        <w:tc>
          <w:tcPr>
            <w:tcW w:w="1300" w:type="dxa"/>
            <w:vAlign w:val="bottom"/>
            <w:shd w:val="clear" w:color="auto" w:fill="E4E4E4"/>
          </w:tcPr>
          <w:p>
            <w:pPr>
              <w:jc w:val="right"/>
              <w:ind w:right="340"/>
              <w:spacing w:after="0" w:line="200" w:lineRule="exact"/>
              <w:rPr>
                <w:sz w:val="20"/>
                <w:szCs w:val="20"/>
                <w:color w:val="auto"/>
              </w:rPr>
            </w:pPr>
            <w:r>
              <w:rPr>
                <w:rFonts w:ascii="Arial" w:cs="Arial" w:eastAsia="Arial" w:hAnsi="Arial"/>
                <w:sz w:val="20"/>
                <w:szCs w:val="20"/>
                <w:color w:val="auto"/>
              </w:rPr>
              <w:t>3.1  - 3.</w:t>
            </w:r>
          </w:p>
        </w:tc>
        <w:tc>
          <w:tcPr>
            <w:tcW w:w="980" w:type="dxa"/>
            <w:vAlign w:val="bottom"/>
            <w:vMerge w:val="restart"/>
            <w:shd w:val="clear" w:color="auto" w:fill="E4E4E4"/>
          </w:tcPr>
          <w:p>
            <w:pPr>
              <w:ind w:left="460"/>
              <w:spacing w:after="0"/>
              <w:rPr>
                <w:sz w:val="20"/>
                <w:szCs w:val="20"/>
                <w:color w:val="auto"/>
              </w:rPr>
            </w:pPr>
            <w:r>
              <w:rPr>
                <w:rFonts w:ascii="Arial" w:cs="Arial" w:eastAsia="Arial" w:hAnsi="Arial"/>
                <w:sz w:val="20"/>
                <w:szCs w:val="20"/>
                <w:color w:val="auto"/>
              </w:rPr>
              <w:t>N A</w:t>
            </w:r>
          </w:p>
        </w:tc>
        <w:tc>
          <w:tcPr>
            <w:tcW w:w="1600" w:type="dxa"/>
            <w:vAlign w:val="bottom"/>
            <w:vMerge w:val="restart"/>
            <w:shd w:val="clear" w:color="auto" w:fill="E4E4E4"/>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 .1)</w:t>
            </w:r>
          </w:p>
        </w:tc>
        <w:tc>
          <w:tcPr>
            <w:tcW w:w="940" w:type="dxa"/>
            <w:vAlign w:val="bottom"/>
            <w:shd w:val="clear" w:color="auto" w:fill="E4E4E4"/>
          </w:tcPr>
          <w:p>
            <w:pPr>
              <w:spacing w:after="0"/>
              <w:rPr>
                <w:sz w:val="17"/>
                <w:szCs w:val="17"/>
                <w:color w:val="auto"/>
              </w:rPr>
            </w:pPr>
          </w:p>
        </w:tc>
        <w:tc>
          <w:tcPr>
            <w:tcW w:w="4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 .1)</w:t>
            </w:r>
          </w:p>
        </w:tc>
        <w:tc>
          <w:tcPr>
            <w:tcW w:w="0" w:type="dxa"/>
            <w:vAlign w:val="bottom"/>
          </w:tcPr>
          <w:p>
            <w:pPr>
              <w:spacing w:after="0"/>
              <w:rPr>
                <w:sz w:val="1"/>
                <w:szCs w:val="1"/>
                <w:color w:val="auto"/>
              </w:rPr>
            </w:pPr>
          </w:p>
        </w:tc>
      </w:tr>
      <w:tr>
        <w:trPr>
          <w:trHeight w:val="273"/>
        </w:trPr>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contracts</w:t>
            </w:r>
          </w:p>
        </w:tc>
        <w:tc>
          <w:tcPr>
            <w:tcW w:w="1320" w:type="dxa"/>
            <w:vAlign w:val="bottom"/>
            <w:shd w:val="clear" w:color="auto" w:fill="E4E4E4"/>
          </w:tcPr>
          <w:p>
            <w:pPr>
              <w:jc w:val="center"/>
              <w:spacing w:after="0"/>
              <w:rPr>
                <w:sz w:val="20"/>
                <w:szCs w:val="20"/>
                <w:color w:val="auto"/>
              </w:rPr>
            </w:pPr>
            <w:r>
              <w:rPr>
                <w:rFonts w:ascii="Arial" w:cs="Arial" w:eastAsia="Arial" w:hAnsi="Arial"/>
                <w:sz w:val="20"/>
                <w:szCs w:val="20"/>
                <w:color w:val="auto"/>
                <w:w w:val="91"/>
              </w:rPr>
              <w:t>gal per month</w:t>
            </w:r>
          </w:p>
        </w:tc>
        <w:tc>
          <w:tcPr>
            <w:tcW w:w="520" w:type="dxa"/>
            <w:vAlign w:val="bottom"/>
            <w:shd w:val="clear" w:color="auto" w:fill="E4E4E4"/>
          </w:tcPr>
          <w:p>
            <w:pPr>
              <w:spacing w:after="0"/>
              <w:rPr>
                <w:sz w:val="23"/>
                <w:szCs w:val="23"/>
                <w:color w:val="auto"/>
              </w:rPr>
            </w:pPr>
          </w:p>
        </w:tc>
        <w:tc>
          <w:tcPr>
            <w:tcW w:w="130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w w:val="94"/>
              </w:rPr>
              <w:t>gal per month</w:t>
            </w:r>
          </w:p>
        </w:tc>
        <w:tc>
          <w:tcPr>
            <w:tcW w:w="980" w:type="dxa"/>
            <w:vAlign w:val="bottom"/>
            <w:vMerge w:val="continue"/>
            <w:shd w:val="clear" w:color="auto" w:fill="E4E4E4"/>
          </w:tcPr>
          <w:p>
            <w:pPr>
              <w:spacing w:after="0"/>
              <w:rPr>
                <w:sz w:val="23"/>
                <w:szCs w:val="23"/>
                <w:color w:val="auto"/>
              </w:rPr>
            </w:pPr>
          </w:p>
        </w:tc>
        <w:tc>
          <w:tcPr>
            <w:tcW w:w="1600" w:type="dxa"/>
            <w:vAlign w:val="bottom"/>
            <w:vMerge w:val="continue"/>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020" w:type="dxa"/>
            <w:vAlign w:val="bottom"/>
            <w:vMerge w:val="continue"/>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48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700" w:type="dxa"/>
            <w:vAlign w:val="bottom"/>
            <w:gridSpan w:val="6"/>
            <w:shd w:val="clear" w:color="auto" w:fill="FEFEFE"/>
          </w:tcPr>
          <w:p>
            <w:pPr>
              <w:ind w:left="260"/>
              <w:spacing w:after="0"/>
              <w:rPr>
                <w:sz w:val="20"/>
                <w:szCs w:val="20"/>
                <w:color w:val="auto"/>
              </w:rPr>
            </w:pPr>
            <w:r>
              <w:rPr>
                <w:rFonts w:ascii="Arial" w:cs="Arial" w:eastAsia="Arial" w:hAnsi="Arial"/>
                <w:sz w:val="20"/>
                <w:szCs w:val="20"/>
                <w:color w:val="auto"/>
              </w:rPr>
              <w:t>Intercompany billings in TJX International, primarily merchandise:</w:t>
            </w: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80" w:type="dxa"/>
            <w:vAlign w:val="bottom"/>
            <w:shd w:val="clear" w:color="auto" w:fill="E4E4E4"/>
          </w:tcPr>
          <w:p>
            <w:pPr>
              <w:spacing w:after="0"/>
              <w:rPr>
                <w:sz w:val="24"/>
                <w:szCs w:val="24"/>
                <w:color w:val="auto"/>
              </w:rPr>
            </w:pPr>
          </w:p>
        </w:tc>
        <w:tc>
          <w:tcPr>
            <w:tcW w:w="132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175</w:t>
            </w:r>
          </w:p>
        </w:tc>
        <w:tc>
          <w:tcPr>
            <w:tcW w:w="520" w:type="dxa"/>
            <w:vAlign w:val="bottom"/>
            <w:shd w:val="clear" w:color="auto" w:fill="E4E4E4"/>
          </w:tcPr>
          <w:p>
            <w:pPr>
              <w:spacing w:after="0"/>
              <w:rPr>
                <w:sz w:val="24"/>
                <w:szCs w:val="24"/>
                <w:color w:val="auto"/>
              </w:rPr>
            </w:pPr>
          </w:p>
        </w:tc>
        <w:tc>
          <w:tcPr>
            <w:tcW w:w="130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rPr>
              <w:t>148</w:t>
            </w:r>
          </w:p>
        </w:tc>
        <w:tc>
          <w:tcPr>
            <w:tcW w:w="980" w:type="dxa"/>
            <w:vAlign w:val="bottom"/>
            <w:shd w:val="clear" w:color="auto" w:fill="E4E4E4"/>
          </w:tcPr>
          <w:p>
            <w:pPr>
              <w:ind w:left="240"/>
              <w:spacing w:after="0"/>
              <w:rPr>
                <w:sz w:val="20"/>
                <w:szCs w:val="20"/>
                <w:color w:val="auto"/>
              </w:rPr>
            </w:pPr>
            <w:r>
              <w:rPr>
                <w:rFonts w:ascii="Arial" w:cs="Arial" w:eastAsia="Arial" w:hAnsi="Arial"/>
                <w:sz w:val="20"/>
                <w:szCs w:val="20"/>
                <w:color w:val="auto"/>
              </w:rPr>
              <w:t>0.8442</w:t>
            </w:r>
          </w:p>
        </w:tc>
        <w:tc>
          <w:tcPr>
            <w:tcW w:w="1600" w:type="dxa"/>
            <w:vAlign w:val="bottom"/>
            <w:shd w:val="clear" w:color="auto" w:fill="E4E4E4"/>
          </w:tcPr>
          <w:p>
            <w:pPr>
              <w:ind w:left="140"/>
              <w:spacing w:after="0"/>
              <w:rPr>
                <w:sz w:val="20"/>
                <w:szCs w:val="20"/>
                <w:color w:val="auto"/>
              </w:rPr>
            </w:pPr>
            <w:r>
              <w:rPr>
                <w:rFonts w:ascii="Arial" w:cs="Arial" w:eastAsia="Arial" w:hAnsi="Arial"/>
                <w:sz w:val="20"/>
                <w:szCs w:val="20"/>
                <w:color w:val="auto"/>
              </w:rPr>
              <w:t>Prepaid Exp</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w:t>
            </w:r>
          </w:p>
        </w:tc>
        <w:tc>
          <w:tcPr>
            <w:tcW w:w="180" w:type="dxa"/>
            <w:vAlign w:val="bottom"/>
            <w:shd w:val="clear" w:color="auto" w:fill="E4E4E4"/>
          </w:tcPr>
          <w:p>
            <w:pPr>
              <w:spacing w:after="0"/>
              <w:rPr>
                <w:sz w:val="24"/>
                <w:szCs w:val="24"/>
                <w:color w:val="auto"/>
              </w:rPr>
            </w:pPr>
          </w:p>
        </w:tc>
        <w:tc>
          <w:tcPr>
            <w:tcW w:w="1020" w:type="dxa"/>
            <w:vAlign w:val="bottom"/>
            <w:shd w:val="clear" w:color="auto" w:fill="E4E4E4"/>
          </w:tcPr>
          <w:p>
            <w:pPr>
              <w:spacing w:after="0"/>
              <w:rPr>
                <w:sz w:val="24"/>
                <w:szCs w:val="24"/>
                <w:color w:val="auto"/>
              </w:rPr>
            </w:pPr>
          </w:p>
        </w:tc>
        <w:tc>
          <w:tcPr>
            <w:tcW w:w="940" w:type="dxa"/>
            <w:vAlign w:val="bottom"/>
            <w:shd w:val="clear" w:color="auto" w:fill="E4E4E4"/>
          </w:tcPr>
          <w:p>
            <w:pPr>
              <w:spacing w:after="0"/>
              <w:rPr>
                <w:sz w:val="24"/>
                <w:szCs w:val="24"/>
                <w:color w:val="auto"/>
              </w:rPr>
            </w:pPr>
          </w:p>
        </w:tc>
        <w:tc>
          <w:tcPr>
            <w:tcW w:w="4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78"/>
        </w:trPr>
        <w:tc>
          <w:tcPr>
            <w:tcW w:w="4120" w:type="dxa"/>
            <w:vAlign w:val="bottom"/>
            <w:gridSpan w:val="4"/>
            <w:shd w:val="clear" w:color="auto" w:fill="FEFEFE"/>
          </w:tcPr>
          <w:p>
            <w:pPr>
              <w:jc w:val="right"/>
              <w:ind w:right="760"/>
              <w:spacing w:after="0"/>
              <w:rPr>
                <w:sz w:val="20"/>
                <w:szCs w:val="20"/>
                <w:color w:val="auto"/>
              </w:rPr>
            </w:pPr>
            <w:r>
              <w:rPr>
                <w:rFonts w:ascii="Arial" w:cs="Arial" w:eastAsia="Arial" w:hAnsi="Arial"/>
                <w:sz w:val="20"/>
                <w:szCs w:val="20"/>
                <w:color w:val="auto"/>
              </w:rPr>
              <w:t>erchandise purchase commitments:</w:t>
            </w:r>
          </w:p>
        </w:tc>
        <w:tc>
          <w:tcPr>
            <w:tcW w:w="980" w:type="dxa"/>
            <w:vAlign w:val="bottom"/>
            <w:shd w:val="clear" w:color="auto" w:fill="FEFEFE"/>
          </w:tcPr>
          <w:p>
            <w:pPr>
              <w:spacing w:after="0"/>
              <w:rPr>
                <w:sz w:val="24"/>
                <w:szCs w:val="24"/>
                <w:color w:val="auto"/>
              </w:rPr>
            </w:pPr>
          </w:p>
        </w:tc>
        <w:tc>
          <w:tcPr>
            <w:tcW w:w="160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C$</w:t>
            </w:r>
          </w:p>
        </w:tc>
        <w:tc>
          <w:tcPr>
            <w:tcW w:w="132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873</w:t>
            </w:r>
          </w:p>
        </w:tc>
        <w:tc>
          <w:tcPr>
            <w:tcW w:w="520" w:type="dxa"/>
            <w:vAlign w:val="bottom"/>
            <w:shd w:val="clear" w:color="auto" w:fill="E4E4E4"/>
          </w:tcPr>
          <w:p>
            <w:pPr>
              <w:ind w:left="140"/>
              <w:spacing w:after="0"/>
              <w:rPr>
                <w:sz w:val="20"/>
                <w:szCs w:val="20"/>
                <w:color w:val="auto"/>
              </w:rPr>
            </w:pPr>
            <w:r>
              <w:rPr>
                <w:rFonts w:ascii="Arial" w:cs="Arial" w:eastAsia="Arial" w:hAnsi="Arial"/>
                <w:sz w:val="20"/>
                <w:szCs w:val="20"/>
                <w:color w:val="auto"/>
              </w:rPr>
              <w:t>.S.$</w:t>
            </w:r>
          </w:p>
        </w:tc>
        <w:tc>
          <w:tcPr>
            <w:tcW w:w="1300" w:type="dxa"/>
            <w:vAlign w:val="bottom"/>
            <w:shd w:val="clear" w:color="auto" w:fill="E4E4E4"/>
          </w:tcPr>
          <w:p>
            <w:pPr>
              <w:jc w:val="right"/>
              <w:ind w:right="40"/>
              <w:spacing w:after="0"/>
              <w:rPr>
                <w:sz w:val="20"/>
                <w:szCs w:val="20"/>
                <w:color w:val="auto"/>
              </w:rPr>
            </w:pPr>
            <w:r>
              <w:rPr>
                <w:rFonts w:ascii="Arial" w:cs="Arial" w:eastAsia="Arial" w:hAnsi="Arial"/>
                <w:sz w:val="20"/>
                <w:szCs w:val="20"/>
                <w:color w:val="auto"/>
              </w:rPr>
              <w:t>625</w:t>
            </w:r>
          </w:p>
        </w:tc>
        <w:tc>
          <w:tcPr>
            <w:tcW w:w="980" w:type="dxa"/>
            <w:vAlign w:val="bottom"/>
            <w:shd w:val="clear" w:color="auto" w:fill="E4E4E4"/>
          </w:tcPr>
          <w:p>
            <w:pPr>
              <w:ind w:left="240"/>
              <w:spacing w:after="0"/>
              <w:rPr>
                <w:sz w:val="20"/>
                <w:szCs w:val="20"/>
                <w:color w:val="auto"/>
              </w:rPr>
            </w:pPr>
            <w:r>
              <w:rPr>
                <w:rFonts w:ascii="Arial" w:cs="Arial" w:eastAsia="Arial" w:hAnsi="Arial"/>
                <w:sz w:val="20"/>
                <w:szCs w:val="20"/>
                <w:color w:val="auto"/>
              </w:rPr>
              <w:t>0.715</w:t>
            </w:r>
          </w:p>
        </w:tc>
        <w:tc>
          <w:tcPr>
            <w:tcW w:w="1600" w:type="dxa"/>
            <w:vAlign w:val="bottom"/>
            <w:shd w:val="clear" w:color="auto" w:fill="E4E4E4"/>
          </w:tcPr>
          <w:p>
            <w:pPr>
              <w:ind w:left="140"/>
              <w:spacing w:after="0"/>
              <w:rPr>
                <w:sz w:val="20"/>
                <w:szCs w:val="20"/>
                <w:color w:val="auto"/>
              </w:rPr>
            </w:pPr>
            <w:r>
              <w:rPr>
                <w:rFonts w:ascii="Arial" w:cs="Arial" w:eastAsia="Arial" w:hAnsi="Arial"/>
                <w:sz w:val="20"/>
                <w:szCs w:val="20"/>
                <w:color w:val="auto"/>
              </w:rPr>
              <w:t>Prepaid Exp</w:t>
            </w:r>
          </w:p>
        </w:tc>
        <w:tc>
          <w:tcPr>
            <w:tcW w:w="94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auto"/>
              </w:rPr>
              <w:t>21.</w:t>
            </w:r>
          </w:p>
        </w:tc>
        <w:tc>
          <w:tcPr>
            <w:tcW w:w="180" w:type="dxa"/>
            <w:vAlign w:val="bottom"/>
            <w:shd w:val="clear" w:color="auto" w:fill="E4E4E4"/>
          </w:tcPr>
          <w:p>
            <w:pPr>
              <w:spacing w:after="0"/>
              <w:rPr>
                <w:sz w:val="24"/>
                <w:szCs w:val="24"/>
                <w:color w:val="auto"/>
              </w:rPr>
            </w:pPr>
          </w:p>
        </w:tc>
        <w:tc>
          <w:tcPr>
            <w:tcW w:w="1020" w:type="dxa"/>
            <w:vAlign w:val="bottom"/>
            <w:shd w:val="clear" w:color="auto" w:fill="E4E4E4"/>
          </w:tcPr>
          <w:p>
            <w:pPr>
              <w:spacing w:after="0"/>
              <w:rPr>
                <w:sz w:val="24"/>
                <w:szCs w:val="24"/>
                <w:color w:val="auto"/>
              </w:rPr>
            </w:pPr>
          </w:p>
        </w:tc>
        <w:tc>
          <w:tcPr>
            <w:tcW w:w="940" w:type="dxa"/>
            <w:vAlign w:val="bottom"/>
            <w:shd w:val="clear" w:color="auto" w:fill="E4E4E4"/>
          </w:tcPr>
          <w:p>
            <w:pPr>
              <w:spacing w:after="0"/>
              <w:rPr>
                <w:sz w:val="24"/>
                <w:szCs w:val="24"/>
                <w:color w:val="auto"/>
              </w:rPr>
            </w:pPr>
          </w:p>
        </w:tc>
        <w:tc>
          <w:tcPr>
            <w:tcW w:w="48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w w:val="93"/>
              </w:rPr>
              <w:t>21.</w:t>
            </w:r>
          </w:p>
        </w:tc>
        <w:tc>
          <w:tcPr>
            <w:tcW w:w="0" w:type="dxa"/>
            <w:vAlign w:val="bottom"/>
          </w:tcPr>
          <w:p>
            <w:pPr>
              <w:spacing w:after="0"/>
              <w:rPr>
                <w:sz w:val="1"/>
                <w:szCs w:val="1"/>
                <w:color w:val="auto"/>
              </w:rPr>
            </w:pPr>
          </w:p>
        </w:tc>
      </w:tr>
      <w:tr>
        <w:trPr>
          <w:trHeight w:val="222"/>
        </w:trPr>
        <w:tc>
          <w:tcPr>
            <w:tcW w:w="9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C$</w:t>
            </w:r>
          </w:p>
        </w:tc>
        <w:tc>
          <w:tcPr>
            <w:tcW w:w="1320" w:type="dxa"/>
            <w:vAlign w:val="bottom"/>
            <w:vMerge w:val="restart"/>
            <w:shd w:val="clear" w:color="auto" w:fill="FEFEFE"/>
          </w:tcPr>
          <w:p>
            <w:pPr>
              <w:jc w:val="right"/>
              <w:ind w:right="60"/>
              <w:spacing w:after="0"/>
              <w:rPr>
                <w:sz w:val="20"/>
                <w:szCs w:val="20"/>
                <w:color w:val="auto"/>
              </w:rPr>
            </w:pPr>
            <w:r>
              <w:rPr>
                <w:rFonts w:ascii="Arial" w:cs="Arial" w:eastAsia="Arial" w:hAnsi="Arial"/>
                <w:sz w:val="20"/>
                <w:szCs w:val="20"/>
                <w:color w:val="auto"/>
              </w:rPr>
              <w:t>33</w:t>
            </w:r>
          </w:p>
        </w:tc>
        <w:tc>
          <w:tcPr>
            <w:tcW w:w="520" w:type="dxa"/>
            <w:vAlign w:val="bottom"/>
            <w:shd w:val="clear" w:color="auto" w:fill="FEFEFE"/>
          </w:tcPr>
          <w:p>
            <w:pPr>
              <w:spacing w:after="0"/>
              <w:rPr>
                <w:sz w:val="19"/>
                <w:szCs w:val="19"/>
                <w:color w:val="auto"/>
              </w:rPr>
            </w:pPr>
          </w:p>
        </w:tc>
        <w:tc>
          <w:tcPr>
            <w:tcW w:w="1300" w:type="dxa"/>
            <w:vAlign w:val="bottom"/>
            <w:vMerge w:val="restart"/>
            <w:shd w:val="clear" w:color="auto" w:fill="FEFEFE"/>
          </w:tcPr>
          <w:p>
            <w:pPr>
              <w:jc w:val="right"/>
              <w:ind w:right="40"/>
              <w:spacing w:after="0"/>
              <w:rPr>
                <w:sz w:val="20"/>
                <w:szCs w:val="20"/>
                <w:color w:val="auto"/>
              </w:rPr>
            </w:pPr>
            <w:r>
              <w:rPr>
                <w:rFonts w:ascii="Arial" w:cs="Arial" w:eastAsia="Arial" w:hAnsi="Arial"/>
                <w:sz w:val="20"/>
                <w:szCs w:val="20"/>
                <w:color w:val="auto"/>
              </w:rPr>
              <w:t>22</w:t>
            </w:r>
          </w:p>
        </w:tc>
        <w:tc>
          <w:tcPr>
            <w:tcW w:w="980" w:type="dxa"/>
            <w:vAlign w:val="bottom"/>
            <w:vMerge w:val="restart"/>
            <w:shd w:val="clear" w:color="auto" w:fill="FEFEFE"/>
          </w:tcPr>
          <w:p>
            <w:pPr>
              <w:ind w:left="240"/>
              <w:spacing w:after="0"/>
              <w:rPr>
                <w:sz w:val="20"/>
                <w:szCs w:val="20"/>
                <w:color w:val="auto"/>
              </w:rPr>
            </w:pPr>
            <w:r>
              <w:rPr>
                <w:rFonts w:ascii="Arial" w:cs="Arial" w:eastAsia="Arial" w:hAnsi="Arial"/>
                <w:sz w:val="20"/>
                <w:szCs w:val="20"/>
                <w:color w:val="auto"/>
              </w:rPr>
              <w:t>0.6673</w:t>
            </w:r>
          </w:p>
        </w:tc>
        <w:tc>
          <w:tcPr>
            <w:tcW w:w="1600" w:type="dxa"/>
            <w:vAlign w:val="bottom"/>
            <w:shd w:val="clear" w:color="auto" w:fill="FEFEFE"/>
          </w:tcPr>
          <w:p>
            <w:pPr>
              <w:ind w:left="80"/>
              <w:spacing w:after="0" w:line="222"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180" w:type="dxa"/>
            <w:vAlign w:val="bottom"/>
            <w:shd w:val="clear" w:color="auto" w:fill="FEFEFE"/>
          </w:tcPr>
          <w:p>
            <w:pPr>
              <w:spacing w:after="0"/>
              <w:rPr>
                <w:sz w:val="19"/>
                <w:szCs w:val="19"/>
                <w:color w:val="auto"/>
              </w:rPr>
            </w:pPr>
          </w:p>
        </w:tc>
        <w:tc>
          <w:tcPr>
            <w:tcW w:w="10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(0.0)</w:t>
            </w:r>
          </w:p>
        </w:tc>
        <w:tc>
          <w:tcPr>
            <w:tcW w:w="940" w:type="dxa"/>
            <w:vAlign w:val="bottom"/>
            <w:shd w:val="clear" w:color="auto" w:fill="FEFEFE"/>
          </w:tcPr>
          <w:p>
            <w:pPr>
              <w:spacing w:after="0"/>
              <w:rPr>
                <w:sz w:val="19"/>
                <w:szCs w:val="19"/>
                <w:color w:val="auto"/>
              </w:rPr>
            </w:pPr>
          </w:p>
        </w:tc>
        <w:tc>
          <w:tcPr>
            <w:tcW w:w="4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67"/>
        </w:trPr>
        <w:tc>
          <w:tcPr>
            <w:tcW w:w="980" w:type="dxa"/>
            <w:vAlign w:val="bottom"/>
            <w:vMerge w:val="continue"/>
            <w:shd w:val="clear" w:color="auto" w:fill="FEFEFE"/>
          </w:tcPr>
          <w:p>
            <w:pPr>
              <w:spacing w:after="0"/>
              <w:rPr>
                <w:sz w:val="23"/>
                <w:szCs w:val="23"/>
                <w:color w:val="auto"/>
              </w:rPr>
            </w:pPr>
          </w:p>
        </w:tc>
        <w:tc>
          <w:tcPr>
            <w:tcW w:w="1320" w:type="dxa"/>
            <w:vAlign w:val="bottom"/>
            <w:vMerge w:val="continue"/>
            <w:shd w:val="clear" w:color="auto" w:fill="FEFEFE"/>
          </w:tcPr>
          <w:p>
            <w:pPr>
              <w:spacing w:after="0"/>
              <w:rPr>
                <w:sz w:val="23"/>
                <w:szCs w:val="23"/>
                <w:color w:val="auto"/>
              </w:rPr>
            </w:pPr>
          </w:p>
        </w:tc>
        <w:tc>
          <w:tcPr>
            <w:tcW w:w="520" w:type="dxa"/>
            <w:vAlign w:val="bottom"/>
            <w:shd w:val="clear" w:color="auto" w:fill="FEFEFE"/>
          </w:tcPr>
          <w:p>
            <w:pPr>
              <w:spacing w:after="0"/>
              <w:rPr>
                <w:sz w:val="23"/>
                <w:szCs w:val="23"/>
                <w:color w:val="auto"/>
              </w:rPr>
            </w:pPr>
          </w:p>
        </w:tc>
        <w:tc>
          <w:tcPr>
            <w:tcW w:w="1300" w:type="dxa"/>
            <w:vAlign w:val="bottom"/>
            <w:vMerge w:val="continue"/>
            <w:shd w:val="clear" w:color="auto" w:fill="FEFEFE"/>
          </w:tcPr>
          <w:p>
            <w:pPr>
              <w:spacing w:after="0"/>
              <w:rPr>
                <w:sz w:val="23"/>
                <w:szCs w:val="23"/>
                <w:color w:val="auto"/>
              </w:rPr>
            </w:pPr>
          </w:p>
        </w:tc>
        <w:tc>
          <w:tcPr>
            <w:tcW w:w="980" w:type="dxa"/>
            <w:vAlign w:val="bottom"/>
            <w:vMerge w:val="continue"/>
            <w:shd w:val="clear" w:color="auto" w:fill="FEFEFE"/>
          </w:tcPr>
          <w:p>
            <w:pPr>
              <w:spacing w:after="0"/>
              <w:rPr>
                <w:sz w:val="23"/>
                <w:szCs w:val="23"/>
                <w:color w:val="auto"/>
              </w:rPr>
            </w:pPr>
          </w:p>
        </w:tc>
        <w:tc>
          <w:tcPr>
            <w:tcW w:w="1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vMerge w:val="continue"/>
            <w:shd w:val="clear" w:color="auto" w:fill="FEFEFE"/>
          </w:tcPr>
          <w:p>
            <w:pPr>
              <w:spacing w:after="0"/>
              <w:rPr>
                <w:sz w:val="23"/>
                <w:szCs w:val="23"/>
                <w:color w:val="auto"/>
              </w:rPr>
            </w:pPr>
          </w:p>
        </w:tc>
        <w:tc>
          <w:tcPr>
            <w:tcW w:w="180" w:type="dxa"/>
            <w:vAlign w:val="bottom"/>
            <w:shd w:val="clear" w:color="auto" w:fill="FEFEFE"/>
          </w:tcPr>
          <w:p>
            <w:pPr>
              <w:spacing w:after="0"/>
              <w:rPr>
                <w:sz w:val="23"/>
                <w:szCs w:val="23"/>
                <w:color w:val="auto"/>
              </w:rPr>
            </w:pPr>
          </w:p>
        </w:tc>
        <w:tc>
          <w:tcPr>
            <w:tcW w:w="1020" w:type="dxa"/>
            <w:vAlign w:val="bottom"/>
            <w:vMerge w:val="continue"/>
            <w:shd w:val="clear" w:color="auto" w:fill="FEFEFE"/>
          </w:tcPr>
          <w:p>
            <w:pPr>
              <w:spacing w:after="0"/>
              <w:rPr>
                <w:sz w:val="23"/>
                <w:szCs w:val="23"/>
                <w:color w:val="auto"/>
              </w:rPr>
            </w:pPr>
          </w:p>
        </w:tc>
        <w:tc>
          <w:tcPr>
            <w:tcW w:w="940" w:type="dxa"/>
            <w:vAlign w:val="bottom"/>
            <w:shd w:val="clear" w:color="auto" w:fill="FEFEFE"/>
          </w:tcPr>
          <w:p>
            <w:pPr>
              <w:spacing w:after="0"/>
              <w:rPr>
                <w:sz w:val="23"/>
                <w:szCs w:val="23"/>
                <w:color w:val="auto"/>
              </w:rPr>
            </w:pPr>
          </w:p>
        </w:tc>
        <w:tc>
          <w:tcPr>
            <w:tcW w:w="48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E4E4E4"/>
          </w:tcPr>
          <w:p>
            <w:pPr>
              <w:spacing w:after="0"/>
              <w:rPr>
                <w:sz w:val="19"/>
                <w:szCs w:val="19"/>
                <w:color w:val="auto"/>
              </w:rPr>
            </w:pPr>
          </w:p>
        </w:tc>
        <w:tc>
          <w:tcPr>
            <w:tcW w:w="1320" w:type="dxa"/>
            <w:vAlign w:val="bottom"/>
            <w:vMerge w:val="restart"/>
            <w:shd w:val="clear" w:color="auto" w:fill="E4E4E4"/>
          </w:tcPr>
          <w:p>
            <w:pPr>
              <w:jc w:val="right"/>
              <w:ind w:right="60"/>
              <w:spacing w:after="0"/>
              <w:rPr>
                <w:sz w:val="20"/>
                <w:szCs w:val="20"/>
                <w:color w:val="auto"/>
              </w:rPr>
            </w:pPr>
            <w:r>
              <w:rPr>
                <w:rFonts w:ascii="Arial" w:cs="Arial" w:eastAsia="Arial" w:hAnsi="Arial"/>
                <w:sz w:val="20"/>
                <w:szCs w:val="20"/>
                <w:color w:val="auto"/>
              </w:rPr>
              <w:t>416</w:t>
            </w:r>
          </w:p>
        </w:tc>
        <w:tc>
          <w:tcPr>
            <w:tcW w:w="520" w:type="dxa"/>
            <w:vAlign w:val="bottom"/>
            <w:vMerge w:val="restart"/>
            <w:shd w:val="clear" w:color="auto" w:fill="E4E4E4"/>
          </w:tcPr>
          <w:p>
            <w:pPr>
              <w:ind w:left="140"/>
              <w:spacing w:after="0"/>
              <w:rPr>
                <w:sz w:val="20"/>
                <w:szCs w:val="20"/>
                <w:color w:val="auto"/>
              </w:rPr>
            </w:pPr>
            <w:r>
              <w:rPr>
                <w:rFonts w:ascii="Arial" w:cs="Arial" w:eastAsia="Arial" w:hAnsi="Arial"/>
                <w:sz w:val="20"/>
                <w:szCs w:val="20"/>
                <w:color w:val="auto"/>
              </w:rPr>
              <w:t>.S.$</w:t>
            </w:r>
          </w:p>
        </w:tc>
        <w:tc>
          <w:tcPr>
            <w:tcW w:w="1300" w:type="dxa"/>
            <w:vAlign w:val="bottom"/>
            <w:vMerge w:val="restart"/>
            <w:shd w:val="clear" w:color="auto" w:fill="E4E4E4"/>
          </w:tcPr>
          <w:p>
            <w:pPr>
              <w:jc w:val="right"/>
              <w:ind w:right="40"/>
              <w:spacing w:after="0"/>
              <w:rPr>
                <w:sz w:val="20"/>
                <w:szCs w:val="20"/>
                <w:color w:val="auto"/>
              </w:rPr>
            </w:pPr>
            <w:r>
              <w:rPr>
                <w:rFonts w:ascii="Arial" w:cs="Arial" w:eastAsia="Arial" w:hAnsi="Arial"/>
                <w:sz w:val="20"/>
                <w:szCs w:val="20"/>
                <w:color w:val="auto"/>
              </w:rPr>
              <w:t>530</w:t>
            </w:r>
          </w:p>
        </w:tc>
        <w:tc>
          <w:tcPr>
            <w:tcW w:w="980" w:type="dxa"/>
            <w:vAlign w:val="bottom"/>
            <w:vMerge w:val="restart"/>
            <w:shd w:val="clear" w:color="auto" w:fill="E4E4E4"/>
          </w:tcPr>
          <w:p>
            <w:pPr>
              <w:ind w:left="240"/>
              <w:spacing w:after="0"/>
              <w:rPr>
                <w:sz w:val="20"/>
                <w:szCs w:val="20"/>
                <w:color w:val="auto"/>
              </w:rPr>
            </w:pPr>
            <w:r>
              <w:rPr>
                <w:rFonts w:ascii="Arial" w:cs="Arial" w:eastAsia="Arial" w:hAnsi="Arial"/>
                <w:sz w:val="20"/>
                <w:szCs w:val="20"/>
                <w:color w:val="auto"/>
              </w:rPr>
              <w:t>1.2742</w:t>
            </w:r>
          </w:p>
        </w:tc>
        <w:tc>
          <w:tcPr>
            <w:tcW w:w="1600" w:type="dxa"/>
            <w:vAlign w:val="bottom"/>
            <w:shd w:val="clear" w:color="auto" w:fill="E4E4E4"/>
          </w:tcPr>
          <w:p>
            <w:pPr>
              <w:ind w:left="80"/>
              <w:spacing w:after="0" w:line="228"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15.2</w:t>
            </w:r>
          </w:p>
        </w:tc>
        <w:tc>
          <w:tcPr>
            <w:tcW w:w="180" w:type="dxa"/>
            <w:vAlign w:val="bottom"/>
            <w:shd w:val="clear" w:color="auto" w:fill="E4E4E4"/>
          </w:tcPr>
          <w:p>
            <w:pPr>
              <w:spacing w:after="0"/>
              <w:rPr>
                <w:sz w:val="19"/>
                <w:szCs w:val="19"/>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(1.1)</w:t>
            </w:r>
          </w:p>
        </w:tc>
        <w:tc>
          <w:tcPr>
            <w:tcW w:w="940" w:type="dxa"/>
            <w:vAlign w:val="bottom"/>
            <w:shd w:val="clear" w:color="auto" w:fill="E4E4E4"/>
          </w:tcPr>
          <w:p>
            <w:pPr>
              <w:spacing w:after="0"/>
              <w:rPr>
                <w:sz w:val="19"/>
                <w:szCs w:val="19"/>
                <w:color w:val="auto"/>
              </w:rPr>
            </w:pPr>
          </w:p>
        </w:tc>
        <w:tc>
          <w:tcPr>
            <w:tcW w:w="4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w w:val="92"/>
              </w:rPr>
              <w:t>14.1</w:t>
            </w:r>
          </w:p>
        </w:tc>
        <w:tc>
          <w:tcPr>
            <w:tcW w:w="0" w:type="dxa"/>
            <w:vAlign w:val="bottom"/>
          </w:tcPr>
          <w:p>
            <w:pPr>
              <w:spacing w:after="0"/>
              <w:rPr>
                <w:sz w:val="1"/>
                <w:szCs w:val="1"/>
                <w:color w:val="auto"/>
              </w:rPr>
            </w:pPr>
          </w:p>
        </w:tc>
      </w:tr>
      <w:tr>
        <w:trPr>
          <w:trHeight w:val="273"/>
        </w:trPr>
        <w:tc>
          <w:tcPr>
            <w:tcW w:w="980" w:type="dxa"/>
            <w:vAlign w:val="bottom"/>
            <w:shd w:val="clear" w:color="auto" w:fill="E4E4E4"/>
          </w:tcPr>
          <w:p>
            <w:pPr>
              <w:spacing w:after="0"/>
              <w:rPr>
                <w:sz w:val="23"/>
                <w:szCs w:val="23"/>
                <w:color w:val="auto"/>
              </w:rPr>
            </w:pPr>
          </w:p>
        </w:tc>
        <w:tc>
          <w:tcPr>
            <w:tcW w:w="1320" w:type="dxa"/>
            <w:vAlign w:val="bottom"/>
            <w:vMerge w:val="continue"/>
            <w:shd w:val="clear" w:color="auto" w:fill="E4E4E4"/>
          </w:tcPr>
          <w:p>
            <w:pPr>
              <w:spacing w:after="0"/>
              <w:rPr>
                <w:sz w:val="23"/>
                <w:szCs w:val="23"/>
                <w:color w:val="auto"/>
              </w:rPr>
            </w:pPr>
          </w:p>
        </w:tc>
        <w:tc>
          <w:tcPr>
            <w:tcW w:w="520" w:type="dxa"/>
            <w:vAlign w:val="bottom"/>
            <w:vMerge w:val="continue"/>
            <w:shd w:val="clear" w:color="auto" w:fill="E4E4E4"/>
          </w:tcPr>
          <w:p>
            <w:pPr>
              <w:spacing w:after="0"/>
              <w:rPr>
                <w:sz w:val="23"/>
                <w:szCs w:val="23"/>
                <w:color w:val="auto"/>
              </w:rPr>
            </w:pPr>
          </w:p>
        </w:tc>
        <w:tc>
          <w:tcPr>
            <w:tcW w:w="1300" w:type="dxa"/>
            <w:vAlign w:val="bottom"/>
            <w:vMerge w:val="continue"/>
            <w:shd w:val="clear" w:color="auto" w:fill="E4E4E4"/>
          </w:tcPr>
          <w:p>
            <w:pPr>
              <w:spacing w:after="0"/>
              <w:rPr>
                <w:sz w:val="23"/>
                <w:szCs w:val="23"/>
                <w:color w:val="auto"/>
              </w:rPr>
            </w:pPr>
          </w:p>
        </w:tc>
        <w:tc>
          <w:tcPr>
            <w:tcW w:w="980" w:type="dxa"/>
            <w:vAlign w:val="bottom"/>
            <w:vMerge w:val="continue"/>
            <w:shd w:val="clear" w:color="auto" w:fill="E4E4E4"/>
          </w:tcPr>
          <w:p>
            <w:pPr>
              <w:spacing w:after="0"/>
              <w:rPr>
                <w:sz w:val="23"/>
                <w:szCs w:val="23"/>
                <w:color w:val="auto"/>
              </w:rPr>
            </w:pPr>
          </w:p>
        </w:tc>
        <w:tc>
          <w:tcPr>
            <w:tcW w:w="1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vMerge w:val="continue"/>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020" w:type="dxa"/>
            <w:vAlign w:val="bottom"/>
            <w:vMerge w:val="continue"/>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48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80" w:type="dxa"/>
            <w:vAlign w:val="bottom"/>
            <w:shd w:val="clear" w:color="auto" w:fill="FEFEFE"/>
          </w:tcPr>
          <w:p>
            <w:pPr>
              <w:spacing w:after="0"/>
              <w:rPr>
                <w:sz w:val="24"/>
                <w:szCs w:val="24"/>
                <w:color w:val="auto"/>
              </w:rPr>
            </w:pPr>
          </w:p>
        </w:tc>
        <w:tc>
          <w:tcPr>
            <w:tcW w:w="132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552</w:t>
            </w:r>
          </w:p>
        </w:tc>
        <w:tc>
          <w:tcPr>
            <w:tcW w:w="520" w:type="dxa"/>
            <w:vAlign w:val="bottom"/>
            <w:shd w:val="clear" w:color="auto" w:fill="FEFEFE"/>
          </w:tcPr>
          <w:p>
            <w:pPr>
              <w:spacing w:after="0"/>
              <w:rPr>
                <w:sz w:val="24"/>
                <w:szCs w:val="24"/>
                <w:color w:val="auto"/>
              </w:rPr>
            </w:pPr>
          </w:p>
        </w:tc>
        <w:tc>
          <w:tcPr>
            <w:tcW w:w="1300" w:type="dxa"/>
            <w:vAlign w:val="bottom"/>
            <w:shd w:val="clear" w:color="auto" w:fill="FEFEFE"/>
          </w:tcPr>
          <w:p>
            <w:pPr>
              <w:jc w:val="right"/>
              <w:ind w:right="40"/>
              <w:spacing w:after="0"/>
              <w:rPr>
                <w:sz w:val="20"/>
                <w:szCs w:val="20"/>
                <w:color w:val="auto"/>
              </w:rPr>
            </w:pPr>
            <w:r>
              <w:rPr>
                <w:rFonts w:ascii="Arial" w:cs="Arial" w:eastAsia="Arial" w:hAnsi="Arial"/>
                <w:sz w:val="20"/>
                <w:szCs w:val="20"/>
                <w:color w:val="auto"/>
              </w:rPr>
              <w:t>107</w:t>
            </w:r>
          </w:p>
        </w:tc>
        <w:tc>
          <w:tcPr>
            <w:tcW w:w="980" w:type="dxa"/>
            <w:vAlign w:val="bottom"/>
            <w:shd w:val="clear" w:color="auto" w:fill="FEFEFE"/>
          </w:tcPr>
          <w:p>
            <w:pPr>
              <w:ind w:left="240"/>
              <w:spacing w:after="0"/>
              <w:rPr>
                <w:sz w:val="20"/>
                <w:szCs w:val="20"/>
                <w:color w:val="auto"/>
              </w:rPr>
            </w:pPr>
            <w:r>
              <w:rPr>
                <w:rFonts w:ascii="Arial" w:cs="Arial" w:eastAsia="Arial" w:hAnsi="Arial"/>
                <w:sz w:val="20"/>
                <w:szCs w:val="20"/>
                <w:color w:val="auto"/>
              </w:rPr>
              <w:t>0.1 33</w:t>
            </w:r>
          </w:p>
        </w:tc>
        <w:tc>
          <w:tcPr>
            <w:tcW w:w="1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w:t>
            </w:r>
          </w:p>
        </w:tc>
        <w:tc>
          <w:tcPr>
            <w:tcW w:w="940" w:type="dxa"/>
            <w:vAlign w:val="bottom"/>
            <w:shd w:val="clear" w:color="auto" w:fill="FEFEFE"/>
          </w:tcPr>
          <w:p>
            <w:pPr>
              <w:spacing w:after="0"/>
              <w:rPr>
                <w:sz w:val="24"/>
                <w:szCs w:val="24"/>
                <w:color w:val="auto"/>
              </w:rPr>
            </w:pPr>
          </w:p>
        </w:tc>
        <w:tc>
          <w:tcPr>
            <w:tcW w:w="4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28"/>
        </w:trPr>
        <w:tc>
          <w:tcPr>
            <w:tcW w:w="9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A$</w:t>
            </w:r>
          </w:p>
        </w:tc>
        <w:tc>
          <w:tcPr>
            <w:tcW w:w="1320" w:type="dxa"/>
            <w:vAlign w:val="bottom"/>
            <w:vMerge w:val="restart"/>
            <w:shd w:val="clear" w:color="auto" w:fill="E4E4E4"/>
          </w:tcPr>
          <w:p>
            <w:pPr>
              <w:jc w:val="right"/>
              <w:ind w:right="60"/>
              <w:spacing w:after="0"/>
              <w:rPr>
                <w:sz w:val="20"/>
                <w:szCs w:val="20"/>
                <w:color w:val="auto"/>
              </w:rPr>
            </w:pPr>
            <w:r>
              <w:rPr>
                <w:rFonts w:ascii="Arial" w:cs="Arial" w:eastAsia="Arial" w:hAnsi="Arial"/>
                <w:sz w:val="20"/>
                <w:szCs w:val="20"/>
                <w:color w:val="auto"/>
              </w:rPr>
              <w:t>81</w:t>
            </w:r>
          </w:p>
        </w:tc>
        <w:tc>
          <w:tcPr>
            <w:tcW w:w="520" w:type="dxa"/>
            <w:vAlign w:val="bottom"/>
            <w:vMerge w:val="restart"/>
            <w:shd w:val="clear" w:color="auto" w:fill="E4E4E4"/>
          </w:tcPr>
          <w:p>
            <w:pPr>
              <w:ind w:left="140"/>
              <w:spacing w:after="0"/>
              <w:rPr>
                <w:sz w:val="20"/>
                <w:szCs w:val="20"/>
                <w:color w:val="auto"/>
              </w:rPr>
            </w:pPr>
            <w:r>
              <w:rPr>
                <w:rFonts w:ascii="Arial" w:cs="Arial" w:eastAsia="Arial" w:hAnsi="Arial"/>
                <w:sz w:val="20"/>
                <w:szCs w:val="20"/>
                <w:color w:val="auto"/>
              </w:rPr>
              <w:t>.S.$</w:t>
            </w:r>
          </w:p>
        </w:tc>
        <w:tc>
          <w:tcPr>
            <w:tcW w:w="1300" w:type="dxa"/>
            <w:vAlign w:val="bottom"/>
            <w:vMerge w:val="restart"/>
            <w:shd w:val="clear" w:color="auto" w:fill="E4E4E4"/>
          </w:tcPr>
          <w:p>
            <w:pPr>
              <w:jc w:val="right"/>
              <w:ind w:right="40"/>
              <w:spacing w:after="0"/>
              <w:rPr>
                <w:sz w:val="20"/>
                <w:szCs w:val="20"/>
                <w:color w:val="auto"/>
              </w:rPr>
            </w:pPr>
            <w:r>
              <w:rPr>
                <w:rFonts w:ascii="Arial" w:cs="Arial" w:eastAsia="Arial" w:hAnsi="Arial"/>
                <w:sz w:val="20"/>
                <w:szCs w:val="20"/>
                <w:color w:val="auto"/>
              </w:rPr>
              <w:t>52</w:t>
            </w:r>
          </w:p>
        </w:tc>
        <w:tc>
          <w:tcPr>
            <w:tcW w:w="980" w:type="dxa"/>
            <w:vAlign w:val="bottom"/>
            <w:vMerge w:val="restart"/>
            <w:shd w:val="clear" w:color="auto" w:fill="E4E4E4"/>
          </w:tcPr>
          <w:p>
            <w:pPr>
              <w:ind w:left="240"/>
              <w:spacing w:after="0"/>
              <w:rPr>
                <w:sz w:val="20"/>
                <w:szCs w:val="20"/>
                <w:color w:val="auto"/>
              </w:rPr>
            </w:pPr>
            <w:r>
              <w:rPr>
                <w:rFonts w:ascii="Arial" w:cs="Arial" w:eastAsia="Arial" w:hAnsi="Arial"/>
                <w:sz w:val="20"/>
                <w:szCs w:val="20"/>
                <w:color w:val="auto"/>
              </w:rPr>
              <w:t>0.6448</w:t>
            </w:r>
          </w:p>
        </w:tc>
        <w:tc>
          <w:tcPr>
            <w:tcW w:w="1600" w:type="dxa"/>
            <w:vAlign w:val="bottom"/>
            <w:shd w:val="clear" w:color="auto" w:fill="E4E4E4"/>
          </w:tcPr>
          <w:p>
            <w:pPr>
              <w:ind w:left="80"/>
              <w:spacing w:after="0" w:line="229"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1.7</w:t>
            </w:r>
          </w:p>
        </w:tc>
        <w:tc>
          <w:tcPr>
            <w:tcW w:w="180" w:type="dxa"/>
            <w:vAlign w:val="bottom"/>
            <w:shd w:val="clear" w:color="auto" w:fill="E4E4E4"/>
          </w:tcPr>
          <w:p>
            <w:pPr>
              <w:spacing w:after="0"/>
              <w:rPr>
                <w:sz w:val="19"/>
                <w:szCs w:val="19"/>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(0.1)</w:t>
            </w:r>
          </w:p>
        </w:tc>
        <w:tc>
          <w:tcPr>
            <w:tcW w:w="940" w:type="dxa"/>
            <w:vAlign w:val="bottom"/>
            <w:shd w:val="clear" w:color="auto" w:fill="E4E4E4"/>
          </w:tcPr>
          <w:p>
            <w:pPr>
              <w:spacing w:after="0"/>
              <w:rPr>
                <w:sz w:val="19"/>
                <w:szCs w:val="19"/>
                <w:color w:val="auto"/>
              </w:rPr>
            </w:pPr>
          </w:p>
        </w:tc>
        <w:tc>
          <w:tcPr>
            <w:tcW w:w="4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73"/>
        </w:trPr>
        <w:tc>
          <w:tcPr>
            <w:tcW w:w="980" w:type="dxa"/>
            <w:vAlign w:val="bottom"/>
            <w:vMerge w:val="continue"/>
            <w:shd w:val="clear" w:color="auto" w:fill="E4E4E4"/>
          </w:tcPr>
          <w:p>
            <w:pPr>
              <w:spacing w:after="0"/>
              <w:rPr>
                <w:sz w:val="23"/>
                <w:szCs w:val="23"/>
                <w:color w:val="auto"/>
              </w:rPr>
            </w:pPr>
          </w:p>
        </w:tc>
        <w:tc>
          <w:tcPr>
            <w:tcW w:w="1320" w:type="dxa"/>
            <w:vAlign w:val="bottom"/>
            <w:vMerge w:val="continue"/>
            <w:shd w:val="clear" w:color="auto" w:fill="E4E4E4"/>
          </w:tcPr>
          <w:p>
            <w:pPr>
              <w:spacing w:after="0"/>
              <w:rPr>
                <w:sz w:val="23"/>
                <w:szCs w:val="23"/>
                <w:color w:val="auto"/>
              </w:rPr>
            </w:pPr>
          </w:p>
        </w:tc>
        <w:tc>
          <w:tcPr>
            <w:tcW w:w="520" w:type="dxa"/>
            <w:vAlign w:val="bottom"/>
            <w:vMerge w:val="continue"/>
            <w:shd w:val="clear" w:color="auto" w:fill="E4E4E4"/>
          </w:tcPr>
          <w:p>
            <w:pPr>
              <w:spacing w:after="0"/>
              <w:rPr>
                <w:sz w:val="23"/>
                <w:szCs w:val="23"/>
                <w:color w:val="auto"/>
              </w:rPr>
            </w:pPr>
          </w:p>
        </w:tc>
        <w:tc>
          <w:tcPr>
            <w:tcW w:w="1300" w:type="dxa"/>
            <w:vAlign w:val="bottom"/>
            <w:vMerge w:val="continue"/>
            <w:shd w:val="clear" w:color="auto" w:fill="E4E4E4"/>
          </w:tcPr>
          <w:p>
            <w:pPr>
              <w:spacing w:after="0"/>
              <w:rPr>
                <w:sz w:val="23"/>
                <w:szCs w:val="23"/>
                <w:color w:val="auto"/>
              </w:rPr>
            </w:pPr>
          </w:p>
        </w:tc>
        <w:tc>
          <w:tcPr>
            <w:tcW w:w="980" w:type="dxa"/>
            <w:vAlign w:val="bottom"/>
            <w:vMerge w:val="continue"/>
            <w:shd w:val="clear" w:color="auto" w:fill="E4E4E4"/>
          </w:tcPr>
          <w:p>
            <w:pPr>
              <w:spacing w:after="0"/>
              <w:rPr>
                <w:sz w:val="23"/>
                <w:szCs w:val="23"/>
                <w:color w:val="auto"/>
              </w:rPr>
            </w:pPr>
          </w:p>
        </w:tc>
        <w:tc>
          <w:tcPr>
            <w:tcW w:w="1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vMerge w:val="continue"/>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020" w:type="dxa"/>
            <w:vAlign w:val="bottom"/>
            <w:vMerge w:val="continue"/>
            <w:shd w:val="clear" w:color="auto" w:fill="E4E4E4"/>
          </w:tcPr>
          <w:p>
            <w:pPr>
              <w:spacing w:after="0"/>
              <w:rPr>
                <w:sz w:val="23"/>
                <w:szCs w:val="23"/>
                <w:color w:val="auto"/>
              </w:rPr>
            </w:pPr>
          </w:p>
        </w:tc>
        <w:tc>
          <w:tcPr>
            <w:tcW w:w="940" w:type="dxa"/>
            <w:vAlign w:val="bottom"/>
            <w:shd w:val="clear" w:color="auto" w:fill="E4E4E4"/>
          </w:tcPr>
          <w:p>
            <w:pPr>
              <w:spacing w:after="0"/>
              <w:rPr>
                <w:sz w:val="23"/>
                <w:szCs w:val="23"/>
                <w:color w:val="auto"/>
              </w:rPr>
            </w:pPr>
          </w:p>
        </w:tc>
        <w:tc>
          <w:tcPr>
            <w:tcW w:w="480" w:type="dxa"/>
            <w:vAlign w:val="bottom"/>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9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.S.$</w:t>
            </w:r>
          </w:p>
        </w:tc>
        <w:tc>
          <w:tcPr>
            <w:tcW w:w="1320" w:type="dxa"/>
            <w:vAlign w:val="bottom"/>
            <w:vMerge w:val="restart"/>
            <w:shd w:val="clear" w:color="auto" w:fill="FEFEFE"/>
          </w:tcPr>
          <w:p>
            <w:pPr>
              <w:jc w:val="right"/>
              <w:ind w:right="60"/>
              <w:spacing w:after="0"/>
              <w:rPr>
                <w:sz w:val="20"/>
                <w:szCs w:val="20"/>
                <w:color w:val="auto"/>
              </w:rPr>
            </w:pPr>
            <w:r>
              <w:rPr>
                <w:rFonts w:ascii="Arial" w:cs="Arial" w:eastAsia="Arial" w:hAnsi="Arial"/>
                <w:sz w:val="20"/>
                <w:szCs w:val="20"/>
                <w:color w:val="auto"/>
              </w:rPr>
              <w:t>87</w:t>
            </w:r>
          </w:p>
        </w:tc>
        <w:tc>
          <w:tcPr>
            <w:tcW w:w="520" w:type="dxa"/>
            <w:vAlign w:val="bottom"/>
            <w:shd w:val="clear" w:color="auto" w:fill="FEFEFE"/>
          </w:tcPr>
          <w:p>
            <w:pPr>
              <w:spacing w:after="0"/>
              <w:rPr>
                <w:sz w:val="19"/>
                <w:szCs w:val="19"/>
                <w:color w:val="auto"/>
              </w:rPr>
            </w:pPr>
          </w:p>
        </w:tc>
        <w:tc>
          <w:tcPr>
            <w:tcW w:w="1300" w:type="dxa"/>
            <w:vAlign w:val="bottom"/>
            <w:vMerge w:val="restart"/>
            <w:shd w:val="clear" w:color="auto" w:fill="FEFEFE"/>
          </w:tcPr>
          <w:p>
            <w:pPr>
              <w:jc w:val="right"/>
              <w:ind w:right="40"/>
              <w:spacing w:after="0"/>
              <w:rPr>
                <w:sz w:val="20"/>
                <w:szCs w:val="20"/>
                <w:color w:val="auto"/>
              </w:rPr>
            </w:pPr>
            <w:r>
              <w:rPr>
                <w:rFonts w:ascii="Arial" w:cs="Arial" w:eastAsia="Arial" w:hAnsi="Arial"/>
                <w:sz w:val="20"/>
                <w:szCs w:val="20"/>
                <w:color w:val="auto"/>
              </w:rPr>
              <w:t>82</w:t>
            </w:r>
          </w:p>
        </w:tc>
        <w:tc>
          <w:tcPr>
            <w:tcW w:w="980" w:type="dxa"/>
            <w:vAlign w:val="bottom"/>
            <w:vMerge w:val="restart"/>
            <w:shd w:val="clear" w:color="auto" w:fill="FEFEFE"/>
          </w:tcPr>
          <w:p>
            <w:pPr>
              <w:ind w:left="240"/>
              <w:spacing w:after="0"/>
              <w:rPr>
                <w:sz w:val="20"/>
                <w:szCs w:val="20"/>
                <w:color w:val="auto"/>
              </w:rPr>
            </w:pPr>
            <w:r>
              <w:rPr>
                <w:rFonts w:ascii="Arial" w:cs="Arial" w:eastAsia="Arial" w:hAnsi="Arial"/>
                <w:sz w:val="20"/>
                <w:szCs w:val="20"/>
                <w:color w:val="auto"/>
              </w:rPr>
              <w:t>0. 317</w:t>
            </w:r>
          </w:p>
        </w:tc>
        <w:tc>
          <w:tcPr>
            <w:tcW w:w="1600" w:type="dxa"/>
            <w:vAlign w:val="bottom"/>
            <w:shd w:val="clear" w:color="auto" w:fill="FEFEFE"/>
          </w:tcPr>
          <w:p>
            <w:pPr>
              <w:ind w:left="80"/>
              <w:spacing w:after="0" w:line="222" w:lineRule="exact"/>
              <w:rPr>
                <w:sz w:val="20"/>
                <w:szCs w:val="20"/>
                <w:color w:val="auto"/>
              </w:rPr>
            </w:pPr>
            <w:r>
              <w:rPr>
                <w:rFonts w:ascii="Arial" w:cs="Arial" w:eastAsia="Arial" w:hAnsi="Arial"/>
                <w:sz w:val="20"/>
                <w:szCs w:val="20"/>
                <w:color w:val="auto"/>
              </w:rPr>
              <w:t>Prepaid Exp</w:t>
            </w:r>
          </w:p>
        </w:tc>
        <w:tc>
          <w:tcPr>
            <w:tcW w:w="9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0.1</w:t>
            </w:r>
          </w:p>
        </w:tc>
        <w:tc>
          <w:tcPr>
            <w:tcW w:w="180" w:type="dxa"/>
            <w:vAlign w:val="bottom"/>
            <w:shd w:val="clear" w:color="auto" w:fill="FEFEFE"/>
          </w:tcPr>
          <w:p>
            <w:pPr>
              <w:spacing w:after="0"/>
              <w:rPr>
                <w:sz w:val="19"/>
                <w:szCs w:val="19"/>
                <w:color w:val="auto"/>
              </w:rPr>
            </w:pPr>
          </w:p>
        </w:tc>
        <w:tc>
          <w:tcPr>
            <w:tcW w:w="10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(2. )</w:t>
            </w:r>
          </w:p>
        </w:tc>
        <w:tc>
          <w:tcPr>
            <w:tcW w:w="940" w:type="dxa"/>
            <w:vAlign w:val="bottom"/>
            <w:shd w:val="clear" w:color="auto" w:fill="FEFEFE"/>
          </w:tcPr>
          <w:p>
            <w:pPr>
              <w:spacing w:after="0"/>
              <w:rPr>
                <w:sz w:val="19"/>
                <w:szCs w:val="19"/>
                <w:color w:val="auto"/>
              </w:rPr>
            </w:pPr>
          </w:p>
        </w:tc>
        <w:tc>
          <w:tcPr>
            <w:tcW w:w="4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63"/>
        </w:trPr>
        <w:tc>
          <w:tcPr>
            <w:tcW w:w="980" w:type="dxa"/>
            <w:vAlign w:val="bottom"/>
            <w:tcBorders>
              <w:bottom w:val="single" w:sz="8" w:color="auto"/>
            </w:tcBorders>
            <w:vMerge w:val="continue"/>
            <w:shd w:val="clear" w:color="auto" w:fill="FEFEFE"/>
          </w:tcPr>
          <w:p>
            <w:pPr>
              <w:spacing w:after="0"/>
              <w:rPr>
                <w:sz w:val="22"/>
                <w:szCs w:val="22"/>
                <w:color w:val="auto"/>
              </w:rPr>
            </w:pPr>
          </w:p>
        </w:tc>
        <w:tc>
          <w:tcPr>
            <w:tcW w:w="1320" w:type="dxa"/>
            <w:vAlign w:val="bottom"/>
            <w:tcBorders>
              <w:bottom w:val="single" w:sz="8" w:color="auto"/>
            </w:tcBorders>
            <w:vMerge w:val="continue"/>
            <w:shd w:val="clear" w:color="auto" w:fill="FEFEFE"/>
          </w:tcPr>
          <w:p>
            <w:pPr>
              <w:spacing w:after="0"/>
              <w:rPr>
                <w:sz w:val="22"/>
                <w:szCs w:val="22"/>
                <w:color w:val="auto"/>
              </w:rPr>
            </w:pPr>
          </w:p>
        </w:tc>
        <w:tc>
          <w:tcPr>
            <w:tcW w:w="520" w:type="dxa"/>
            <w:vAlign w:val="bottom"/>
            <w:tcBorders>
              <w:bottom w:val="single" w:sz="8" w:color="auto"/>
            </w:tcBorders>
            <w:shd w:val="clear" w:color="auto" w:fill="FEFEFE"/>
          </w:tcPr>
          <w:p>
            <w:pPr>
              <w:spacing w:after="0"/>
              <w:rPr>
                <w:sz w:val="22"/>
                <w:szCs w:val="22"/>
                <w:color w:val="auto"/>
              </w:rPr>
            </w:pPr>
          </w:p>
        </w:tc>
        <w:tc>
          <w:tcPr>
            <w:tcW w:w="1300" w:type="dxa"/>
            <w:vAlign w:val="bottom"/>
            <w:tcBorders>
              <w:bottom w:val="single" w:sz="8" w:color="auto"/>
            </w:tcBorders>
            <w:vMerge w:val="continue"/>
            <w:shd w:val="clear" w:color="auto" w:fill="FEFEFE"/>
          </w:tcPr>
          <w:p>
            <w:pPr>
              <w:spacing w:after="0"/>
              <w:rPr>
                <w:sz w:val="22"/>
                <w:szCs w:val="22"/>
                <w:color w:val="auto"/>
              </w:rPr>
            </w:pPr>
          </w:p>
        </w:tc>
        <w:tc>
          <w:tcPr>
            <w:tcW w:w="980" w:type="dxa"/>
            <w:vAlign w:val="bottom"/>
            <w:tcBorders>
              <w:bottom w:val="single" w:sz="8" w:color="auto"/>
            </w:tcBorders>
            <w:vMerge w:val="continue"/>
            <w:shd w:val="clear" w:color="auto" w:fill="FEFEFE"/>
          </w:tcPr>
          <w:p>
            <w:pPr>
              <w:spacing w:after="0"/>
              <w:rPr>
                <w:sz w:val="22"/>
                <w:szCs w:val="22"/>
                <w:color w:val="auto"/>
              </w:rPr>
            </w:pPr>
          </w:p>
        </w:tc>
        <w:tc>
          <w:tcPr>
            <w:tcW w:w="16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(Accrued Exp)</w:t>
            </w:r>
          </w:p>
        </w:tc>
        <w:tc>
          <w:tcPr>
            <w:tcW w:w="940" w:type="dxa"/>
            <w:vAlign w:val="bottom"/>
            <w:tcBorders>
              <w:bottom w:val="single" w:sz="8" w:color="auto"/>
            </w:tcBorders>
            <w:vMerge w:val="continue"/>
            <w:shd w:val="clear" w:color="auto" w:fill="FEFEFE"/>
          </w:tcPr>
          <w:p>
            <w:pPr>
              <w:spacing w:after="0"/>
              <w:rPr>
                <w:sz w:val="22"/>
                <w:szCs w:val="22"/>
                <w:color w:val="auto"/>
              </w:rPr>
            </w:pPr>
          </w:p>
        </w:tc>
        <w:tc>
          <w:tcPr>
            <w:tcW w:w="180" w:type="dxa"/>
            <w:vAlign w:val="bottom"/>
            <w:tcBorders>
              <w:bottom w:val="single" w:sz="8" w:color="auto"/>
            </w:tcBorders>
            <w:shd w:val="clear" w:color="auto" w:fill="FEFEFE"/>
          </w:tcPr>
          <w:p>
            <w:pPr>
              <w:spacing w:after="0"/>
              <w:rPr>
                <w:sz w:val="22"/>
                <w:szCs w:val="22"/>
                <w:color w:val="auto"/>
              </w:rPr>
            </w:pPr>
          </w:p>
        </w:tc>
        <w:tc>
          <w:tcPr>
            <w:tcW w:w="1020" w:type="dxa"/>
            <w:vAlign w:val="bottom"/>
            <w:tcBorders>
              <w:bottom w:val="single" w:sz="8" w:color="auto"/>
            </w:tcBorders>
            <w:vMerge w:val="continue"/>
            <w:shd w:val="clear" w:color="auto" w:fill="FEFEFE"/>
          </w:tcPr>
          <w:p>
            <w:pPr>
              <w:spacing w:after="0"/>
              <w:rPr>
                <w:sz w:val="22"/>
                <w:szCs w:val="22"/>
                <w:color w:val="auto"/>
              </w:rPr>
            </w:pPr>
          </w:p>
        </w:tc>
        <w:tc>
          <w:tcPr>
            <w:tcW w:w="940" w:type="dxa"/>
            <w:vAlign w:val="bottom"/>
            <w:tcBorders>
              <w:bottom w:val="single" w:sz="8" w:color="auto"/>
            </w:tcBorders>
            <w:shd w:val="clear" w:color="auto" w:fill="FEFEFE"/>
          </w:tcPr>
          <w:p>
            <w:pPr>
              <w:spacing w:after="0"/>
              <w:rPr>
                <w:sz w:val="22"/>
                <w:szCs w:val="22"/>
                <w:color w:val="auto"/>
              </w:rPr>
            </w:pPr>
          </w:p>
        </w:tc>
        <w:tc>
          <w:tcPr>
            <w:tcW w:w="480" w:type="dxa"/>
            <w:vAlign w:val="bottom"/>
            <w:tcBorders>
              <w:bottom w:val="single" w:sz="8" w:color="auto"/>
            </w:tcBorders>
            <w:vMerge w:val="continue"/>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120" w:type="dxa"/>
            <w:vAlign w:val="bottom"/>
            <w:tcBorders>
              <w:bottom w:val="single" w:sz="8" w:color="auto"/>
            </w:tcBorders>
            <w:gridSpan w:val="4"/>
            <w:shd w:val="clear" w:color="auto" w:fill="E4E4E4"/>
          </w:tcPr>
          <w:p>
            <w:pPr>
              <w:ind w:left="40"/>
              <w:spacing w:after="0"/>
              <w:rPr>
                <w:sz w:val="20"/>
                <w:szCs w:val="20"/>
                <w:color w:val="auto"/>
              </w:rPr>
            </w:pPr>
            <w:r>
              <w:rPr>
                <w:rFonts w:ascii="Arial" w:cs="Arial" w:eastAsia="Arial" w:hAnsi="Arial"/>
                <w:sz w:val="20"/>
                <w:szCs w:val="20"/>
                <w:color w:val="auto"/>
                <w:w w:val="93"/>
              </w:rPr>
              <w:t>Total fair value of derivative financial instruments</w:t>
            </w:r>
          </w:p>
        </w:tc>
        <w:tc>
          <w:tcPr>
            <w:tcW w:w="980" w:type="dxa"/>
            <w:vAlign w:val="bottom"/>
            <w:tcBorders>
              <w:bottom w:val="single" w:sz="8" w:color="auto"/>
            </w:tcBorders>
            <w:shd w:val="clear" w:color="auto" w:fill="E4E4E4"/>
          </w:tcPr>
          <w:p>
            <w:pPr>
              <w:spacing w:after="0"/>
              <w:rPr>
                <w:sz w:val="24"/>
                <w:szCs w:val="24"/>
                <w:color w:val="auto"/>
              </w:rPr>
            </w:pPr>
          </w:p>
        </w:tc>
        <w:tc>
          <w:tcPr>
            <w:tcW w:w="1600" w:type="dxa"/>
            <w:vAlign w:val="bottom"/>
            <w:tcBorders>
              <w:bottom w:val="single" w:sz="8" w:color="auto"/>
            </w:tcBorders>
            <w:shd w:val="clear" w:color="auto" w:fill="E4E4E4"/>
          </w:tcPr>
          <w:p>
            <w:pPr>
              <w:ind w:left="14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53.1</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(18.1)</w:t>
            </w:r>
          </w:p>
        </w:tc>
        <w:tc>
          <w:tcPr>
            <w:tcW w:w="940" w:type="dxa"/>
            <w:vAlign w:val="bottom"/>
            <w:tcBorders>
              <w:bottom w:val="single" w:sz="8" w:color="auto"/>
            </w:tcBorders>
            <w:shd w:val="clear" w:color="auto" w:fill="E4E4E4"/>
          </w:tcPr>
          <w:p>
            <w:pPr>
              <w:jc w:val="right"/>
              <w:ind w:right="70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92"/>
              </w:rPr>
              <w:t>35.0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The impact of derivative financial instruments on the Consolidated Statements of Income is presented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Amount of</w:t>
            </w:r>
          </w:p>
        </w:tc>
        <w:tc>
          <w:tcPr>
            <w:tcW w:w="140" w:type="dxa"/>
            <w:vAlign w:val="bottom"/>
          </w:tcPr>
          <w:p>
            <w:pPr>
              <w:spacing w:after="0"/>
              <w:rPr>
                <w:sz w:val="19"/>
                <w:szCs w:val="19"/>
                <w:color w:val="auto"/>
              </w:rPr>
            </w:pPr>
          </w:p>
        </w:tc>
        <w:tc>
          <w:tcPr>
            <w:tcW w:w="2380" w:type="dxa"/>
            <w:vAlign w:val="bottom"/>
            <w:gridSpan w:val="3"/>
          </w:tcPr>
          <w:p>
            <w:pPr>
              <w:jc w:val="right"/>
              <w:ind w:right="260"/>
              <w:spacing w:after="0"/>
              <w:rPr>
                <w:sz w:val="20"/>
                <w:szCs w:val="20"/>
                <w:color w:val="auto"/>
              </w:rPr>
            </w:pPr>
            <w:r>
              <w:rPr>
                <w:rFonts w:ascii="Arial" w:cs="Arial" w:eastAsia="Arial" w:hAnsi="Arial"/>
                <w:sz w:val="20"/>
                <w:szCs w:val="20"/>
                <w:color w:val="auto"/>
                <w:w w:val="96"/>
              </w:rPr>
              <w:t>ain (Loss)  ecogni ed in</w:t>
            </w: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2520" w:type="dxa"/>
            <w:vAlign w:val="bottom"/>
            <w:vMerge w:val="restart"/>
          </w:tcPr>
          <w:p>
            <w:pPr>
              <w:jc w:val="center"/>
              <w:spacing w:after="0"/>
              <w:rPr>
                <w:sz w:val="20"/>
                <w:szCs w:val="20"/>
                <w:color w:val="auto"/>
              </w:rPr>
            </w:pPr>
            <w:r>
              <w:rPr>
                <w:rFonts w:ascii="Arial" w:cs="Arial" w:eastAsia="Arial" w:hAnsi="Arial"/>
                <w:sz w:val="20"/>
                <w:szCs w:val="20"/>
                <w:color w:val="auto"/>
                <w:w w:val="98"/>
              </w:rPr>
              <w:t>Location of  ain (Loss)</w:t>
            </w:r>
          </w:p>
        </w:tc>
        <w:tc>
          <w:tcPr>
            <w:tcW w:w="2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20"/>
                <w:szCs w:val="20"/>
                <w:color w:val="auto"/>
                <w:w w:val="94"/>
              </w:rPr>
              <w:t>Income by Derivative</w:t>
            </w:r>
          </w:p>
        </w:tc>
        <w:tc>
          <w:tcPr>
            <w:tcW w:w="0" w:type="dxa"/>
            <w:vAlign w:val="bottom"/>
          </w:tcPr>
          <w:p>
            <w:pPr>
              <w:spacing w:after="0"/>
              <w:rPr>
                <w:sz w:val="1"/>
                <w:szCs w:val="1"/>
                <w:color w:val="auto"/>
              </w:rPr>
            </w:pPr>
          </w:p>
        </w:tc>
      </w:tr>
      <w:tr>
        <w:trPr>
          <w:trHeight w:val="42"/>
        </w:trPr>
        <w:tc>
          <w:tcPr>
            <w:tcW w:w="3960" w:type="dxa"/>
            <w:vAlign w:val="bottom"/>
          </w:tcPr>
          <w:p>
            <w:pPr>
              <w:spacing w:after="0"/>
              <w:rPr>
                <w:sz w:val="3"/>
                <w:szCs w:val="3"/>
                <w:color w:val="auto"/>
              </w:rPr>
            </w:pPr>
          </w:p>
        </w:tc>
        <w:tc>
          <w:tcPr>
            <w:tcW w:w="2520" w:type="dxa"/>
            <w:vAlign w:val="bottom"/>
            <w:vMerge w:val="continue"/>
          </w:tcPr>
          <w:p>
            <w:pPr>
              <w:spacing w:after="0"/>
              <w:rPr>
                <w:sz w:val="3"/>
                <w:szCs w:val="3"/>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January 31,</w:t>
            </w:r>
          </w:p>
        </w:tc>
        <w:tc>
          <w:tcPr>
            <w:tcW w:w="140" w:type="dxa"/>
            <w:vAlign w:val="bottom"/>
          </w:tcPr>
          <w:p>
            <w:pPr>
              <w:spacing w:after="0"/>
              <w:rPr>
                <w:sz w:val="3"/>
                <w:szCs w:val="3"/>
                <w:color w:val="auto"/>
              </w:rPr>
            </w:pPr>
          </w:p>
        </w:tc>
        <w:tc>
          <w:tcPr>
            <w:tcW w:w="1120" w:type="dxa"/>
            <w:vAlign w:val="bottom"/>
            <w:vMerge w:val="restart"/>
          </w:tcPr>
          <w:p>
            <w:pPr>
              <w:jc w:val="center"/>
              <w:ind w:right="60"/>
              <w:spacing w:after="0"/>
              <w:rPr>
                <w:sz w:val="20"/>
                <w:szCs w:val="20"/>
                <w:color w:val="auto"/>
              </w:rPr>
            </w:pPr>
            <w:r>
              <w:rPr>
                <w:rFonts w:ascii="Arial" w:cs="Arial" w:eastAsia="Arial" w:hAnsi="Arial"/>
                <w:sz w:val="20"/>
                <w:szCs w:val="20"/>
                <w:color w:val="auto"/>
                <w:w w:val="89"/>
              </w:rPr>
              <w:t>February 1,</w:t>
            </w:r>
          </w:p>
        </w:tc>
        <w:tc>
          <w:tcPr>
            <w:tcW w:w="160" w:type="dxa"/>
            <w:vAlign w:val="bottom"/>
          </w:tcPr>
          <w:p>
            <w:pPr>
              <w:spacing w:after="0"/>
              <w:rPr>
                <w:sz w:val="3"/>
                <w:szCs w:val="3"/>
                <w:color w:val="auto"/>
              </w:rPr>
            </w:pPr>
          </w:p>
        </w:tc>
        <w:tc>
          <w:tcPr>
            <w:tcW w:w="1100" w:type="dxa"/>
            <w:vAlign w:val="bottom"/>
            <w:vMerge w:val="restart"/>
          </w:tcPr>
          <w:p>
            <w:pPr>
              <w:jc w:val="center"/>
              <w:ind w:right="80"/>
              <w:spacing w:after="0"/>
              <w:rPr>
                <w:sz w:val="20"/>
                <w:szCs w:val="20"/>
                <w:color w:val="auto"/>
              </w:rPr>
            </w:pPr>
            <w:r>
              <w:rPr>
                <w:rFonts w:ascii="Arial" w:cs="Arial" w:eastAsia="Arial" w:hAnsi="Arial"/>
                <w:sz w:val="20"/>
                <w:szCs w:val="20"/>
                <w:color w:val="auto"/>
                <w:w w:val="89"/>
              </w:rPr>
              <w:t>February 3,</w:t>
            </w: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2520" w:type="dxa"/>
            <w:vAlign w:val="bottom"/>
          </w:tcPr>
          <w:p>
            <w:pPr>
              <w:ind w:left="420"/>
              <w:spacing w:after="0" w:line="200" w:lineRule="exact"/>
              <w:rPr>
                <w:sz w:val="20"/>
                <w:szCs w:val="20"/>
                <w:color w:val="auto"/>
              </w:rPr>
            </w:pPr>
            <w:r>
              <w:rPr>
                <w:rFonts w:ascii="Arial" w:cs="Arial" w:eastAsia="Arial" w:hAnsi="Arial"/>
                <w:sz w:val="20"/>
                <w:szCs w:val="20"/>
                <w:color w:val="auto"/>
              </w:rPr>
              <w:t>ecogni ed in Income by</w:t>
            </w: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Derivative</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2024</w:t>
            </w:r>
          </w:p>
        </w:tc>
        <w:tc>
          <w:tcPr>
            <w:tcW w:w="0" w:type="dxa"/>
            <w:vAlign w:val="bottom"/>
          </w:tcPr>
          <w:p>
            <w:pPr>
              <w:spacing w:after="0"/>
              <w:rPr>
                <w:sz w:val="1"/>
                <w:szCs w:val="1"/>
                <w:color w:val="auto"/>
              </w:rPr>
            </w:pPr>
          </w:p>
        </w:tc>
      </w:tr>
      <w:tr>
        <w:trPr>
          <w:trHeight w:val="269"/>
        </w:trPr>
        <w:tc>
          <w:tcPr>
            <w:tcW w:w="39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right="80"/>
              <w:spacing w:after="0"/>
              <w:rPr>
                <w:sz w:val="20"/>
                <w:szCs w:val="20"/>
                <w:color w:val="auto"/>
              </w:rPr>
            </w:pPr>
            <w:r>
              <w:rPr>
                <w:rFonts w:ascii="Arial" w:cs="Arial" w:eastAsia="Arial" w:hAnsi="Arial"/>
                <w:sz w:val="20"/>
                <w:szCs w:val="20"/>
                <w:color w:val="auto"/>
                <w:w w:val="89"/>
              </w:rPr>
              <w:t>(53 weeks)</w:t>
            </w:r>
          </w:p>
        </w:tc>
        <w:tc>
          <w:tcPr>
            <w:tcW w:w="0" w:type="dxa"/>
            <w:vAlign w:val="bottom"/>
          </w:tcPr>
          <w:p>
            <w:pPr>
              <w:spacing w:after="0"/>
              <w:rPr>
                <w:sz w:val="1"/>
                <w:szCs w:val="1"/>
                <w:color w:val="auto"/>
              </w:rPr>
            </w:pPr>
          </w:p>
        </w:tc>
      </w:tr>
      <w:tr>
        <w:trPr>
          <w:trHeight w:val="306"/>
        </w:trPr>
        <w:tc>
          <w:tcPr>
            <w:tcW w:w="3960" w:type="dxa"/>
            <w:vAlign w:val="bottom"/>
            <w:shd w:val="clear" w:color="auto" w:fill="E4E4E4"/>
          </w:tcPr>
          <w:p>
            <w:pPr>
              <w:ind w:left="40"/>
              <w:spacing w:after="0"/>
              <w:rPr>
                <w:sz w:val="20"/>
                <w:szCs w:val="20"/>
                <w:color w:val="auto"/>
              </w:rPr>
            </w:pPr>
            <w:r>
              <w:rPr>
                <w:rFonts w:ascii="Arial" w:cs="Arial" w:eastAsia="Arial" w:hAnsi="Arial"/>
                <w:sz w:val="20"/>
                <w:szCs w:val="20"/>
                <w:color w:val="auto"/>
              </w:rPr>
              <w:t>Fair value hedges:</w:t>
            </w:r>
          </w:p>
        </w:tc>
        <w:tc>
          <w:tcPr>
            <w:tcW w:w="2520" w:type="dxa"/>
            <w:vAlign w:val="bottom"/>
            <w:shd w:val="clear" w:color="auto" w:fill="E4E4E4"/>
          </w:tcPr>
          <w:p>
            <w:pPr>
              <w:spacing w:after="0"/>
              <w:rPr>
                <w:sz w:val="24"/>
                <w:szCs w:val="24"/>
                <w:color w:val="auto"/>
              </w:rPr>
            </w:pPr>
          </w:p>
        </w:tc>
        <w:tc>
          <w:tcPr>
            <w:tcW w:w="240" w:type="dxa"/>
            <w:vAlign w:val="bottom"/>
            <w:shd w:val="clear" w:color="auto" w:fill="E4E4E4"/>
          </w:tcPr>
          <w:p>
            <w:pPr>
              <w:spacing w:after="0"/>
              <w:rPr>
                <w:sz w:val="24"/>
                <w:szCs w:val="24"/>
                <w:color w:val="auto"/>
              </w:rPr>
            </w:pPr>
          </w:p>
        </w:tc>
        <w:tc>
          <w:tcPr>
            <w:tcW w:w="10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2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60" w:type="dxa"/>
            <w:vAlign w:val="bottom"/>
            <w:vMerge w:val="restart"/>
            <w:shd w:val="clear" w:color="auto" w:fill="FEFEFE"/>
          </w:tcPr>
          <w:p>
            <w:pPr>
              <w:ind w:left="260"/>
              <w:spacing w:after="0"/>
              <w:rPr>
                <w:sz w:val="20"/>
                <w:szCs w:val="20"/>
                <w:color w:val="auto"/>
              </w:rPr>
            </w:pPr>
            <w:r>
              <w:rPr>
                <w:rFonts w:ascii="Arial" w:cs="Arial" w:eastAsia="Arial" w:hAnsi="Arial"/>
                <w:sz w:val="20"/>
                <w:szCs w:val="20"/>
                <w:color w:val="auto"/>
              </w:rPr>
              <w:t>Intercompany balances, primarily debt</w:t>
            </w:r>
          </w:p>
        </w:tc>
        <w:tc>
          <w:tcPr>
            <w:tcW w:w="2520" w:type="dxa"/>
            <w:vAlign w:val="bottom"/>
            <w:shd w:val="clear" w:color="auto" w:fill="FEFEFE"/>
          </w:tcPr>
          <w:p>
            <w:pPr>
              <w:jc w:val="center"/>
              <w:spacing w:after="0" w:line="222" w:lineRule="exact"/>
              <w:rPr>
                <w:sz w:val="20"/>
                <w:szCs w:val="20"/>
                <w:color w:val="auto"/>
              </w:rPr>
            </w:pPr>
            <w:r>
              <w:rPr>
                <w:rFonts w:ascii="Arial" w:cs="Arial" w:eastAsia="Arial" w:hAnsi="Arial"/>
                <w:sz w:val="20"/>
                <w:szCs w:val="20"/>
                <w:color w:val="auto"/>
                <w:w w:val="89"/>
              </w:rPr>
              <w:t>Selling, general and</w:t>
            </w:r>
          </w:p>
        </w:tc>
        <w:tc>
          <w:tcPr>
            <w:tcW w:w="2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42</w:t>
            </w:r>
          </w:p>
        </w:tc>
        <w:tc>
          <w:tcPr>
            <w:tcW w:w="14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960" w:type="dxa"/>
            <w:vAlign w:val="bottom"/>
            <w:vMerge w:val="continue"/>
            <w:shd w:val="clear" w:color="auto" w:fill="FEFEFE"/>
          </w:tcPr>
          <w:p>
            <w:pPr>
              <w:spacing w:after="0"/>
              <w:rPr>
                <w:sz w:val="13"/>
                <w:szCs w:val="13"/>
                <w:color w:val="auto"/>
              </w:rPr>
            </w:pPr>
          </w:p>
        </w:tc>
        <w:tc>
          <w:tcPr>
            <w:tcW w:w="2520" w:type="dxa"/>
            <w:vAlign w:val="bottom"/>
            <w:vMerge w:val="restart"/>
            <w:shd w:val="clear" w:color="auto" w:fill="FEFEFE"/>
          </w:tcPr>
          <w:p>
            <w:pPr>
              <w:jc w:val="center"/>
              <w:spacing w:after="0"/>
              <w:rPr>
                <w:sz w:val="20"/>
                <w:szCs w:val="20"/>
                <w:color w:val="auto"/>
              </w:rPr>
            </w:pPr>
            <w:r>
              <w:rPr>
                <w:rFonts w:ascii="Arial" w:cs="Arial" w:eastAsia="Arial" w:hAnsi="Arial"/>
                <w:sz w:val="20"/>
                <w:szCs w:val="20"/>
                <w:color w:val="auto"/>
                <w:w w:val="88"/>
              </w:rPr>
              <w:t>administrative expenses</w:t>
            </w:r>
          </w:p>
        </w:tc>
        <w:tc>
          <w:tcPr>
            <w:tcW w:w="240" w:type="dxa"/>
            <w:vAlign w:val="bottom"/>
            <w:vMerge w:val="continue"/>
            <w:shd w:val="clear" w:color="auto" w:fill="FEFEFE"/>
          </w:tcPr>
          <w:p>
            <w:pPr>
              <w:spacing w:after="0"/>
              <w:rPr>
                <w:sz w:val="13"/>
                <w:szCs w:val="13"/>
                <w:color w:val="auto"/>
              </w:rPr>
            </w:pPr>
          </w:p>
        </w:tc>
        <w:tc>
          <w:tcPr>
            <w:tcW w:w="1020" w:type="dxa"/>
            <w:vAlign w:val="bottom"/>
            <w:vMerge w:val="continue"/>
            <w:shd w:val="clear" w:color="auto" w:fill="FEFEFE"/>
          </w:tcPr>
          <w:p>
            <w:pPr>
              <w:spacing w:after="0"/>
              <w:rPr>
                <w:sz w:val="13"/>
                <w:szCs w:val="13"/>
                <w:color w:val="auto"/>
              </w:rPr>
            </w:pPr>
          </w:p>
        </w:tc>
        <w:tc>
          <w:tcPr>
            <w:tcW w:w="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23</w:t>
            </w:r>
          </w:p>
        </w:tc>
        <w:tc>
          <w:tcPr>
            <w:tcW w:w="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11"/>
        </w:trPr>
        <w:tc>
          <w:tcPr>
            <w:tcW w:w="3960" w:type="dxa"/>
            <w:vAlign w:val="bottom"/>
            <w:shd w:val="clear" w:color="auto" w:fill="FEFEFE"/>
          </w:tcPr>
          <w:p>
            <w:pPr>
              <w:spacing w:after="0"/>
              <w:rPr>
                <w:sz w:val="9"/>
                <w:szCs w:val="9"/>
                <w:color w:val="auto"/>
              </w:rPr>
            </w:pPr>
          </w:p>
        </w:tc>
        <w:tc>
          <w:tcPr>
            <w:tcW w:w="2520" w:type="dxa"/>
            <w:vAlign w:val="bottom"/>
            <w:vMerge w:val="continue"/>
            <w:shd w:val="clear" w:color="auto" w:fill="FEFEFE"/>
          </w:tcPr>
          <w:p>
            <w:pPr>
              <w:spacing w:after="0"/>
              <w:rPr>
                <w:sz w:val="9"/>
                <w:szCs w:val="9"/>
                <w:color w:val="auto"/>
              </w:rPr>
            </w:pPr>
          </w:p>
        </w:tc>
        <w:tc>
          <w:tcPr>
            <w:tcW w:w="240" w:type="dxa"/>
            <w:vAlign w:val="bottom"/>
            <w:vMerge w:val="continue"/>
            <w:shd w:val="clear" w:color="auto" w:fill="FEFEFE"/>
          </w:tcPr>
          <w:p>
            <w:pPr>
              <w:spacing w:after="0"/>
              <w:rPr>
                <w:sz w:val="9"/>
                <w:szCs w:val="9"/>
                <w:color w:val="auto"/>
              </w:rPr>
            </w:pPr>
          </w:p>
        </w:tc>
        <w:tc>
          <w:tcPr>
            <w:tcW w:w="1020" w:type="dxa"/>
            <w:vAlign w:val="bottom"/>
            <w:vMerge w:val="continue"/>
            <w:shd w:val="clear" w:color="auto" w:fill="FEFEFE"/>
          </w:tcPr>
          <w:p>
            <w:pPr>
              <w:spacing w:after="0"/>
              <w:rPr>
                <w:sz w:val="9"/>
                <w:szCs w:val="9"/>
                <w:color w:val="auto"/>
              </w:rPr>
            </w:pPr>
          </w:p>
        </w:tc>
        <w:tc>
          <w:tcPr>
            <w:tcW w:w="140" w:type="dxa"/>
            <w:vAlign w:val="bottom"/>
            <w:vMerge w:val="continue"/>
            <w:shd w:val="clear" w:color="auto" w:fill="FEFEFE"/>
          </w:tcPr>
          <w:p>
            <w:pPr>
              <w:spacing w:after="0"/>
              <w:rPr>
                <w:sz w:val="9"/>
                <w:szCs w:val="9"/>
                <w:color w:val="auto"/>
              </w:rPr>
            </w:pPr>
          </w:p>
        </w:tc>
        <w:tc>
          <w:tcPr>
            <w:tcW w:w="1120" w:type="dxa"/>
            <w:vAlign w:val="bottom"/>
            <w:vMerge w:val="continue"/>
            <w:shd w:val="clear" w:color="auto" w:fill="FEFEFE"/>
          </w:tcPr>
          <w:p>
            <w:pPr>
              <w:spacing w:after="0"/>
              <w:rPr>
                <w:sz w:val="9"/>
                <w:szCs w:val="9"/>
                <w:color w:val="auto"/>
              </w:rPr>
            </w:pPr>
          </w:p>
        </w:tc>
        <w:tc>
          <w:tcPr>
            <w:tcW w:w="160" w:type="dxa"/>
            <w:vAlign w:val="bottom"/>
            <w:vMerge w:val="continue"/>
            <w:shd w:val="clear" w:color="auto" w:fill="FEFEFE"/>
          </w:tcPr>
          <w:p>
            <w:pPr>
              <w:spacing w:after="0"/>
              <w:rPr>
                <w:sz w:val="9"/>
                <w:szCs w:val="9"/>
                <w:color w:val="auto"/>
              </w:rPr>
            </w:pPr>
          </w:p>
        </w:tc>
        <w:tc>
          <w:tcPr>
            <w:tcW w:w="1100" w:type="dxa"/>
            <w:vAlign w:val="bottom"/>
            <w:vMerge w:val="continue"/>
            <w:shd w:val="clear" w:color="auto" w:fill="FEFEFE"/>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6480" w:type="dxa"/>
            <w:vAlign w:val="bottom"/>
            <w:gridSpan w:val="2"/>
            <w:shd w:val="clear" w:color="auto" w:fill="E4E4E4"/>
          </w:tcPr>
          <w:p>
            <w:pPr>
              <w:ind w:left="40"/>
              <w:spacing w:after="0"/>
              <w:rPr>
                <w:sz w:val="20"/>
                <w:szCs w:val="20"/>
                <w:color w:val="auto"/>
              </w:rPr>
            </w:pPr>
            <w:r>
              <w:rPr>
                <w:rFonts w:ascii="Arial" w:cs="Arial" w:eastAsia="Arial" w:hAnsi="Arial"/>
                <w:sz w:val="20"/>
                <w:szCs w:val="20"/>
                <w:color w:val="auto"/>
              </w:rPr>
              <w:t>Economic hedges for which hedge accounting was not elected:</w:t>
            </w:r>
          </w:p>
        </w:tc>
        <w:tc>
          <w:tcPr>
            <w:tcW w:w="240" w:type="dxa"/>
            <w:vAlign w:val="bottom"/>
            <w:shd w:val="clear" w:color="auto" w:fill="E4E4E4"/>
          </w:tcPr>
          <w:p>
            <w:pPr>
              <w:spacing w:after="0"/>
              <w:rPr>
                <w:sz w:val="24"/>
                <w:szCs w:val="24"/>
                <w:color w:val="auto"/>
              </w:rPr>
            </w:pPr>
          </w:p>
        </w:tc>
        <w:tc>
          <w:tcPr>
            <w:tcW w:w="10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2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11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60" w:type="dxa"/>
            <w:vAlign w:val="bottom"/>
            <w:vMerge w:val="restart"/>
            <w:shd w:val="clear" w:color="auto" w:fill="FEFEFE"/>
          </w:tcPr>
          <w:p>
            <w:pPr>
              <w:ind w:left="260"/>
              <w:spacing w:after="0"/>
              <w:rPr>
                <w:sz w:val="20"/>
                <w:szCs w:val="20"/>
                <w:color w:val="auto"/>
              </w:rPr>
            </w:pPr>
            <w:r>
              <w:rPr>
                <w:rFonts w:ascii="Arial" w:cs="Arial" w:eastAsia="Arial" w:hAnsi="Arial"/>
                <w:sz w:val="20"/>
                <w:szCs w:val="20"/>
                <w:color w:val="auto"/>
                <w:w w:val="95"/>
              </w:rPr>
              <w:t>Intercompany balances in TJX International</w:t>
            </w:r>
          </w:p>
        </w:tc>
        <w:tc>
          <w:tcPr>
            <w:tcW w:w="2520" w:type="dxa"/>
            <w:vAlign w:val="bottom"/>
            <w:shd w:val="clear" w:color="auto" w:fill="FEFEFE"/>
          </w:tcPr>
          <w:p>
            <w:pPr>
              <w:jc w:val="center"/>
              <w:spacing w:after="0" w:line="197" w:lineRule="exact"/>
              <w:rPr>
                <w:sz w:val="20"/>
                <w:szCs w:val="20"/>
                <w:color w:val="auto"/>
              </w:rPr>
            </w:pPr>
            <w:r>
              <w:rPr>
                <w:rFonts w:ascii="Arial" w:cs="Arial" w:eastAsia="Arial" w:hAnsi="Arial"/>
                <w:sz w:val="20"/>
                <w:szCs w:val="20"/>
                <w:color w:val="auto"/>
                <w:w w:val="89"/>
              </w:rPr>
              <w:t>Selling, general and</w:t>
            </w:r>
          </w:p>
        </w:tc>
        <w:tc>
          <w:tcPr>
            <w:tcW w:w="240" w:type="dxa"/>
            <w:vAlign w:val="bottom"/>
            <w:shd w:val="clear" w:color="auto" w:fill="FEFEFE"/>
          </w:tcPr>
          <w:p>
            <w:pPr>
              <w:spacing w:after="0"/>
              <w:rPr>
                <w:sz w:val="17"/>
                <w:szCs w:val="17"/>
                <w:color w:val="auto"/>
              </w:rPr>
            </w:pPr>
          </w:p>
        </w:tc>
        <w:tc>
          <w:tcPr>
            <w:tcW w:w="10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140" w:type="dxa"/>
            <w:vAlign w:val="bottom"/>
            <w:shd w:val="clear" w:color="auto" w:fill="FEFEFE"/>
          </w:tcPr>
          <w:p>
            <w:pPr>
              <w:spacing w:after="0"/>
              <w:rPr>
                <w:sz w:val="17"/>
                <w:szCs w:val="17"/>
                <w:color w:val="auto"/>
              </w:rPr>
            </w:pPr>
          </w:p>
        </w:tc>
        <w:tc>
          <w:tcPr>
            <w:tcW w:w="112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shd w:val="clear" w:color="auto" w:fill="FEFEFE"/>
          </w:tcPr>
          <w:p>
            <w:pPr>
              <w:spacing w:after="0"/>
              <w:rPr>
                <w:sz w:val="14"/>
                <w:szCs w:val="14"/>
                <w:color w:val="auto"/>
              </w:rPr>
            </w:pPr>
          </w:p>
        </w:tc>
        <w:tc>
          <w:tcPr>
            <w:tcW w:w="2520" w:type="dxa"/>
            <w:vAlign w:val="bottom"/>
            <w:vMerge w:val="restart"/>
            <w:shd w:val="clear" w:color="auto" w:fill="FEFEFE"/>
          </w:tcPr>
          <w:p>
            <w:pPr>
              <w:jc w:val="center"/>
              <w:spacing w:after="0"/>
              <w:rPr>
                <w:sz w:val="20"/>
                <w:szCs w:val="20"/>
                <w:color w:val="auto"/>
              </w:rPr>
            </w:pPr>
            <w:r>
              <w:rPr>
                <w:rFonts w:ascii="Arial" w:cs="Arial" w:eastAsia="Arial" w:hAnsi="Arial"/>
                <w:sz w:val="20"/>
                <w:szCs w:val="20"/>
                <w:color w:val="auto"/>
                <w:w w:val="88"/>
              </w:rPr>
              <w:t>administrative expenses</w:t>
            </w:r>
          </w:p>
        </w:tc>
        <w:tc>
          <w:tcPr>
            <w:tcW w:w="240" w:type="dxa"/>
            <w:vAlign w:val="bottom"/>
            <w:shd w:val="clear" w:color="auto" w:fill="FEFEFE"/>
          </w:tcPr>
          <w:p>
            <w:pPr>
              <w:spacing w:after="0"/>
              <w:rPr>
                <w:sz w:val="14"/>
                <w:szCs w:val="14"/>
                <w:color w:val="auto"/>
              </w:rPr>
            </w:pPr>
          </w:p>
        </w:tc>
        <w:tc>
          <w:tcPr>
            <w:tcW w:w="1020" w:type="dxa"/>
            <w:vAlign w:val="bottom"/>
            <w:vMerge w:val="continue"/>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110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960" w:type="dxa"/>
            <w:vAlign w:val="bottom"/>
            <w:shd w:val="clear" w:color="auto" w:fill="FEFEFE"/>
          </w:tcPr>
          <w:p>
            <w:pPr>
              <w:spacing w:after="0"/>
              <w:rPr>
                <w:sz w:val="8"/>
                <w:szCs w:val="8"/>
                <w:color w:val="auto"/>
              </w:rPr>
            </w:pPr>
          </w:p>
        </w:tc>
        <w:tc>
          <w:tcPr>
            <w:tcW w:w="2520" w:type="dxa"/>
            <w:vAlign w:val="bottom"/>
            <w:vMerge w:val="continue"/>
            <w:shd w:val="clear" w:color="auto" w:fill="FEFEFE"/>
          </w:tcPr>
          <w:p>
            <w:pPr>
              <w:spacing w:after="0"/>
              <w:rPr>
                <w:sz w:val="8"/>
                <w:szCs w:val="8"/>
                <w:color w:val="auto"/>
              </w:rPr>
            </w:pPr>
          </w:p>
        </w:tc>
        <w:tc>
          <w:tcPr>
            <w:tcW w:w="240" w:type="dxa"/>
            <w:vAlign w:val="bottom"/>
            <w:shd w:val="clear" w:color="auto" w:fill="FEFEFE"/>
          </w:tcPr>
          <w:p>
            <w:pPr>
              <w:spacing w:after="0"/>
              <w:rPr>
                <w:sz w:val="8"/>
                <w:szCs w:val="8"/>
                <w:color w:val="auto"/>
              </w:rPr>
            </w:pPr>
          </w:p>
        </w:tc>
        <w:tc>
          <w:tcPr>
            <w:tcW w:w="1020" w:type="dxa"/>
            <w:vAlign w:val="bottom"/>
            <w:vMerge w:val="continue"/>
            <w:shd w:val="clear" w:color="auto" w:fill="FEFEFE"/>
          </w:tcPr>
          <w:p>
            <w:pPr>
              <w:spacing w:after="0"/>
              <w:rPr>
                <w:sz w:val="8"/>
                <w:szCs w:val="8"/>
                <w:color w:val="auto"/>
              </w:rPr>
            </w:pPr>
          </w:p>
        </w:tc>
        <w:tc>
          <w:tcPr>
            <w:tcW w:w="140" w:type="dxa"/>
            <w:vAlign w:val="bottom"/>
            <w:shd w:val="clear" w:color="auto" w:fill="FEFEFE"/>
          </w:tcPr>
          <w:p>
            <w:pPr>
              <w:spacing w:after="0"/>
              <w:rPr>
                <w:sz w:val="8"/>
                <w:szCs w:val="8"/>
                <w:color w:val="auto"/>
              </w:rPr>
            </w:pPr>
          </w:p>
        </w:tc>
        <w:tc>
          <w:tcPr>
            <w:tcW w:w="1120" w:type="dxa"/>
            <w:vAlign w:val="bottom"/>
            <w:shd w:val="clear" w:color="auto" w:fill="FEFEFE"/>
          </w:tcPr>
          <w:p>
            <w:pPr>
              <w:spacing w:after="0"/>
              <w:rPr>
                <w:sz w:val="8"/>
                <w:szCs w:val="8"/>
                <w:color w:val="auto"/>
              </w:rPr>
            </w:pPr>
          </w:p>
        </w:tc>
        <w:tc>
          <w:tcPr>
            <w:tcW w:w="160" w:type="dxa"/>
            <w:vAlign w:val="bottom"/>
            <w:shd w:val="clear" w:color="auto" w:fill="FEFEFE"/>
          </w:tcPr>
          <w:p>
            <w:pPr>
              <w:spacing w:after="0"/>
              <w:rPr>
                <w:sz w:val="8"/>
                <w:szCs w:val="8"/>
                <w:color w:val="auto"/>
              </w:rPr>
            </w:pPr>
          </w:p>
        </w:tc>
        <w:tc>
          <w:tcPr>
            <w:tcW w:w="110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960" w:type="dxa"/>
            <w:vAlign w:val="bottom"/>
            <w:vMerge w:val="restart"/>
            <w:shd w:val="clear" w:color="auto" w:fill="E4E4E4"/>
          </w:tcPr>
          <w:p>
            <w:pPr>
              <w:ind w:left="260"/>
              <w:spacing w:after="0"/>
              <w:rPr>
                <w:sz w:val="20"/>
                <w:szCs w:val="20"/>
                <w:color w:val="auto"/>
              </w:rPr>
            </w:pPr>
            <w:r>
              <w:rPr>
                <w:rFonts w:ascii="Arial" w:cs="Arial" w:eastAsia="Arial" w:hAnsi="Arial"/>
                <w:sz w:val="20"/>
                <w:szCs w:val="20"/>
                <w:color w:val="auto"/>
              </w:rPr>
              <w:t>Diesel fuel contracts</w:t>
            </w:r>
          </w:p>
        </w:tc>
        <w:tc>
          <w:tcPr>
            <w:tcW w:w="2520" w:type="dxa"/>
            <w:vAlign w:val="bottom"/>
            <w:shd w:val="clear" w:color="auto" w:fill="E4E4E4"/>
          </w:tcPr>
          <w:p>
            <w:pPr>
              <w:jc w:val="center"/>
              <w:spacing w:after="0" w:line="198" w:lineRule="exact"/>
              <w:rPr>
                <w:sz w:val="20"/>
                <w:szCs w:val="20"/>
                <w:color w:val="auto"/>
              </w:rPr>
            </w:pPr>
            <w:r>
              <w:rPr>
                <w:rFonts w:ascii="Arial" w:cs="Arial" w:eastAsia="Arial" w:hAnsi="Arial"/>
                <w:sz w:val="20"/>
                <w:szCs w:val="20"/>
                <w:color w:val="auto"/>
                <w:w w:val="90"/>
              </w:rPr>
              <w:t>Cost of sales, including</w:t>
            </w:r>
          </w:p>
        </w:tc>
        <w:tc>
          <w:tcPr>
            <w:tcW w:w="240" w:type="dxa"/>
            <w:vAlign w:val="bottom"/>
            <w:shd w:val="clear" w:color="auto" w:fill="E4E4E4"/>
          </w:tcPr>
          <w:p>
            <w:pPr>
              <w:spacing w:after="0"/>
              <w:rPr>
                <w:sz w:val="17"/>
                <w:szCs w:val="17"/>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6</w:t>
            </w:r>
          </w:p>
        </w:tc>
        <w:tc>
          <w:tcPr>
            <w:tcW w:w="140" w:type="dxa"/>
            <w:vAlign w:val="bottom"/>
            <w:shd w:val="clear" w:color="auto" w:fill="E4E4E4"/>
          </w:tcPr>
          <w:p>
            <w:pPr>
              <w:spacing w:after="0"/>
              <w:rPr>
                <w:sz w:val="17"/>
                <w:szCs w:val="17"/>
                <w:color w:val="auto"/>
              </w:rPr>
            </w:pPr>
          </w:p>
        </w:tc>
        <w:tc>
          <w:tcPr>
            <w:tcW w:w="112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shd w:val="clear" w:color="auto" w:fill="E4E4E4"/>
          </w:tcPr>
          <w:p>
            <w:pPr>
              <w:spacing w:after="0"/>
              <w:rPr>
                <w:sz w:val="14"/>
                <w:szCs w:val="14"/>
                <w:color w:val="auto"/>
              </w:rPr>
            </w:pPr>
          </w:p>
        </w:tc>
        <w:tc>
          <w:tcPr>
            <w:tcW w:w="2520" w:type="dxa"/>
            <w:vAlign w:val="bottom"/>
            <w:vMerge w:val="restart"/>
            <w:shd w:val="clear" w:color="auto" w:fill="E4E4E4"/>
          </w:tcPr>
          <w:p>
            <w:pPr>
              <w:jc w:val="center"/>
              <w:spacing w:after="0"/>
              <w:rPr>
                <w:sz w:val="20"/>
                <w:szCs w:val="20"/>
                <w:color w:val="auto"/>
              </w:rPr>
            </w:pPr>
            <w:r>
              <w:rPr>
                <w:rFonts w:ascii="Arial" w:cs="Arial" w:eastAsia="Arial" w:hAnsi="Arial"/>
                <w:sz w:val="20"/>
                <w:szCs w:val="20"/>
                <w:color w:val="auto"/>
                <w:w w:val="89"/>
              </w:rPr>
              <w:t>buying and occupancy costs</w:t>
            </w:r>
          </w:p>
        </w:tc>
        <w:tc>
          <w:tcPr>
            <w:tcW w:w="240" w:type="dxa"/>
            <w:vAlign w:val="bottom"/>
            <w:shd w:val="clear" w:color="auto" w:fill="E4E4E4"/>
          </w:tcPr>
          <w:p>
            <w:pPr>
              <w:spacing w:after="0"/>
              <w:rPr>
                <w:sz w:val="14"/>
                <w:szCs w:val="14"/>
                <w:color w:val="auto"/>
              </w:rPr>
            </w:pPr>
          </w:p>
        </w:tc>
        <w:tc>
          <w:tcPr>
            <w:tcW w:w="1020" w:type="dxa"/>
            <w:vAlign w:val="bottom"/>
            <w:vMerge w:val="continue"/>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11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(23)</w:t>
            </w:r>
          </w:p>
        </w:tc>
        <w:tc>
          <w:tcPr>
            <w:tcW w:w="160" w:type="dxa"/>
            <w:vAlign w:val="bottom"/>
            <w:shd w:val="clear" w:color="auto" w:fill="E4E4E4"/>
          </w:tcPr>
          <w:p>
            <w:pPr>
              <w:spacing w:after="0"/>
              <w:rPr>
                <w:sz w:val="14"/>
                <w:szCs w:val="14"/>
                <w:color w:val="auto"/>
              </w:rPr>
            </w:pPr>
          </w:p>
        </w:tc>
        <w:tc>
          <w:tcPr>
            <w:tcW w:w="11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102"/>
        </w:trPr>
        <w:tc>
          <w:tcPr>
            <w:tcW w:w="3960" w:type="dxa"/>
            <w:vAlign w:val="bottom"/>
            <w:shd w:val="clear" w:color="auto" w:fill="E4E4E4"/>
          </w:tcPr>
          <w:p>
            <w:pPr>
              <w:spacing w:after="0"/>
              <w:rPr>
                <w:sz w:val="8"/>
                <w:szCs w:val="8"/>
                <w:color w:val="auto"/>
              </w:rPr>
            </w:pPr>
          </w:p>
        </w:tc>
        <w:tc>
          <w:tcPr>
            <w:tcW w:w="2520" w:type="dxa"/>
            <w:vAlign w:val="bottom"/>
            <w:vMerge w:val="continue"/>
            <w:shd w:val="clear" w:color="auto" w:fill="E4E4E4"/>
          </w:tcPr>
          <w:p>
            <w:pPr>
              <w:spacing w:after="0"/>
              <w:rPr>
                <w:sz w:val="8"/>
                <w:szCs w:val="8"/>
                <w:color w:val="auto"/>
              </w:rPr>
            </w:pPr>
          </w:p>
        </w:tc>
        <w:tc>
          <w:tcPr>
            <w:tcW w:w="240" w:type="dxa"/>
            <w:vAlign w:val="bottom"/>
            <w:shd w:val="clear" w:color="auto" w:fill="E4E4E4"/>
          </w:tcPr>
          <w:p>
            <w:pPr>
              <w:spacing w:after="0"/>
              <w:rPr>
                <w:sz w:val="8"/>
                <w:szCs w:val="8"/>
                <w:color w:val="auto"/>
              </w:rPr>
            </w:pPr>
          </w:p>
        </w:tc>
        <w:tc>
          <w:tcPr>
            <w:tcW w:w="1020" w:type="dxa"/>
            <w:vAlign w:val="bottom"/>
            <w:vMerge w:val="continue"/>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1120" w:type="dxa"/>
            <w:vAlign w:val="bottom"/>
            <w:vMerge w:val="continue"/>
            <w:shd w:val="clear" w:color="auto" w:fill="E4E4E4"/>
          </w:tcPr>
          <w:p>
            <w:pPr>
              <w:spacing w:after="0"/>
              <w:rPr>
                <w:sz w:val="8"/>
                <w:szCs w:val="8"/>
                <w:color w:val="auto"/>
              </w:rPr>
            </w:pPr>
          </w:p>
        </w:tc>
        <w:tc>
          <w:tcPr>
            <w:tcW w:w="160" w:type="dxa"/>
            <w:vAlign w:val="bottom"/>
            <w:shd w:val="clear" w:color="auto" w:fill="E4E4E4"/>
          </w:tcPr>
          <w:p>
            <w:pPr>
              <w:spacing w:after="0"/>
              <w:rPr>
                <w:sz w:val="8"/>
                <w:szCs w:val="8"/>
                <w:color w:val="auto"/>
              </w:rPr>
            </w:pPr>
          </w:p>
        </w:tc>
        <w:tc>
          <w:tcPr>
            <w:tcW w:w="1100" w:type="dxa"/>
            <w:vAlign w:val="bottom"/>
            <w:vMerge w:val="continue"/>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FEFEFE"/>
          </w:tcPr>
          <w:p>
            <w:pPr>
              <w:ind w:left="260"/>
              <w:spacing w:after="0" w:line="213" w:lineRule="exact"/>
              <w:rPr>
                <w:sz w:val="20"/>
                <w:szCs w:val="20"/>
                <w:color w:val="auto"/>
              </w:rPr>
            </w:pPr>
            <w:r>
              <w:rPr>
                <w:rFonts w:ascii="Arial" w:cs="Arial" w:eastAsia="Arial" w:hAnsi="Arial"/>
                <w:sz w:val="20"/>
                <w:szCs w:val="20"/>
                <w:color w:val="auto"/>
                <w:w w:val="99"/>
              </w:rPr>
              <w:t>Intercompany billings in TJX International,</w:t>
            </w:r>
          </w:p>
        </w:tc>
        <w:tc>
          <w:tcPr>
            <w:tcW w:w="2520" w:type="dxa"/>
            <w:vAlign w:val="bottom"/>
            <w:shd w:val="clear" w:color="auto" w:fill="FEFEFE"/>
          </w:tcPr>
          <w:p>
            <w:pPr>
              <w:jc w:val="center"/>
              <w:spacing w:after="0" w:line="213" w:lineRule="exact"/>
              <w:rPr>
                <w:sz w:val="20"/>
                <w:szCs w:val="20"/>
                <w:color w:val="auto"/>
              </w:rPr>
            </w:pPr>
            <w:r>
              <w:rPr>
                <w:rFonts w:ascii="Arial" w:cs="Arial" w:eastAsia="Arial" w:hAnsi="Arial"/>
                <w:sz w:val="20"/>
                <w:szCs w:val="20"/>
                <w:color w:val="auto"/>
                <w:w w:val="90"/>
              </w:rPr>
              <w:t>Cost of sales, including</w:t>
            </w:r>
          </w:p>
        </w:tc>
        <w:tc>
          <w:tcPr>
            <w:tcW w:w="240" w:type="dxa"/>
            <w:vAlign w:val="bottom"/>
            <w:shd w:val="clear" w:color="auto" w:fill="FEFEFE"/>
          </w:tcPr>
          <w:p>
            <w:pPr>
              <w:spacing w:after="0"/>
              <w:rPr>
                <w:sz w:val="18"/>
                <w:szCs w:val="18"/>
                <w:color w:val="auto"/>
              </w:rPr>
            </w:pPr>
          </w:p>
        </w:tc>
        <w:tc>
          <w:tcPr>
            <w:tcW w:w="10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140" w:type="dxa"/>
            <w:vAlign w:val="bottom"/>
            <w:shd w:val="clear" w:color="auto" w:fill="FEFEFE"/>
          </w:tcPr>
          <w:p>
            <w:pPr>
              <w:spacing w:after="0"/>
              <w:rPr>
                <w:sz w:val="18"/>
                <w:szCs w:val="18"/>
                <w:color w:val="auto"/>
              </w:rPr>
            </w:pPr>
          </w:p>
        </w:tc>
        <w:tc>
          <w:tcPr>
            <w:tcW w:w="11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6</w:t>
            </w:r>
          </w:p>
        </w:tc>
        <w:tc>
          <w:tcPr>
            <w:tcW w:w="160" w:type="dxa"/>
            <w:vAlign w:val="bottom"/>
            <w:shd w:val="clear" w:color="auto" w:fill="FEFEFE"/>
          </w:tcPr>
          <w:p>
            <w:pPr>
              <w:spacing w:after="0"/>
              <w:rPr>
                <w:sz w:val="18"/>
                <w:szCs w:val="18"/>
                <w:color w:val="auto"/>
              </w:rPr>
            </w:pPr>
          </w:p>
        </w:tc>
        <w:tc>
          <w:tcPr>
            <w:tcW w:w="11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1"/>
        </w:trPr>
        <w:tc>
          <w:tcPr>
            <w:tcW w:w="3960" w:type="dxa"/>
            <w:vAlign w:val="bottom"/>
            <w:shd w:val="clear" w:color="auto" w:fill="FEFEFE"/>
          </w:tcPr>
          <w:p>
            <w:pPr>
              <w:ind w:left="260"/>
              <w:spacing w:after="0"/>
              <w:rPr>
                <w:sz w:val="20"/>
                <w:szCs w:val="20"/>
                <w:color w:val="auto"/>
              </w:rPr>
            </w:pPr>
            <w:r>
              <w:rPr>
                <w:rFonts w:ascii="Arial" w:cs="Arial" w:eastAsia="Arial" w:hAnsi="Arial"/>
                <w:sz w:val="20"/>
                <w:szCs w:val="20"/>
                <w:color w:val="auto"/>
              </w:rPr>
              <w:t>primarily merchandise</w:t>
            </w:r>
          </w:p>
        </w:tc>
        <w:tc>
          <w:tcPr>
            <w:tcW w:w="2520" w:type="dxa"/>
            <w:vAlign w:val="bottom"/>
            <w:shd w:val="clear" w:color="auto" w:fill="FEFEFE"/>
          </w:tcPr>
          <w:p>
            <w:pPr>
              <w:jc w:val="center"/>
              <w:spacing w:after="0"/>
              <w:rPr>
                <w:sz w:val="20"/>
                <w:szCs w:val="20"/>
                <w:color w:val="auto"/>
              </w:rPr>
            </w:pPr>
            <w:r>
              <w:rPr>
                <w:rFonts w:ascii="Arial" w:cs="Arial" w:eastAsia="Arial" w:hAnsi="Arial"/>
                <w:sz w:val="20"/>
                <w:szCs w:val="20"/>
                <w:color w:val="auto"/>
                <w:w w:val="89"/>
              </w:rPr>
              <w:t>buying and occupancy costs</w:t>
            </w:r>
          </w:p>
        </w:tc>
        <w:tc>
          <w:tcPr>
            <w:tcW w:w="240" w:type="dxa"/>
            <w:vAlign w:val="bottom"/>
            <w:shd w:val="clear" w:color="auto" w:fill="FEFEFE"/>
          </w:tcPr>
          <w:p>
            <w:pPr>
              <w:spacing w:after="0"/>
              <w:rPr>
                <w:sz w:val="21"/>
                <w:szCs w:val="21"/>
                <w:color w:val="auto"/>
              </w:rPr>
            </w:pPr>
          </w:p>
        </w:tc>
        <w:tc>
          <w:tcPr>
            <w:tcW w:w="1020" w:type="dxa"/>
            <w:vAlign w:val="bottom"/>
            <w:vMerge w:val="continue"/>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20" w:type="dxa"/>
            <w:vAlign w:val="bottom"/>
            <w:vMerge w:val="continue"/>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1100" w:type="dxa"/>
            <w:vAlign w:val="bottom"/>
            <w:vMerge w:val="continue"/>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960" w:type="dxa"/>
            <w:vAlign w:val="bottom"/>
            <w:vMerge w:val="restart"/>
            <w:shd w:val="clear" w:color="auto" w:fill="E4E4E4"/>
          </w:tcPr>
          <w:p>
            <w:pPr>
              <w:ind w:left="440"/>
              <w:spacing w:after="0"/>
              <w:rPr>
                <w:sz w:val="20"/>
                <w:szCs w:val="20"/>
                <w:color w:val="auto"/>
              </w:rPr>
            </w:pPr>
            <w:r>
              <w:rPr>
                <w:rFonts w:ascii="Arial" w:cs="Arial" w:eastAsia="Arial" w:hAnsi="Arial"/>
                <w:sz w:val="20"/>
                <w:szCs w:val="20"/>
                <w:color w:val="auto"/>
              </w:rPr>
              <w:t>erchandise purchase commitments</w:t>
            </w:r>
          </w:p>
        </w:tc>
        <w:tc>
          <w:tcPr>
            <w:tcW w:w="2520" w:type="dxa"/>
            <w:vAlign w:val="bottom"/>
            <w:shd w:val="clear" w:color="auto" w:fill="E4E4E4"/>
          </w:tcPr>
          <w:p>
            <w:pPr>
              <w:jc w:val="center"/>
              <w:spacing w:after="0" w:line="192" w:lineRule="exact"/>
              <w:rPr>
                <w:sz w:val="20"/>
                <w:szCs w:val="20"/>
                <w:color w:val="auto"/>
              </w:rPr>
            </w:pPr>
            <w:r>
              <w:rPr>
                <w:rFonts w:ascii="Arial" w:cs="Arial" w:eastAsia="Arial" w:hAnsi="Arial"/>
                <w:sz w:val="20"/>
                <w:szCs w:val="20"/>
                <w:color w:val="auto"/>
                <w:w w:val="90"/>
              </w:rPr>
              <w:t>Cost of sales, including</w:t>
            </w:r>
          </w:p>
        </w:tc>
        <w:tc>
          <w:tcPr>
            <w:tcW w:w="240" w:type="dxa"/>
            <w:vAlign w:val="bottom"/>
            <w:shd w:val="clear" w:color="auto" w:fill="E4E4E4"/>
          </w:tcPr>
          <w:p>
            <w:pPr>
              <w:spacing w:after="0"/>
              <w:rPr>
                <w:sz w:val="16"/>
                <w:szCs w:val="16"/>
                <w:color w:val="auto"/>
              </w:rPr>
            </w:pPr>
          </w:p>
        </w:tc>
        <w:tc>
          <w:tcPr>
            <w:tcW w:w="10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86</w:t>
            </w:r>
          </w:p>
        </w:tc>
        <w:tc>
          <w:tcPr>
            <w:tcW w:w="140" w:type="dxa"/>
            <w:vAlign w:val="bottom"/>
            <w:shd w:val="clear" w:color="auto" w:fill="E4E4E4"/>
          </w:tcPr>
          <w:p>
            <w:pPr>
              <w:spacing w:after="0"/>
              <w:rPr>
                <w:sz w:val="16"/>
                <w:szCs w:val="16"/>
                <w:color w:val="auto"/>
              </w:rPr>
            </w:pPr>
          </w:p>
        </w:tc>
        <w:tc>
          <w:tcPr>
            <w:tcW w:w="112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1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shd w:val="clear" w:color="auto" w:fill="E4E4E4"/>
          </w:tcPr>
          <w:p>
            <w:pPr>
              <w:spacing w:after="0"/>
              <w:rPr>
                <w:sz w:val="14"/>
                <w:szCs w:val="14"/>
                <w:color w:val="auto"/>
              </w:rPr>
            </w:pPr>
          </w:p>
        </w:tc>
        <w:tc>
          <w:tcPr>
            <w:tcW w:w="2520" w:type="dxa"/>
            <w:vAlign w:val="bottom"/>
            <w:vMerge w:val="restart"/>
            <w:shd w:val="clear" w:color="auto" w:fill="E4E4E4"/>
          </w:tcPr>
          <w:p>
            <w:pPr>
              <w:jc w:val="center"/>
              <w:spacing w:after="0"/>
              <w:rPr>
                <w:sz w:val="20"/>
                <w:szCs w:val="20"/>
                <w:color w:val="auto"/>
              </w:rPr>
            </w:pPr>
            <w:r>
              <w:rPr>
                <w:rFonts w:ascii="Arial" w:cs="Arial" w:eastAsia="Arial" w:hAnsi="Arial"/>
                <w:sz w:val="20"/>
                <w:szCs w:val="20"/>
                <w:color w:val="auto"/>
                <w:w w:val="89"/>
              </w:rPr>
              <w:t>buying and occupancy costs</w:t>
            </w:r>
          </w:p>
        </w:tc>
        <w:tc>
          <w:tcPr>
            <w:tcW w:w="240" w:type="dxa"/>
            <w:vAlign w:val="bottom"/>
            <w:shd w:val="clear" w:color="auto" w:fill="E4E4E4"/>
          </w:tcPr>
          <w:p>
            <w:pPr>
              <w:spacing w:after="0"/>
              <w:rPr>
                <w:sz w:val="14"/>
                <w:szCs w:val="14"/>
                <w:color w:val="auto"/>
              </w:rPr>
            </w:pPr>
          </w:p>
        </w:tc>
        <w:tc>
          <w:tcPr>
            <w:tcW w:w="1020" w:type="dxa"/>
            <w:vAlign w:val="bottom"/>
            <w:vMerge w:val="continue"/>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112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53</w:t>
            </w:r>
          </w:p>
        </w:tc>
        <w:tc>
          <w:tcPr>
            <w:tcW w:w="160" w:type="dxa"/>
            <w:vAlign w:val="bottom"/>
            <w:shd w:val="clear" w:color="auto" w:fill="E4E4E4"/>
          </w:tcPr>
          <w:p>
            <w:pPr>
              <w:spacing w:after="0"/>
              <w:rPr>
                <w:sz w:val="14"/>
                <w:szCs w:val="14"/>
                <w:color w:val="auto"/>
              </w:rPr>
            </w:pPr>
          </w:p>
        </w:tc>
        <w:tc>
          <w:tcPr>
            <w:tcW w:w="11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92"/>
        </w:trPr>
        <w:tc>
          <w:tcPr>
            <w:tcW w:w="3960" w:type="dxa"/>
            <w:vAlign w:val="bottom"/>
            <w:tcBorders>
              <w:bottom w:val="single" w:sz="8" w:color="auto"/>
            </w:tcBorders>
            <w:shd w:val="clear" w:color="auto" w:fill="E4E4E4"/>
          </w:tcPr>
          <w:p>
            <w:pPr>
              <w:spacing w:after="0"/>
              <w:rPr>
                <w:sz w:val="8"/>
                <w:szCs w:val="8"/>
                <w:color w:val="auto"/>
              </w:rPr>
            </w:pPr>
          </w:p>
        </w:tc>
        <w:tc>
          <w:tcPr>
            <w:tcW w:w="2520" w:type="dxa"/>
            <w:vAlign w:val="bottom"/>
            <w:tcBorders>
              <w:bottom w:val="single" w:sz="8" w:color="auto"/>
            </w:tcBorders>
            <w:vMerge w:val="continue"/>
            <w:shd w:val="clear" w:color="auto" w:fill="E4E4E4"/>
          </w:tcPr>
          <w:p>
            <w:pPr>
              <w:spacing w:after="0"/>
              <w:rPr>
                <w:sz w:val="8"/>
                <w:szCs w:val="8"/>
                <w:color w:val="auto"/>
              </w:rPr>
            </w:pPr>
          </w:p>
        </w:tc>
        <w:tc>
          <w:tcPr>
            <w:tcW w:w="240" w:type="dxa"/>
            <w:vAlign w:val="bottom"/>
            <w:tcBorders>
              <w:bottom w:val="single" w:sz="8" w:color="auto"/>
            </w:tcBorders>
            <w:shd w:val="clear" w:color="auto" w:fill="E4E4E4"/>
          </w:tcPr>
          <w:p>
            <w:pPr>
              <w:spacing w:after="0"/>
              <w:rPr>
                <w:sz w:val="8"/>
                <w:szCs w:val="8"/>
                <w:color w:val="auto"/>
              </w:rPr>
            </w:pPr>
          </w:p>
        </w:tc>
        <w:tc>
          <w:tcPr>
            <w:tcW w:w="1020" w:type="dxa"/>
            <w:vAlign w:val="bottom"/>
            <w:tcBorders>
              <w:bottom w:val="single" w:sz="8" w:color="auto"/>
            </w:tcBorders>
            <w:vMerge w:val="continue"/>
            <w:shd w:val="clear" w:color="auto" w:fill="E4E4E4"/>
          </w:tcPr>
          <w:p>
            <w:pPr>
              <w:spacing w:after="0"/>
              <w:rPr>
                <w:sz w:val="8"/>
                <w:szCs w:val="8"/>
                <w:color w:val="auto"/>
              </w:rPr>
            </w:pPr>
          </w:p>
        </w:tc>
        <w:tc>
          <w:tcPr>
            <w:tcW w:w="140" w:type="dxa"/>
            <w:vAlign w:val="bottom"/>
            <w:tcBorders>
              <w:bottom w:val="single" w:sz="8" w:color="auto"/>
            </w:tcBorders>
            <w:shd w:val="clear" w:color="auto" w:fill="E4E4E4"/>
          </w:tcPr>
          <w:p>
            <w:pPr>
              <w:spacing w:after="0"/>
              <w:rPr>
                <w:sz w:val="8"/>
                <w:szCs w:val="8"/>
                <w:color w:val="auto"/>
              </w:rPr>
            </w:pPr>
          </w:p>
        </w:tc>
        <w:tc>
          <w:tcPr>
            <w:tcW w:w="1120" w:type="dxa"/>
            <w:vAlign w:val="bottom"/>
            <w:tcBorders>
              <w:bottom w:val="single" w:sz="8" w:color="auto"/>
            </w:tcBorders>
            <w:vMerge w:val="continue"/>
            <w:shd w:val="clear" w:color="auto" w:fill="E4E4E4"/>
          </w:tcPr>
          <w:p>
            <w:pPr>
              <w:spacing w:after="0"/>
              <w:rPr>
                <w:sz w:val="8"/>
                <w:szCs w:val="8"/>
                <w:color w:val="auto"/>
              </w:rPr>
            </w:pPr>
          </w:p>
        </w:tc>
        <w:tc>
          <w:tcPr>
            <w:tcW w:w="160" w:type="dxa"/>
            <w:vAlign w:val="bottom"/>
            <w:tcBorders>
              <w:bottom w:val="single" w:sz="8" w:color="auto"/>
            </w:tcBorders>
            <w:shd w:val="clear" w:color="auto" w:fill="E4E4E4"/>
          </w:tcPr>
          <w:p>
            <w:pPr>
              <w:spacing w:after="0"/>
              <w:rPr>
                <w:sz w:val="8"/>
                <w:szCs w:val="8"/>
                <w:color w:val="auto"/>
              </w:rPr>
            </w:pPr>
          </w:p>
        </w:tc>
        <w:tc>
          <w:tcPr>
            <w:tcW w:w="1100" w:type="dxa"/>
            <w:vAlign w:val="bottom"/>
            <w:tcBorders>
              <w:bottom w:val="single" w:sz="8" w:color="auto"/>
            </w:tcBorders>
            <w:vMerge w:val="continue"/>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396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ain (loss) recogni ed in income</w:t>
            </w:r>
          </w:p>
        </w:tc>
        <w:tc>
          <w:tcPr>
            <w:tcW w:w="2520" w:type="dxa"/>
            <w:vAlign w:val="bottom"/>
            <w:tcBorders>
              <w:bottom w:val="single" w:sz="8" w:color="auto"/>
            </w:tcBorders>
            <w:shd w:val="clear" w:color="auto" w:fill="FEFEFE"/>
          </w:tcPr>
          <w:p>
            <w:pPr>
              <w:spacing w:after="0"/>
              <w:rPr>
                <w:sz w:val="24"/>
                <w:szCs w:val="24"/>
                <w:color w:val="auto"/>
              </w:rPr>
            </w:pP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131</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5</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right="40"/>
        <w:spacing w:after="0" w:line="341" w:lineRule="auto"/>
        <w:rPr>
          <w:sz w:val="20"/>
          <w:szCs w:val="20"/>
          <w:color w:val="auto"/>
        </w:rPr>
      </w:pPr>
      <w:r>
        <w:rPr>
          <w:rFonts w:ascii="Arial" w:cs="Arial" w:eastAsia="Arial" w:hAnsi="Arial"/>
          <w:sz w:val="18"/>
          <w:szCs w:val="18"/>
          <w:color w:val="auto"/>
        </w:rPr>
        <w:t>Included in the table above are reali ed losses of $58 million in fiscal 2026, reali ed gains of $14 million in fiscal 2025 and reali ed losses of $23 million in fiscal 2024, all of which were largely offset by gains and losses on the underlying hedged item.</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ectPr>
          <w:pgSz w:w="12240" w:h="15841" w:orient="portrait"/>
          <w:cols w:equalWidth="0" w:num="1">
            <w:col w:w="10260"/>
          </w:cols>
          <w:pgMar w:left="1000" w:top="792" w:right="981" w:bottom="0" w:gutter="0" w:footer="0" w:header="0"/>
        </w:sectPr>
      </w:pPr>
    </w:p>
    <w:bookmarkStart w:id="76" w:name="page77"/>
    <w:bookmarkEnd w:id="76"/>
    <w:p>
      <w:pPr>
        <w:spacing w:after="0"/>
        <w:tabs>
          <w:tab w:leader="none" w:pos="1440" w:val="left"/>
          <w:tab w:leader="none" w:pos="216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Note F. Fair</w:t>
        <w:tab/>
        <w:t>alue</w:t>
      </w:r>
      <w:r>
        <w:rPr>
          <w:sz w:val="20"/>
          <w:szCs w:val="20"/>
          <w:color w:val="auto"/>
        </w:rPr>
        <w:tab/>
      </w:r>
      <w:r>
        <w:rPr>
          <w:rFonts w:ascii="Arial" w:cs="Arial" w:eastAsia="Arial" w:hAnsi="Arial"/>
          <w:sz w:val="22"/>
          <w:szCs w:val="22"/>
          <w:color w:val="auto"/>
        </w:rPr>
        <w:t>easurements</w:t>
      </w:r>
    </w:p>
    <w:p>
      <w:pPr>
        <w:spacing w:after="0" w:line="153" w:lineRule="exact"/>
        <w:rPr>
          <w:sz w:val="20"/>
          <w:szCs w:val="20"/>
          <w:color w:val="auto"/>
        </w:rPr>
      </w:pPr>
    </w:p>
    <w:p>
      <w:pPr>
        <w:jc w:val="both"/>
        <w:ind w:right="240"/>
        <w:spacing w:after="0" w:line="266"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(also referred to as exit price). The inputs used to measure fair value are generally classified into the following hierarchy:</w:t>
      </w:r>
    </w:p>
    <w:p>
      <w:pPr>
        <w:spacing w:after="0" w:line="3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20"/>
          <w:szCs w:val="20"/>
          <w:color w:val="auto"/>
        </w:rPr>
        <w:t>Level 1:</w:t>
      </w:r>
      <w:r>
        <w:rPr>
          <w:sz w:val="20"/>
          <w:szCs w:val="20"/>
          <w:color w:val="auto"/>
        </w:rPr>
        <w:tab/>
      </w:r>
      <w:r>
        <w:rPr>
          <w:rFonts w:ascii="Arial" w:cs="Arial" w:eastAsia="Arial" w:hAnsi="Arial"/>
          <w:sz w:val="18"/>
          <w:szCs w:val="18"/>
          <w:color w:val="auto"/>
        </w:rPr>
        <w:t>nadjusted  uoted prices in active markets for identical assets or liabilities</w:t>
      </w:r>
    </w:p>
    <w:p>
      <w:pPr>
        <w:spacing w:after="0" w:line="197"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20"/>
          <w:szCs w:val="20"/>
          <w:color w:val="auto"/>
        </w:rPr>
        <w:t>Level 2:</w:t>
      </w:r>
      <w:r>
        <w:rPr>
          <w:sz w:val="20"/>
          <w:szCs w:val="20"/>
          <w:color w:val="auto"/>
        </w:rPr>
        <w:tab/>
      </w:r>
      <w:r>
        <w:rPr>
          <w:rFonts w:ascii="Arial" w:cs="Arial" w:eastAsia="Arial" w:hAnsi="Arial"/>
          <w:sz w:val="18"/>
          <w:szCs w:val="18"/>
          <w:color w:val="auto"/>
        </w:rPr>
        <w:t>nadjusted  uoted prices in active markets for similar assets or liabilities, or unadjusted  uoted prices for</w:t>
      </w:r>
    </w:p>
    <w:p>
      <w:pPr>
        <w:ind w:left="1180" w:right="260"/>
        <w:spacing w:after="0" w:line="241" w:lineRule="auto"/>
        <w:rPr>
          <w:sz w:val="20"/>
          <w:szCs w:val="20"/>
          <w:color w:val="auto"/>
        </w:rPr>
      </w:pPr>
      <w:r>
        <w:rPr>
          <w:rFonts w:ascii="Arial" w:cs="Arial" w:eastAsia="Arial" w:hAnsi="Arial"/>
          <w:sz w:val="20"/>
          <w:szCs w:val="20"/>
          <w:color w:val="auto"/>
        </w:rPr>
        <w:t>identical or similar assets or liabilities in markets that are not active, or inputs other than uoted prices that are observable for the asset or liability</w:t>
      </w:r>
    </w:p>
    <w:p>
      <w:pPr>
        <w:spacing w:after="0" w:line="25"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20"/>
          <w:szCs w:val="20"/>
          <w:color w:val="auto"/>
        </w:rPr>
        <w:t>Level 3:</w:t>
      </w:r>
      <w:r>
        <w:rPr>
          <w:sz w:val="20"/>
          <w:szCs w:val="20"/>
          <w:color w:val="auto"/>
        </w:rPr>
        <w:tab/>
      </w:r>
      <w:r>
        <w:rPr>
          <w:rFonts w:ascii="Arial" w:cs="Arial" w:eastAsia="Arial" w:hAnsi="Arial"/>
          <w:sz w:val="18"/>
          <w:szCs w:val="18"/>
          <w:color w:val="auto"/>
        </w:rPr>
        <w:t>nobservable inputs for the asset or liability</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TJX’s financial assets and liabilities that are accounted for at fair value on a recurring basis: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color w:val="auto"/>
              </w:rPr>
              <w:t>Fiscal Year Ended</w:t>
            </w:r>
          </w:p>
        </w:tc>
      </w:tr>
      <w:tr>
        <w:trPr>
          <w:trHeight w:val="212"/>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line="212" w:lineRule="exact"/>
              <w:rPr>
                <w:sz w:val="20"/>
                <w:szCs w:val="20"/>
                <w:color w:val="auto"/>
              </w:rPr>
            </w:pPr>
            <w:r>
              <w:rPr>
                <w:rFonts w:ascii="Arial" w:cs="Arial" w:eastAsia="Arial" w:hAnsi="Arial"/>
                <w:sz w:val="20"/>
                <w:szCs w:val="20"/>
                <w:color w:val="auto"/>
                <w:w w:val="95"/>
              </w:rPr>
              <w:t>January 31,</w:t>
            </w:r>
          </w:p>
        </w:tc>
        <w:tc>
          <w:tcPr>
            <w:tcW w:w="200" w:type="dxa"/>
            <w:vAlign w:val="bottom"/>
          </w:tcPr>
          <w:p>
            <w:pPr>
              <w:spacing w:after="0"/>
              <w:rPr>
                <w:sz w:val="18"/>
                <w:szCs w:val="18"/>
                <w:color w:val="auto"/>
              </w:rPr>
            </w:pPr>
          </w:p>
        </w:tc>
        <w:tc>
          <w:tcPr>
            <w:tcW w:w="114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89"/>
              </w:rPr>
              <w:t>February 1,</w:t>
            </w:r>
          </w:p>
        </w:tc>
      </w:tr>
      <w:tr>
        <w:trPr>
          <w:trHeight w:val="263"/>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70"/>
        </w:trPr>
        <w:tc>
          <w:tcPr>
            <w:tcW w:w="76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Level 1</w:t>
            </w:r>
          </w:p>
        </w:tc>
        <w:tc>
          <w:tcPr>
            <w:tcW w:w="140" w:type="dxa"/>
            <w:vAlign w:val="bottom"/>
            <w:tcBorders>
              <w:bottom w:val="single" w:sz="8" w:color="E4E4E4"/>
            </w:tcBorders>
            <w:shd w:val="clear" w:color="auto" w:fill="E4E4E4"/>
          </w:tcPr>
          <w:p>
            <w:pPr>
              <w:spacing w:after="0"/>
              <w:rPr>
                <w:sz w:val="23"/>
                <w:szCs w:val="23"/>
                <w:color w:val="auto"/>
              </w:rPr>
            </w:pPr>
          </w:p>
        </w:tc>
        <w:tc>
          <w:tcPr>
            <w:tcW w:w="116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1140" w:type="dxa"/>
            <w:vAlign w:val="bottom"/>
            <w:tcBorders>
              <w:bottom w:val="single" w:sz="8" w:color="E4E4E4"/>
            </w:tcBorders>
            <w:shd w:val="clear" w:color="auto" w:fill="E4E4E4"/>
          </w:tcPr>
          <w:p>
            <w:pPr>
              <w:spacing w:after="0"/>
              <w:rPr>
                <w:sz w:val="23"/>
                <w:szCs w:val="23"/>
                <w:color w:val="auto"/>
              </w:rPr>
            </w:pPr>
          </w:p>
        </w:tc>
      </w:tr>
      <w:tr>
        <w:trPr>
          <w:trHeight w:val="280"/>
        </w:trPr>
        <w:tc>
          <w:tcPr>
            <w:tcW w:w="7600" w:type="dxa"/>
            <w:vAlign w:val="bottom"/>
            <w:tcBorders>
              <w:bottom w:val="single" w:sz="8" w:color="FEFEFE"/>
            </w:tcBorders>
            <w:shd w:val="clear" w:color="auto" w:fill="FEFEFE"/>
          </w:tcPr>
          <w:p>
            <w:pPr>
              <w:ind w:left="260"/>
              <w:spacing w:after="0"/>
              <w:rPr>
                <w:sz w:val="20"/>
                <w:szCs w:val="20"/>
                <w:color w:val="auto"/>
              </w:rPr>
            </w:pPr>
            <w:r>
              <w:rPr>
                <w:rFonts w:ascii="Arial" w:cs="Arial" w:eastAsia="Arial" w:hAnsi="Arial"/>
                <w:sz w:val="20"/>
                <w:szCs w:val="20"/>
                <w:color w:val="auto"/>
              </w:rPr>
              <w:t>Assets:</w:t>
            </w:r>
          </w:p>
        </w:tc>
        <w:tc>
          <w:tcPr>
            <w:tcW w:w="140" w:type="dxa"/>
            <w:vAlign w:val="bottom"/>
            <w:tcBorders>
              <w:bottom w:val="single" w:sz="8" w:color="FEFEFE"/>
            </w:tcBorders>
            <w:shd w:val="clear" w:color="auto" w:fill="FEFEFE"/>
          </w:tcPr>
          <w:p>
            <w:pPr>
              <w:spacing w:after="0"/>
              <w:rPr>
                <w:sz w:val="24"/>
                <w:szCs w:val="24"/>
                <w:color w:val="auto"/>
              </w:rPr>
            </w:pPr>
          </w:p>
        </w:tc>
        <w:tc>
          <w:tcPr>
            <w:tcW w:w="11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r>
      <w:tr>
        <w:trPr>
          <w:trHeight w:val="300"/>
        </w:trPr>
        <w:tc>
          <w:tcPr>
            <w:tcW w:w="7600" w:type="dxa"/>
            <w:vAlign w:val="bottom"/>
            <w:shd w:val="clear" w:color="auto" w:fill="E4E4E4"/>
          </w:tcPr>
          <w:p>
            <w:pPr>
              <w:ind w:left="540"/>
              <w:spacing w:after="0"/>
              <w:rPr>
                <w:sz w:val="20"/>
                <w:szCs w:val="20"/>
                <w:color w:val="auto"/>
              </w:rPr>
            </w:pPr>
            <w:r>
              <w:rPr>
                <w:rFonts w:ascii="Arial" w:cs="Arial" w:eastAsia="Arial" w:hAnsi="Arial"/>
                <w:sz w:val="20"/>
                <w:szCs w:val="20"/>
                <w:color w:val="auto"/>
              </w:rPr>
              <w:t>Executive Savings Plan investments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561.6</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481.4</w:t>
            </w:r>
          </w:p>
        </w:tc>
      </w:tr>
      <w:tr>
        <w:trPr>
          <w:trHeight w:val="280"/>
        </w:trPr>
        <w:tc>
          <w:tcPr>
            <w:tcW w:w="76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Level 2</w:t>
            </w:r>
          </w:p>
        </w:tc>
        <w:tc>
          <w:tcPr>
            <w:tcW w:w="140" w:type="dxa"/>
            <w:vAlign w:val="bottom"/>
            <w:tcBorders>
              <w:bottom w:val="single" w:sz="8" w:color="FEFEFE"/>
            </w:tcBorders>
            <w:shd w:val="clear" w:color="auto" w:fill="FEFEFE"/>
          </w:tcPr>
          <w:p>
            <w:pPr>
              <w:spacing w:after="0"/>
              <w:rPr>
                <w:sz w:val="24"/>
                <w:szCs w:val="24"/>
                <w:color w:val="auto"/>
              </w:rPr>
            </w:pPr>
          </w:p>
        </w:tc>
        <w:tc>
          <w:tcPr>
            <w:tcW w:w="11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r>
      <w:tr>
        <w:trPr>
          <w:trHeight w:val="280"/>
        </w:trPr>
        <w:tc>
          <w:tcPr>
            <w:tcW w:w="760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20"/>
                <w:szCs w:val="20"/>
                <w:color w:val="auto"/>
              </w:rPr>
              <w:t>Assets:</w:t>
            </w:r>
          </w:p>
        </w:tc>
        <w:tc>
          <w:tcPr>
            <w:tcW w:w="1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r>
      <w:tr>
        <w:trPr>
          <w:trHeight w:val="279"/>
        </w:trPr>
        <w:tc>
          <w:tcPr>
            <w:tcW w:w="7600" w:type="dxa"/>
            <w:vAlign w:val="bottom"/>
            <w:shd w:val="clear" w:color="auto" w:fill="FEFEFE"/>
          </w:tcPr>
          <w:p>
            <w:pPr>
              <w:ind w:left="540"/>
              <w:spacing w:after="0"/>
              <w:rPr>
                <w:sz w:val="20"/>
                <w:szCs w:val="20"/>
                <w:color w:val="auto"/>
              </w:rPr>
            </w:pPr>
            <w:r>
              <w:rPr>
                <w:rFonts w:ascii="Arial" w:cs="Arial" w:eastAsia="Arial" w:hAnsi="Arial"/>
                <w:sz w:val="20"/>
                <w:szCs w:val="20"/>
                <w:color w:val="auto"/>
              </w:rPr>
              <w:t>Foreign currency exchange contracts</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53.1</w:t>
            </w:r>
          </w:p>
        </w:tc>
      </w:tr>
      <w:tr>
        <w:trPr>
          <w:trHeight w:val="302"/>
        </w:trPr>
        <w:tc>
          <w:tcPr>
            <w:tcW w:w="7600" w:type="dxa"/>
            <w:vAlign w:val="bottom"/>
            <w:shd w:val="clear" w:color="auto" w:fill="E4E4E4"/>
          </w:tcPr>
          <w:p>
            <w:pPr>
              <w:ind w:left="540"/>
              <w:spacing w:after="0"/>
              <w:rPr>
                <w:sz w:val="20"/>
                <w:szCs w:val="20"/>
                <w:color w:val="auto"/>
              </w:rPr>
            </w:pPr>
            <w:r>
              <w:rPr>
                <w:rFonts w:ascii="Arial" w:cs="Arial" w:eastAsia="Arial" w:hAnsi="Arial"/>
                <w:sz w:val="20"/>
                <w:szCs w:val="20"/>
                <w:color w:val="auto"/>
              </w:rPr>
              <w:t>Diesel fuel contracts</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6.2</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r>
      <w:tr>
        <w:trPr>
          <w:trHeight w:val="283"/>
        </w:trPr>
        <w:tc>
          <w:tcPr>
            <w:tcW w:w="7600" w:type="dxa"/>
            <w:vAlign w:val="bottom"/>
            <w:tcBorders>
              <w:bottom w:val="single" w:sz="8" w:color="FEFEFE"/>
            </w:tcBorders>
            <w:shd w:val="clear" w:color="auto" w:fill="FEFEFE"/>
          </w:tcPr>
          <w:p>
            <w:pPr>
              <w:ind w:left="260"/>
              <w:spacing w:after="0"/>
              <w:rPr>
                <w:sz w:val="20"/>
                <w:szCs w:val="20"/>
                <w:color w:val="auto"/>
              </w:rPr>
            </w:pPr>
            <w:r>
              <w:rPr>
                <w:rFonts w:ascii="Arial" w:cs="Arial" w:eastAsia="Arial" w:hAnsi="Arial"/>
                <w:sz w:val="20"/>
                <w:szCs w:val="20"/>
                <w:color w:val="auto"/>
              </w:rPr>
              <w:t>Liabilities:</w:t>
            </w:r>
          </w:p>
        </w:tc>
        <w:tc>
          <w:tcPr>
            <w:tcW w:w="140" w:type="dxa"/>
            <w:vAlign w:val="bottom"/>
            <w:tcBorders>
              <w:bottom w:val="single" w:sz="8" w:color="FEFEFE"/>
            </w:tcBorders>
            <w:shd w:val="clear" w:color="auto" w:fill="FEFEFE"/>
          </w:tcPr>
          <w:p>
            <w:pPr>
              <w:spacing w:after="0"/>
              <w:rPr>
                <w:sz w:val="24"/>
                <w:szCs w:val="24"/>
                <w:color w:val="auto"/>
              </w:rPr>
            </w:pPr>
          </w:p>
        </w:tc>
        <w:tc>
          <w:tcPr>
            <w:tcW w:w="1160" w:type="dxa"/>
            <w:vAlign w:val="bottom"/>
            <w:tcBorders>
              <w:bottom w:val="single" w:sz="8" w:color="FEFEFE"/>
            </w:tcBorders>
            <w:shd w:val="clear" w:color="auto" w:fill="FEFEFE"/>
          </w:tcPr>
          <w:p>
            <w:pPr>
              <w:spacing w:after="0"/>
              <w:rPr>
                <w:sz w:val="24"/>
                <w:szCs w:val="24"/>
                <w:color w:val="auto"/>
              </w:rPr>
            </w:pPr>
          </w:p>
        </w:tc>
        <w:tc>
          <w:tcPr>
            <w:tcW w:w="20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r>
      <w:tr>
        <w:trPr>
          <w:trHeight w:val="300"/>
        </w:trPr>
        <w:tc>
          <w:tcPr>
            <w:tcW w:w="7600" w:type="dxa"/>
            <w:vAlign w:val="bottom"/>
            <w:shd w:val="clear" w:color="auto" w:fill="E4E4E4"/>
          </w:tcPr>
          <w:p>
            <w:pPr>
              <w:ind w:left="540"/>
              <w:spacing w:after="0"/>
              <w:rPr>
                <w:sz w:val="20"/>
                <w:szCs w:val="20"/>
                <w:color w:val="auto"/>
              </w:rPr>
            </w:pPr>
            <w:r>
              <w:rPr>
                <w:rFonts w:ascii="Arial" w:cs="Arial" w:eastAsia="Arial" w:hAnsi="Arial"/>
                <w:sz w:val="20"/>
                <w:szCs w:val="20"/>
                <w:color w:val="auto"/>
              </w:rPr>
              <w:t>Foreign currency exchange contracts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46.1</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w:t>
            </w:r>
          </w:p>
        </w:tc>
      </w:tr>
      <w:tr>
        <w:trPr>
          <w:trHeight w:val="290"/>
        </w:trPr>
        <w:tc>
          <w:tcPr>
            <w:tcW w:w="7600" w:type="dxa"/>
            <w:vAlign w:val="bottom"/>
            <w:tcBorders>
              <w:bottom w:val="single" w:sz="8" w:color="auto"/>
            </w:tcBorders>
            <w:shd w:val="clear" w:color="auto" w:fill="FEFEFE"/>
          </w:tcPr>
          <w:p>
            <w:pPr>
              <w:ind w:left="540"/>
              <w:spacing w:after="0"/>
              <w:rPr>
                <w:sz w:val="20"/>
                <w:szCs w:val="20"/>
                <w:color w:val="auto"/>
              </w:rPr>
            </w:pPr>
            <w:r>
              <w:rPr>
                <w:rFonts w:ascii="Arial" w:cs="Arial" w:eastAsia="Arial" w:hAnsi="Arial"/>
                <w:sz w:val="20"/>
                <w:szCs w:val="20"/>
                <w:color w:val="auto"/>
              </w:rPr>
              <w:t>Diesel fuel contracts</w:t>
            </w:r>
          </w:p>
        </w:tc>
        <w:tc>
          <w:tcPr>
            <w:tcW w:w="1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r>
    </w:tbl>
    <w:p>
      <w:pPr>
        <w:spacing w:after="0" w:line="147" w:lineRule="exact"/>
        <w:rPr>
          <w:sz w:val="20"/>
          <w:szCs w:val="20"/>
          <w:color w:val="auto"/>
        </w:rPr>
      </w:pPr>
    </w:p>
    <w:p>
      <w:pPr>
        <w:ind w:right="340"/>
        <w:spacing w:after="0" w:line="283" w:lineRule="auto"/>
        <w:rPr>
          <w:sz w:val="20"/>
          <w:szCs w:val="20"/>
          <w:color w:val="auto"/>
        </w:rPr>
      </w:pPr>
      <w:r>
        <w:rPr>
          <w:rFonts w:ascii="Arial" w:cs="Arial" w:eastAsia="Arial" w:hAnsi="Arial"/>
          <w:sz w:val="20"/>
          <w:szCs w:val="20"/>
          <w:color w:val="auto"/>
        </w:rPr>
        <w:t>Investments designed to meet obligations under the Executive Savings Plan are invested in registered investment companies traded in active markets and are recorded at unadjusted uoted prices.</w:t>
      </w:r>
    </w:p>
    <w:p>
      <w:pPr>
        <w:spacing w:after="0" w:line="58" w:lineRule="exact"/>
        <w:rPr>
          <w:sz w:val="20"/>
          <w:szCs w:val="20"/>
          <w:color w:val="auto"/>
        </w:rPr>
      </w:pPr>
    </w:p>
    <w:p>
      <w:pPr>
        <w:ind w:right="300"/>
        <w:spacing w:after="0" w:line="258" w:lineRule="auto"/>
        <w:rPr>
          <w:sz w:val="20"/>
          <w:szCs w:val="20"/>
          <w:color w:val="auto"/>
        </w:rPr>
      </w:pPr>
      <w:r>
        <w:rPr>
          <w:rFonts w:ascii="Arial" w:cs="Arial" w:eastAsia="Arial" w:hAnsi="Arial"/>
          <w:sz w:val="20"/>
          <w:szCs w:val="20"/>
          <w:color w:val="auto"/>
        </w:rPr>
        <w:t>Foreign currency exchange contracts and diesel fuel contracts are valued using broker uotations, which include observable market information. TJX does not make adjustments to uotes or prices obtained from brokers or pricing services but does assess the credit risk of counterparties and will adjust final valuations when appropriate. here independent pricing services provide fair values, TJX obtains an understanding of the methods used in pricing. As such, these instruments are classified within Level 2.</w:t>
      </w:r>
    </w:p>
    <w:p>
      <w:pPr>
        <w:spacing w:after="0" w:line="84"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fair value of TJX’s general corporate debt was estimated by obtaining market uotes given the trading levels of other bonds of the same general issuer type and market perceived credit uality. These inputs are considered to be Level 2 inputs. These estimates do not necessarily reflect provisions or restrictions in the various debt agreements that might affect TJX’s ability to settle these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 es the carrying value and fair value estimates of the Company’s components of long-term debt: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color w:val="auto"/>
                <w:w w:val="89"/>
              </w:rPr>
              <w:t>Fiscal Year Ended</w:t>
            </w:r>
          </w:p>
        </w:tc>
        <w:tc>
          <w:tcPr>
            <w:tcW w:w="6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January 31,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80"/>
              <w:spacing w:after="0" w:line="212" w:lineRule="exact"/>
              <w:rPr>
                <w:sz w:val="20"/>
                <w:szCs w:val="20"/>
                <w:color w:val="auto"/>
              </w:rPr>
            </w:pPr>
            <w:r>
              <w:rPr>
                <w:rFonts w:ascii="Arial" w:cs="Arial" w:eastAsia="Arial" w:hAnsi="Arial"/>
                <w:sz w:val="20"/>
                <w:szCs w:val="20"/>
                <w:color w:val="auto"/>
              </w:rPr>
              <w:t>February 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2026</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2025</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60"/>
              <w:spacing w:after="0" w:line="212" w:lineRule="exact"/>
              <w:rPr>
                <w:sz w:val="20"/>
                <w:szCs w:val="20"/>
                <w:color w:val="auto"/>
              </w:rPr>
            </w:pPr>
            <w:r>
              <w:rPr>
                <w:rFonts w:ascii="Arial" w:cs="Arial" w:eastAsia="Arial" w:hAnsi="Arial"/>
                <w:sz w:val="20"/>
                <w:szCs w:val="20"/>
                <w:color w:val="auto"/>
              </w:rPr>
              <w:t>Carrying</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Fair</w:t>
            </w:r>
          </w:p>
        </w:tc>
        <w:tc>
          <w:tcPr>
            <w:tcW w:w="740" w:type="dxa"/>
            <w:vAlign w:val="bottom"/>
            <w:vMerge w:val="restart"/>
          </w:tcPr>
          <w:p>
            <w:pPr>
              <w:jc w:val="right"/>
              <w:ind w:right="100"/>
              <w:spacing w:after="0"/>
              <w:rPr>
                <w:sz w:val="20"/>
                <w:szCs w:val="20"/>
                <w:color w:val="auto"/>
              </w:rPr>
            </w:pPr>
            <w:r>
              <w:rPr>
                <w:rFonts w:ascii="Arial" w:cs="Arial" w:eastAsia="Arial" w:hAnsi="Arial"/>
                <w:sz w:val="20"/>
                <w:szCs w:val="20"/>
                <w:color w:val="auto"/>
              </w:rPr>
              <w:t>alue</w:t>
            </w:r>
          </w:p>
        </w:tc>
        <w:tc>
          <w:tcPr>
            <w:tcW w:w="240" w:type="dxa"/>
            <w:vAlign w:val="bottom"/>
          </w:tcPr>
          <w:p>
            <w:pPr>
              <w:spacing w:after="0"/>
              <w:rPr>
                <w:sz w:val="18"/>
                <w:szCs w:val="18"/>
                <w:color w:val="auto"/>
              </w:rPr>
            </w:pPr>
          </w:p>
        </w:tc>
        <w:tc>
          <w:tcPr>
            <w:tcW w:w="1080" w:type="dxa"/>
            <w:vAlign w:val="bottom"/>
          </w:tcPr>
          <w:p>
            <w:pPr>
              <w:jc w:val="right"/>
              <w:ind w:right="200"/>
              <w:spacing w:after="0" w:line="212" w:lineRule="exact"/>
              <w:rPr>
                <w:sz w:val="20"/>
                <w:szCs w:val="20"/>
                <w:color w:val="auto"/>
              </w:rPr>
            </w:pPr>
            <w:r>
              <w:rPr>
                <w:rFonts w:ascii="Arial" w:cs="Arial" w:eastAsia="Arial" w:hAnsi="Arial"/>
                <w:sz w:val="20"/>
                <w:szCs w:val="20"/>
                <w:color w:val="auto"/>
              </w:rPr>
              <w:t>Carrying</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Fair</w:t>
            </w:r>
          </w:p>
        </w:tc>
        <w:tc>
          <w:tcPr>
            <w:tcW w:w="680" w:type="dxa"/>
            <w:vAlign w:val="bottom"/>
            <w:vMerge w:val="restart"/>
          </w:tcPr>
          <w:p>
            <w:pPr>
              <w:jc w:val="right"/>
              <w:ind w:right="140"/>
              <w:spacing w:after="0"/>
              <w:rPr>
                <w:sz w:val="20"/>
                <w:szCs w:val="20"/>
                <w:color w:val="auto"/>
              </w:rPr>
            </w:pPr>
            <w:r>
              <w:rPr>
                <w:rFonts w:ascii="Arial" w:cs="Arial" w:eastAsia="Arial" w:hAnsi="Arial"/>
                <w:sz w:val="20"/>
                <w:szCs w:val="20"/>
                <w:color w:val="auto"/>
              </w:rPr>
              <w:t>alue</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alue</w:t>
            </w:r>
          </w:p>
        </w:tc>
        <w:tc>
          <w:tcPr>
            <w:tcW w:w="58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color w:val="auto"/>
              </w:rPr>
              <w:t>alue</w:t>
            </w:r>
          </w:p>
        </w:tc>
        <w:tc>
          <w:tcPr>
            <w:tcW w:w="66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Level 2</w:t>
            </w:r>
          </w:p>
        </w:tc>
        <w:tc>
          <w:tcPr>
            <w:tcW w:w="3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spacing w:after="0"/>
              <w:rPr>
                <w:sz w:val="24"/>
                <w:szCs w:val="24"/>
                <w:color w:val="auto"/>
              </w:rPr>
            </w:pPr>
          </w:p>
        </w:tc>
        <w:tc>
          <w:tcPr>
            <w:tcW w:w="580" w:type="dxa"/>
            <w:vAlign w:val="bottom"/>
            <w:shd w:val="clear" w:color="auto" w:fill="E4E4E4"/>
          </w:tcPr>
          <w:p>
            <w:pPr>
              <w:spacing w:after="0"/>
              <w:rPr>
                <w:sz w:val="24"/>
                <w:szCs w:val="24"/>
                <w:color w:val="auto"/>
              </w:rPr>
            </w:pPr>
          </w:p>
        </w:tc>
        <w:tc>
          <w:tcPr>
            <w:tcW w:w="740" w:type="dxa"/>
            <w:vAlign w:val="bottom"/>
            <w:shd w:val="clear" w:color="auto" w:fill="E4E4E4"/>
          </w:tcPr>
          <w:p>
            <w:pPr>
              <w:spacing w:after="0"/>
              <w:rPr>
                <w:sz w:val="24"/>
                <w:szCs w:val="24"/>
                <w:color w:val="auto"/>
              </w:rPr>
            </w:pPr>
          </w:p>
        </w:tc>
        <w:tc>
          <w:tcPr>
            <w:tcW w:w="240" w:type="dxa"/>
            <w:vAlign w:val="bottom"/>
            <w:shd w:val="clear" w:color="auto" w:fill="E4E4E4"/>
          </w:tcPr>
          <w:p>
            <w:pPr>
              <w:spacing w:after="0"/>
              <w:rPr>
                <w:sz w:val="24"/>
                <w:szCs w:val="24"/>
                <w:color w:val="auto"/>
              </w:rPr>
            </w:pPr>
          </w:p>
        </w:tc>
        <w:tc>
          <w:tcPr>
            <w:tcW w:w="1080" w:type="dxa"/>
            <w:vAlign w:val="bottom"/>
            <w:shd w:val="clear" w:color="auto" w:fill="E4E4E4"/>
          </w:tcPr>
          <w:p>
            <w:pPr>
              <w:spacing w:after="0"/>
              <w:rPr>
                <w:sz w:val="24"/>
                <w:szCs w:val="24"/>
                <w:color w:val="auto"/>
              </w:rPr>
            </w:pPr>
          </w:p>
        </w:tc>
        <w:tc>
          <w:tcPr>
            <w:tcW w:w="660" w:type="dxa"/>
            <w:vAlign w:val="bottom"/>
            <w:shd w:val="clear" w:color="auto" w:fill="E4E4E4"/>
          </w:tcPr>
          <w:p>
            <w:pPr>
              <w:spacing w:after="0"/>
              <w:rPr>
                <w:sz w:val="24"/>
                <w:szCs w:val="24"/>
                <w:color w:val="auto"/>
              </w:rPr>
            </w:pPr>
          </w:p>
        </w:tc>
        <w:tc>
          <w:tcPr>
            <w:tcW w:w="6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shd w:val="clear" w:color="auto" w:fill="FEFEFE"/>
          </w:tcPr>
          <w:p>
            <w:pPr>
              <w:ind w:left="160"/>
              <w:spacing w:after="0"/>
              <w:rPr>
                <w:sz w:val="20"/>
                <w:szCs w:val="20"/>
                <w:color w:val="auto"/>
              </w:rPr>
            </w:pPr>
            <w:r>
              <w:rPr>
                <w:rFonts w:ascii="Arial" w:cs="Arial" w:eastAsia="Arial" w:hAnsi="Arial"/>
                <w:sz w:val="20"/>
                <w:szCs w:val="20"/>
                <w:color w:val="auto"/>
              </w:rPr>
              <w:t>Current portion of long-term debt</w:t>
            </w:r>
          </w:p>
        </w:tc>
        <w:tc>
          <w:tcPr>
            <w:tcW w:w="560" w:type="dxa"/>
            <w:vAlign w:val="bottom"/>
            <w:gridSpan w:val="2"/>
            <w:shd w:val="clear" w:color="auto" w:fill="FEFEFE"/>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999</w:t>
            </w:r>
          </w:p>
        </w:tc>
        <w:tc>
          <w:tcPr>
            <w:tcW w:w="580" w:type="dxa"/>
            <w:vAlign w:val="bottom"/>
            <w:shd w:val="clear" w:color="auto" w:fill="FEFEFE"/>
          </w:tcPr>
          <w:p>
            <w:pPr>
              <w:jc w:val="right"/>
              <w:ind w:right="320"/>
              <w:spacing w:after="0"/>
              <w:rPr>
                <w:sz w:val="20"/>
                <w:szCs w:val="20"/>
                <w:color w:val="auto"/>
              </w:rPr>
            </w:pPr>
            <w:r>
              <w:rPr>
                <w:rFonts w:ascii="Arial" w:cs="Arial" w:eastAsia="Arial" w:hAnsi="Arial"/>
                <w:sz w:val="20"/>
                <w:szCs w:val="20"/>
                <w:color w:val="auto"/>
              </w:rPr>
              <w:t>$</w:t>
            </w:r>
          </w:p>
        </w:tc>
        <w:tc>
          <w:tcPr>
            <w:tcW w:w="7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991</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FEFEFE"/>
          </w:tcPr>
          <w:p>
            <w:pPr>
              <w:spacing w:after="0"/>
              <w:rPr>
                <w:sz w:val="24"/>
                <w:szCs w:val="24"/>
                <w:color w:val="auto"/>
              </w:rPr>
            </w:pPr>
          </w:p>
        </w:tc>
        <w:tc>
          <w:tcPr>
            <w:tcW w:w="660" w:type="dxa"/>
            <w:vAlign w:val="bottom"/>
            <w:shd w:val="clear" w:color="auto" w:fill="FEFEFE"/>
          </w:tcPr>
          <w:p>
            <w:pPr>
              <w:jc w:val="right"/>
              <w:ind w:right="400"/>
              <w:spacing w:after="0"/>
              <w:rPr>
                <w:sz w:val="20"/>
                <w:szCs w:val="20"/>
                <w:color w:val="auto"/>
              </w:rPr>
            </w:pPr>
            <w:r>
              <w:rPr>
                <w:rFonts w:ascii="Arial" w:cs="Arial" w:eastAsia="Arial" w:hAnsi="Arial"/>
                <w:sz w:val="20"/>
                <w:szCs w:val="20"/>
                <w:color w:val="auto"/>
              </w:rPr>
              <w:t>$</w:t>
            </w:r>
          </w:p>
        </w:tc>
        <w:tc>
          <w:tcPr>
            <w:tcW w:w="6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20" w:type="dxa"/>
            <w:vAlign w:val="bottom"/>
            <w:tcBorders>
              <w:bottom w:val="single" w:sz="8" w:color="auto"/>
            </w:tcBorders>
            <w:shd w:val="clear" w:color="auto" w:fill="E4E4E4"/>
          </w:tcPr>
          <w:p>
            <w:pPr>
              <w:ind w:left="160"/>
              <w:spacing w:after="0"/>
              <w:rPr>
                <w:sz w:val="20"/>
                <w:szCs w:val="20"/>
                <w:color w:val="auto"/>
              </w:rPr>
            </w:pPr>
            <w:r>
              <w:rPr>
                <w:rFonts w:ascii="Arial" w:cs="Arial" w:eastAsia="Arial" w:hAnsi="Arial"/>
                <w:sz w:val="20"/>
                <w:szCs w:val="20"/>
                <w:color w:val="auto"/>
              </w:rPr>
              <w:t>Long-term debt</w:t>
            </w:r>
          </w:p>
        </w:tc>
        <w:tc>
          <w:tcPr>
            <w:tcW w:w="560" w:type="dxa"/>
            <w:vAlign w:val="bottom"/>
            <w:tcBorders>
              <w:bottom w:val="single" w:sz="8" w:color="auto"/>
            </w:tcBorders>
            <w:gridSpan w:val="2"/>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1,870</w:t>
            </w:r>
          </w:p>
        </w:tc>
        <w:tc>
          <w:tcPr>
            <w:tcW w:w="580" w:type="dxa"/>
            <w:vAlign w:val="bottom"/>
            <w:tcBorders>
              <w:bottom w:val="single" w:sz="8" w:color="auto"/>
            </w:tcBorders>
            <w:shd w:val="clear" w:color="auto" w:fill="E4E4E4"/>
          </w:tcPr>
          <w:p>
            <w:pPr>
              <w:jc w:val="right"/>
              <w:ind w:right="3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1,738</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2,866</w:t>
            </w:r>
          </w:p>
        </w:tc>
        <w:tc>
          <w:tcPr>
            <w:tcW w:w="660" w:type="dxa"/>
            <w:vAlign w:val="bottom"/>
            <w:tcBorders>
              <w:bottom w:val="single" w:sz="8" w:color="auto"/>
            </w:tcBorders>
            <w:shd w:val="clear" w:color="auto" w:fill="E4E4E4"/>
          </w:tcPr>
          <w:p>
            <w:pPr>
              <w:jc w:val="right"/>
              <w:ind w:right="40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2,634</w:t>
            </w:r>
          </w:p>
        </w:tc>
        <w:tc>
          <w:tcPr>
            <w:tcW w:w="0" w:type="dxa"/>
            <w:vAlign w:val="bottom"/>
          </w:tcPr>
          <w:p>
            <w:pPr>
              <w:spacing w:after="0"/>
              <w:rPr>
                <w:sz w:val="1"/>
                <w:szCs w:val="1"/>
                <w:color w:val="auto"/>
              </w:rPr>
            </w:pPr>
          </w:p>
        </w:tc>
      </w:tr>
      <w:tr>
        <w:trPr>
          <w:trHeight w:val="409"/>
        </w:trPr>
        <w:tc>
          <w:tcPr>
            <w:tcW w:w="4620" w:type="dxa"/>
            <w:vAlign w:val="bottom"/>
          </w:tcPr>
          <w:p>
            <w:pPr>
              <w:spacing w:after="0"/>
              <w:rPr>
                <w:sz w:val="20"/>
                <w:szCs w:val="20"/>
                <w:color w:val="auto"/>
              </w:rPr>
            </w:pPr>
            <w:r>
              <w:rPr>
                <w:rFonts w:ascii="Arial" w:cs="Arial" w:eastAsia="Arial" w:hAnsi="Arial"/>
                <w:sz w:val="20"/>
                <w:szCs w:val="20"/>
                <w:color w:val="auto"/>
                <w:w w:val="92"/>
              </w:rPr>
              <w:t>For additional information on long-term debt, see Note J</w:t>
            </w:r>
          </w:p>
        </w:tc>
        <w:tc>
          <w:tcPr>
            <w:tcW w:w="2980" w:type="dxa"/>
            <w:vAlign w:val="bottom"/>
            <w:gridSpan w:val="5"/>
          </w:tcPr>
          <w:p>
            <w:pPr>
              <w:jc w:val="right"/>
              <w:spacing w:after="0"/>
              <w:rPr>
                <w:sz w:val="20"/>
                <w:szCs w:val="20"/>
                <w:color w:val="auto"/>
              </w:rPr>
            </w:pPr>
            <w:r>
              <w:rPr>
                <w:rFonts w:ascii="Arial" w:cs="Arial" w:eastAsia="Arial" w:hAnsi="Arial"/>
                <w:sz w:val="20"/>
                <w:szCs w:val="20"/>
                <w:color w:val="auto"/>
                <w:w w:val="94"/>
              </w:rPr>
              <w:t>Long-Term Debt and Credit Lines.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TJX’s cash e uivalents are stated at cost, which approximates fair value due to the short maturities of these instruments.</w:t>
      </w:r>
    </w:p>
    <w:p>
      <w:pPr>
        <w:sectPr>
          <w:pgSz w:w="12240" w:h="15841" w:orient="portrait"/>
          <w:cols w:equalWidth="0" w:num="1">
            <w:col w:w="10260"/>
          </w:cols>
          <w:pgMar w:left="100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F-21</w:t>
      </w:r>
    </w:p>
    <w:p>
      <w:pPr>
        <w:sectPr>
          <w:pgSz w:w="12240" w:h="15841" w:orient="portrait"/>
          <w:cols w:equalWidth="0" w:num="1">
            <w:col w:w="10260"/>
          </w:cols>
          <w:pgMar w:left="1000" w:top="771" w:right="981" w:bottom="0" w:gutter="0" w:footer="0" w:header="0"/>
          <w:type w:val="continuous"/>
        </w:sectPr>
      </w:pPr>
    </w:p>
    <w:bookmarkStart w:id="77" w:name="page78"/>
    <w:bookmarkEnd w:id="77"/>
    <w:p>
      <w:pPr>
        <w:ind w:right="60"/>
        <w:spacing w:after="0" w:line="26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Certain assets and liabilities are measured at fair value on a nonrecurring basis, whereas the majority of assets and liabilities are not measured at fair value on an ongoing basis but are subject to fair value adjustments in certain circumstances, such as when there is evidence of an impairment. For the years ended January 31, 2026, February 1, 2025 and February 3, 2024, the Company did not record any material impairments to long-lived assets.</w:t>
      </w:r>
    </w:p>
    <w:p>
      <w:pPr>
        <w:spacing w:after="0" w:line="59" w:lineRule="exact"/>
        <w:rPr>
          <w:sz w:val="20"/>
          <w:szCs w:val="20"/>
          <w:color w:val="auto"/>
        </w:rPr>
      </w:pPr>
    </w:p>
    <w:p>
      <w:pPr>
        <w:spacing w:after="0"/>
        <w:tabs>
          <w:tab w:leader="none" w:pos="700" w:val="left"/>
        </w:tabs>
        <w:rPr>
          <w:sz w:val="20"/>
          <w:szCs w:val="20"/>
          <w:color w:val="auto"/>
        </w:rPr>
      </w:pPr>
      <w:r>
        <w:rPr>
          <w:rFonts w:ascii="Arial" w:cs="Arial" w:eastAsia="Arial" w:hAnsi="Arial"/>
          <w:sz w:val="24"/>
          <w:szCs w:val="24"/>
          <w:color w:val="auto"/>
        </w:rPr>
        <w:t>Note</w:t>
      </w:r>
      <w:r>
        <w:rPr>
          <w:sz w:val="20"/>
          <w:szCs w:val="20"/>
          <w:color w:val="auto"/>
        </w:rPr>
        <w:tab/>
      </w:r>
      <w:r>
        <w:rPr>
          <w:rFonts w:ascii="Arial" w:cs="Arial" w:eastAsia="Arial" w:hAnsi="Arial"/>
          <w:sz w:val="23"/>
          <w:szCs w:val="23"/>
          <w:color w:val="auto"/>
        </w:rPr>
        <w:t>. Segment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00" w:type="dxa"/>
            <w:vAlign w:val="bottom"/>
            <w:gridSpan w:val="8"/>
          </w:tcPr>
          <w:p>
            <w:pPr>
              <w:spacing w:after="0"/>
              <w:rPr>
                <w:sz w:val="20"/>
                <w:szCs w:val="20"/>
                <w:color w:val="auto"/>
              </w:rPr>
            </w:pPr>
            <w:r>
              <w:rPr>
                <w:rFonts w:ascii="Arial" w:cs="Arial" w:eastAsia="Arial" w:hAnsi="Arial"/>
                <w:sz w:val="20"/>
                <w:szCs w:val="20"/>
                <w:color w:val="auto"/>
                <w:w w:val="90"/>
              </w:rPr>
              <w:t>TJX operates four segments. TJX defines its segments as those operations whose results the Chief Executive</w:t>
            </w:r>
          </w:p>
        </w:tc>
        <w:tc>
          <w:tcPr>
            <w:tcW w:w="1460" w:type="dxa"/>
            <w:vAlign w:val="bottom"/>
          </w:tcPr>
          <w:p>
            <w:pPr>
              <w:jc w:val="right"/>
              <w:spacing w:after="0"/>
              <w:rPr>
                <w:sz w:val="20"/>
                <w:szCs w:val="20"/>
                <w:color w:val="auto"/>
              </w:rPr>
            </w:pPr>
            <w:r>
              <w:rPr>
                <w:rFonts w:ascii="Arial" w:cs="Arial" w:eastAsia="Arial" w:hAnsi="Arial"/>
                <w:sz w:val="20"/>
                <w:szCs w:val="20"/>
                <w:color w:val="auto"/>
                <w:w w:val="96"/>
              </w:rPr>
              <w:t>fficer, who is the</w:t>
            </w:r>
          </w:p>
        </w:tc>
      </w:tr>
      <w:tr>
        <w:trPr>
          <w:trHeight w:val="240"/>
        </w:trPr>
        <w:tc>
          <w:tcPr>
            <w:tcW w:w="4080" w:type="dxa"/>
            <w:vAlign w:val="bottom"/>
            <w:gridSpan w:val="5"/>
          </w:tcPr>
          <w:p>
            <w:pPr>
              <w:spacing w:after="0"/>
              <w:rPr>
                <w:sz w:val="20"/>
                <w:szCs w:val="20"/>
                <w:color w:val="auto"/>
              </w:rPr>
            </w:pPr>
            <w:r>
              <w:rPr>
                <w:rFonts w:ascii="Arial" w:cs="Arial" w:eastAsia="Arial" w:hAnsi="Arial"/>
                <w:sz w:val="20"/>
                <w:szCs w:val="20"/>
                <w:color w:val="auto"/>
                <w:w w:val="93"/>
              </w:rPr>
              <w:t>Company’s chief operating decision maker ( C  D</w:t>
            </w:r>
          </w:p>
        </w:tc>
        <w:tc>
          <w:tcPr>
            <w:tcW w:w="6180" w:type="dxa"/>
            <w:vAlign w:val="bottom"/>
            <w:gridSpan w:val="4"/>
          </w:tcPr>
          <w:p>
            <w:pPr>
              <w:jc w:val="right"/>
              <w:spacing w:after="0"/>
              <w:rPr>
                <w:sz w:val="20"/>
                <w:szCs w:val="20"/>
                <w:color w:val="auto"/>
              </w:rPr>
            </w:pPr>
            <w:r>
              <w:rPr>
                <w:rFonts w:ascii="Arial" w:cs="Arial" w:eastAsia="Arial" w:hAnsi="Arial"/>
                <w:sz w:val="20"/>
                <w:szCs w:val="20"/>
                <w:color w:val="auto"/>
                <w:w w:val="94"/>
              </w:rPr>
              <w:t>), regularly reviews to analy e performance and allocate resources. In the</w:t>
            </w:r>
          </w:p>
        </w:tc>
      </w:tr>
      <w:tr>
        <w:trPr>
          <w:trHeight w:val="240"/>
        </w:trPr>
        <w:tc>
          <w:tcPr>
            <w:tcW w:w="1460" w:type="dxa"/>
            <w:vAlign w:val="bottom"/>
            <w:gridSpan w:val="2"/>
          </w:tcPr>
          <w:p>
            <w:pPr>
              <w:ind w:left="140"/>
              <w:spacing w:after="0"/>
              <w:rPr>
                <w:sz w:val="20"/>
                <w:szCs w:val="20"/>
                <w:color w:val="auto"/>
              </w:rPr>
            </w:pPr>
            <w:r>
              <w:rPr>
                <w:rFonts w:ascii="Arial" w:cs="Arial" w:eastAsia="Arial" w:hAnsi="Arial"/>
                <w:sz w:val="20"/>
                <w:szCs w:val="20"/>
                <w:color w:val="auto"/>
                <w:w w:val="89"/>
              </w:rPr>
              <w:t>nited States, the</w:t>
            </w:r>
          </w:p>
        </w:tc>
        <w:tc>
          <w:tcPr>
            <w:tcW w:w="2620" w:type="dxa"/>
            <w:vAlign w:val="bottom"/>
            <w:gridSpan w:val="3"/>
          </w:tcPr>
          <w:p>
            <w:pPr>
              <w:ind w:left="180"/>
              <w:spacing w:after="0"/>
              <w:rPr>
                <w:sz w:val="20"/>
                <w:szCs w:val="20"/>
                <w:color w:val="auto"/>
              </w:rPr>
            </w:pPr>
            <w:r>
              <w:rPr>
                <w:rFonts w:ascii="Arial" w:cs="Arial" w:eastAsia="Arial" w:hAnsi="Arial"/>
                <w:sz w:val="20"/>
                <w:szCs w:val="20"/>
                <w:color w:val="auto"/>
                <w:w w:val="93"/>
              </w:rPr>
              <w:t>armaxx segment operates TJ</w:t>
            </w:r>
          </w:p>
        </w:tc>
        <w:tc>
          <w:tcPr>
            <w:tcW w:w="620" w:type="dxa"/>
            <w:vAlign w:val="bottom"/>
          </w:tcPr>
          <w:p>
            <w:pPr>
              <w:ind w:left="60"/>
              <w:spacing w:after="0"/>
              <w:rPr>
                <w:sz w:val="20"/>
                <w:szCs w:val="20"/>
                <w:color w:val="auto"/>
              </w:rPr>
            </w:pPr>
            <w:r>
              <w:rPr>
                <w:rFonts w:ascii="Arial" w:cs="Arial" w:eastAsia="Arial" w:hAnsi="Arial"/>
                <w:sz w:val="20"/>
                <w:szCs w:val="20"/>
                <w:color w:val="auto"/>
              </w:rPr>
              <w:t>axx,</w:t>
            </w:r>
          </w:p>
        </w:tc>
        <w:tc>
          <w:tcPr>
            <w:tcW w:w="5560" w:type="dxa"/>
            <w:vAlign w:val="bottom"/>
            <w:gridSpan w:val="3"/>
          </w:tcPr>
          <w:p>
            <w:pPr>
              <w:jc w:val="right"/>
              <w:ind w:right="560"/>
              <w:spacing w:after="0"/>
              <w:rPr>
                <w:sz w:val="20"/>
                <w:szCs w:val="20"/>
                <w:color w:val="auto"/>
              </w:rPr>
            </w:pPr>
            <w:r>
              <w:rPr>
                <w:rFonts w:ascii="Arial" w:cs="Arial" w:eastAsia="Arial" w:hAnsi="Arial"/>
                <w:sz w:val="20"/>
                <w:szCs w:val="20"/>
                <w:color w:val="auto"/>
                <w:w w:val="91"/>
              </w:rPr>
              <w:t>arshalls, tjmaxx.com and marshalls.com and the  ome  oods</w:t>
            </w:r>
          </w:p>
        </w:tc>
      </w:tr>
      <w:tr>
        <w:trPr>
          <w:trHeight w:val="240"/>
        </w:trPr>
        <w:tc>
          <w:tcPr>
            <w:tcW w:w="1460" w:type="dxa"/>
            <w:vAlign w:val="bottom"/>
            <w:gridSpan w:val="2"/>
          </w:tcPr>
          <w:p>
            <w:pPr>
              <w:spacing w:after="0"/>
              <w:rPr>
                <w:sz w:val="20"/>
                <w:szCs w:val="20"/>
                <w:color w:val="auto"/>
              </w:rPr>
            </w:pPr>
            <w:r>
              <w:rPr>
                <w:rFonts w:ascii="Arial" w:cs="Arial" w:eastAsia="Arial" w:hAnsi="Arial"/>
                <w:sz w:val="20"/>
                <w:szCs w:val="20"/>
                <w:color w:val="auto"/>
                <w:w w:val="89"/>
              </w:rPr>
              <w:t>segment operates</w:t>
            </w:r>
          </w:p>
        </w:tc>
        <w:tc>
          <w:tcPr>
            <w:tcW w:w="1460" w:type="dxa"/>
            <w:vAlign w:val="bottom"/>
          </w:tcPr>
          <w:p>
            <w:pPr>
              <w:ind w:left="100"/>
              <w:spacing w:after="0"/>
              <w:rPr>
                <w:sz w:val="20"/>
                <w:szCs w:val="20"/>
                <w:color w:val="auto"/>
              </w:rPr>
            </w:pPr>
            <w:r>
              <w:rPr>
                <w:rFonts w:ascii="Arial" w:cs="Arial" w:eastAsia="Arial" w:hAnsi="Arial"/>
                <w:sz w:val="20"/>
                <w:szCs w:val="20"/>
                <w:color w:val="auto"/>
              </w:rPr>
              <w:t>ome  oods and</w:t>
            </w:r>
          </w:p>
        </w:tc>
        <w:tc>
          <w:tcPr>
            <w:tcW w:w="4600" w:type="dxa"/>
            <w:vAlign w:val="bottom"/>
            <w:gridSpan w:val="4"/>
          </w:tcPr>
          <w:p>
            <w:pPr>
              <w:jc w:val="right"/>
              <w:ind w:right="20"/>
              <w:spacing w:after="0"/>
              <w:rPr>
                <w:sz w:val="20"/>
                <w:szCs w:val="20"/>
                <w:color w:val="auto"/>
              </w:rPr>
            </w:pPr>
            <w:r>
              <w:rPr>
                <w:rFonts w:ascii="Arial" w:cs="Arial" w:eastAsia="Arial" w:hAnsi="Arial"/>
                <w:sz w:val="20"/>
                <w:szCs w:val="20"/>
                <w:color w:val="auto"/>
                <w:w w:val="89"/>
              </w:rPr>
              <w:t>omesense. The TJX Canada segment operates   inners,</w:t>
            </w:r>
          </w:p>
        </w:tc>
        <w:tc>
          <w:tcPr>
            <w:tcW w:w="1280" w:type="dxa"/>
            <w:vAlign w:val="bottom"/>
          </w:tcPr>
          <w:p>
            <w:pPr>
              <w:jc w:val="right"/>
              <w:spacing w:after="0"/>
              <w:rPr>
                <w:sz w:val="20"/>
                <w:szCs w:val="20"/>
                <w:color w:val="auto"/>
              </w:rPr>
            </w:pPr>
            <w:r>
              <w:rPr>
                <w:rFonts w:ascii="Arial" w:cs="Arial" w:eastAsia="Arial" w:hAnsi="Arial"/>
                <w:sz w:val="20"/>
                <w:szCs w:val="20"/>
                <w:color w:val="auto"/>
                <w:w w:val="89"/>
              </w:rPr>
              <w:t>omeSense and</w:t>
            </w:r>
          </w:p>
        </w:tc>
        <w:tc>
          <w:tcPr>
            <w:tcW w:w="1460" w:type="dxa"/>
            <w:vAlign w:val="bottom"/>
          </w:tcPr>
          <w:p>
            <w:pPr>
              <w:jc w:val="right"/>
              <w:ind w:right="360"/>
              <w:spacing w:after="0"/>
              <w:rPr>
                <w:sz w:val="20"/>
                <w:szCs w:val="20"/>
                <w:color w:val="auto"/>
              </w:rPr>
            </w:pPr>
            <w:r>
              <w:rPr>
                <w:rFonts w:ascii="Arial" w:cs="Arial" w:eastAsia="Arial" w:hAnsi="Arial"/>
                <w:sz w:val="20"/>
                <w:szCs w:val="20"/>
                <w:color w:val="auto"/>
              </w:rPr>
              <w:t>arshalls in</w:t>
            </w:r>
          </w:p>
        </w:tc>
      </w:tr>
      <w:tr>
        <w:trPr>
          <w:trHeight w:val="240"/>
        </w:trPr>
        <w:tc>
          <w:tcPr>
            <w:tcW w:w="4700" w:type="dxa"/>
            <w:vAlign w:val="bottom"/>
            <w:gridSpan w:val="6"/>
          </w:tcPr>
          <w:p>
            <w:pPr>
              <w:spacing w:after="0"/>
              <w:rPr>
                <w:sz w:val="20"/>
                <w:szCs w:val="20"/>
                <w:color w:val="auto"/>
              </w:rPr>
            </w:pPr>
            <w:r>
              <w:rPr>
                <w:rFonts w:ascii="Arial" w:cs="Arial" w:eastAsia="Arial" w:hAnsi="Arial"/>
                <w:sz w:val="20"/>
                <w:szCs w:val="20"/>
                <w:color w:val="auto"/>
                <w:w w:val="95"/>
              </w:rPr>
              <w:t>Canada, and the TJX International segment operates T</w:t>
            </w:r>
          </w:p>
        </w:tc>
        <w:tc>
          <w:tcPr>
            <w:tcW w:w="5560" w:type="dxa"/>
            <w:vAlign w:val="bottom"/>
            <w:gridSpan w:val="3"/>
          </w:tcPr>
          <w:p>
            <w:pPr>
              <w:jc w:val="right"/>
              <w:ind w:right="40"/>
              <w:spacing w:after="0"/>
              <w:rPr>
                <w:sz w:val="20"/>
                <w:szCs w:val="20"/>
                <w:color w:val="auto"/>
              </w:rPr>
            </w:pPr>
            <w:r>
              <w:rPr>
                <w:rFonts w:ascii="Arial" w:cs="Arial" w:eastAsia="Arial" w:hAnsi="Arial"/>
                <w:sz w:val="20"/>
                <w:szCs w:val="20"/>
                <w:color w:val="auto"/>
                <w:w w:val="92"/>
              </w:rPr>
              <w:t>axx,  omesense, tkmaxx.com, tkmaxx.de, and tkmaxx.at in Europe</w:t>
            </w:r>
          </w:p>
        </w:tc>
      </w:tr>
      <w:tr>
        <w:trPr>
          <w:trHeight w:val="240"/>
        </w:trPr>
        <w:tc>
          <w:tcPr>
            <w:tcW w:w="560" w:type="dxa"/>
            <w:vAlign w:val="bottom"/>
          </w:tcPr>
          <w:p>
            <w:pPr>
              <w:spacing w:after="0"/>
              <w:rPr>
                <w:sz w:val="20"/>
                <w:szCs w:val="20"/>
                <w:color w:val="auto"/>
              </w:rPr>
            </w:pPr>
            <w:r>
              <w:rPr>
                <w:rFonts w:ascii="Arial" w:cs="Arial" w:eastAsia="Arial" w:hAnsi="Arial"/>
                <w:sz w:val="20"/>
                <w:szCs w:val="20"/>
                <w:color w:val="auto"/>
              </w:rPr>
              <w:t>and T</w:t>
            </w:r>
          </w:p>
        </w:tc>
        <w:tc>
          <w:tcPr>
            <w:tcW w:w="9700" w:type="dxa"/>
            <w:vAlign w:val="bottom"/>
            <w:gridSpan w:val="8"/>
          </w:tcPr>
          <w:p>
            <w:pPr>
              <w:jc w:val="right"/>
              <w:ind w:right="40"/>
              <w:spacing w:after="0"/>
              <w:rPr>
                <w:sz w:val="20"/>
                <w:szCs w:val="20"/>
                <w:color w:val="auto"/>
              </w:rPr>
            </w:pPr>
            <w:r>
              <w:rPr>
                <w:rFonts w:ascii="Arial" w:cs="Arial" w:eastAsia="Arial" w:hAnsi="Arial"/>
                <w:sz w:val="20"/>
                <w:szCs w:val="20"/>
                <w:color w:val="auto"/>
                <w:w w:val="93"/>
              </w:rPr>
              <w:t>axx in Australia. In addition to the Company’s four segments, Sierra operates retail stores and sierra.com in the  .S.</w:t>
            </w:r>
          </w:p>
        </w:tc>
      </w:tr>
      <w:tr>
        <w:trPr>
          <w:trHeight w:val="261"/>
        </w:trPr>
        <w:tc>
          <w:tcPr>
            <w:tcW w:w="3340" w:type="dxa"/>
            <w:vAlign w:val="bottom"/>
            <w:gridSpan w:val="4"/>
          </w:tcPr>
          <w:p>
            <w:pPr>
              <w:spacing w:after="0"/>
              <w:rPr>
                <w:sz w:val="20"/>
                <w:szCs w:val="20"/>
                <w:color w:val="auto"/>
              </w:rPr>
            </w:pPr>
            <w:r>
              <w:rPr>
                <w:rFonts w:ascii="Arial" w:cs="Arial" w:eastAsia="Arial" w:hAnsi="Arial"/>
                <w:sz w:val="20"/>
                <w:szCs w:val="20"/>
                <w:color w:val="auto"/>
                <w:w w:val="95"/>
              </w:rPr>
              <w:t>The results of Sierra are included in the</w:t>
            </w:r>
          </w:p>
        </w:tc>
        <w:tc>
          <w:tcPr>
            <w:tcW w:w="4180" w:type="dxa"/>
            <w:vAlign w:val="bottom"/>
            <w:gridSpan w:val="3"/>
          </w:tcPr>
          <w:p>
            <w:pPr>
              <w:jc w:val="right"/>
              <w:ind w:right="2680"/>
              <w:spacing w:after="0"/>
              <w:rPr>
                <w:sz w:val="20"/>
                <w:szCs w:val="20"/>
                <w:color w:val="auto"/>
              </w:rPr>
            </w:pPr>
            <w:r>
              <w:rPr>
                <w:rFonts w:ascii="Arial" w:cs="Arial" w:eastAsia="Arial" w:hAnsi="Arial"/>
                <w:sz w:val="20"/>
                <w:szCs w:val="20"/>
                <w:color w:val="auto"/>
                <w:w w:val="89"/>
              </w:rPr>
              <w:t>armaxx segment.</w:t>
            </w:r>
          </w:p>
        </w:tc>
        <w:tc>
          <w:tcPr>
            <w:tcW w:w="12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39"/>
        </w:trPr>
        <w:tc>
          <w:tcPr>
            <w:tcW w:w="3340" w:type="dxa"/>
            <w:vAlign w:val="bottom"/>
            <w:gridSpan w:val="4"/>
          </w:tcPr>
          <w:p>
            <w:pPr>
              <w:spacing w:after="0"/>
              <w:rPr>
                <w:sz w:val="20"/>
                <w:szCs w:val="20"/>
                <w:color w:val="auto"/>
              </w:rPr>
            </w:pPr>
            <w:r>
              <w:rPr>
                <w:rFonts w:ascii="Arial" w:cs="Arial" w:eastAsia="Arial" w:hAnsi="Arial"/>
                <w:sz w:val="20"/>
                <w:szCs w:val="20"/>
                <w:color w:val="auto"/>
                <w:w w:val="93"/>
              </w:rPr>
              <w:t>All of TJX’s stores, with the exception of</w:t>
            </w: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w w:val="89"/>
              </w:rPr>
              <w:t>ome  oods and</w:t>
            </w:r>
          </w:p>
        </w:tc>
        <w:tc>
          <w:tcPr>
            <w:tcW w:w="5560" w:type="dxa"/>
            <w:vAlign w:val="bottom"/>
            <w:gridSpan w:val="3"/>
          </w:tcPr>
          <w:p>
            <w:pPr>
              <w:jc w:val="right"/>
              <w:ind w:right="280"/>
              <w:spacing w:after="0"/>
              <w:rPr>
                <w:sz w:val="20"/>
                <w:szCs w:val="20"/>
                <w:color w:val="auto"/>
              </w:rPr>
            </w:pPr>
            <w:r>
              <w:rPr>
                <w:rFonts w:ascii="Arial" w:cs="Arial" w:eastAsia="Arial" w:hAnsi="Arial"/>
                <w:sz w:val="20"/>
                <w:szCs w:val="20"/>
                <w:color w:val="auto"/>
                <w:w w:val="93"/>
              </w:rPr>
              <w:t>omeSense  omesense, sell family apparel and home fashions.</w:t>
            </w:r>
          </w:p>
        </w:tc>
      </w:tr>
      <w:tr>
        <w:trPr>
          <w:trHeight w:val="240"/>
        </w:trPr>
        <w:tc>
          <w:tcPr>
            <w:tcW w:w="560" w:type="dxa"/>
            <w:vAlign w:val="bottom"/>
          </w:tcPr>
          <w:p>
            <w:pPr>
              <w:ind w:left="140"/>
              <w:spacing w:after="0"/>
              <w:rPr>
                <w:sz w:val="20"/>
                <w:szCs w:val="20"/>
                <w:color w:val="auto"/>
              </w:rPr>
            </w:pPr>
            <w:r>
              <w:rPr>
                <w:rFonts w:ascii="Arial" w:cs="Arial" w:eastAsia="Arial" w:hAnsi="Arial"/>
                <w:sz w:val="20"/>
                <w:szCs w:val="20"/>
                <w:color w:val="auto"/>
              </w:rPr>
              <w:t>ome</w:t>
            </w:r>
          </w:p>
        </w:tc>
        <w:tc>
          <w:tcPr>
            <w:tcW w:w="900" w:type="dxa"/>
            <w:vAlign w:val="bottom"/>
          </w:tcPr>
          <w:p>
            <w:pPr>
              <w:ind w:left="60"/>
              <w:spacing w:after="0"/>
              <w:rPr>
                <w:sz w:val="20"/>
                <w:szCs w:val="20"/>
                <w:color w:val="auto"/>
              </w:rPr>
            </w:pPr>
            <w:r>
              <w:rPr>
                <w:rFonts w:ascii="Arial" w:cs="Arial" w:eastAsia="Arial" w:hAnsi="Arial"/>
                <w:sz w:val="20"/>
                <w:szCs w:val="20"/>
                <w:color w:val="auto"/>
                <w:w w:val="99"/>
              </w:rPr>
              <w:t>oods and</w:t>
            </w:r>
          </w:p>
        </w:tc>
        <w:tc>
          <w:tcPr>
            <w:tcW w:w="8800" w:type="dxa"/>
            <w:vAlign w:val="bottom"/>
            <w:gridSpan w:val="7"/>
          </w:tcPr>
          <w:p>
            <w:pPr>
              <w:jc w:val="right"/>
              <w:ind w:right="240"/>
              <w:spacing w:after="0"/>
              <w:rPr>
                <w:sz w:val="20"/>
                <w:szCs w:val="20"/>
                <w:color w:val="auto"/>
              </w:rPr>
            </w:pPr>
            <w:r>
              <w:rPr>
                <w:rFonts w:ascii="Arial" w:cs="Arial" w:eastAsia="Arial" w:hAnsi="Arial"/>
                <w:sz w:val="20"/>
                <w:szCs w:val="20"/>
                <w:color w:val="auto"/>
                <w:w w:val="90"/>
              </w:rPr>
              <w:t>omeSense  omesense offer home fashions. The percentages of the Company’s consolidated revenues by</w:t>
            </w:r>
          </w:p>
        </w:tc>
      </w:tr>
      <w:tr>
        <w:trPr>
          <w:trHeight w:val="261"/>
        </w:trPr>
        <w:tc>
          <w:tcPr>
            <w:tcW w:w="7520" w:type="dxa"/>
            <w:vAlign w:val="bottom"/>
            <w:gridSpan w:val="7"/>
          </w:tcPr>
          <w:p>
            <w:pPr>
              <w:spacing w:after="0"/>
              <w:rPr>
                <w:sz w:val="20"/>
                <w:szCs w:val="20"/>
                <w:color w:val="auto"/>
              </w:rPr>
            </w:pPr>
            <w:r>
              <w:rPr>
                <w:rFonts w:ascii="Arial" w:cs="Arial" w:eastAsia="Arial" w:hAnsi="Arial"/>
                <w:sz w:val="20"/>
                <w:szCs w:val="20"/>
                <w:color w:val="auto"/>
              </w:rPr>
              <w:t>major product category for the last three fiscal years are as follows:</w:t>
            </w:r>
          </w:p>
        </w:tc>
        <w:tc>
          <w:tcPr>
            <w:tcW w:w="12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26"/>
        </w:trPr>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Fiscal 2026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Fiscal 2025</w:t>
            </w:r>
          </w:p>
        </w:tc>
        <w:tc>
          <w:tcPr>
            <w:tcW w:w="146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Fiscal 2024</w:t>
            </w:r>
          </w:p>
        </w:tc>
      </w:tr>
      <w:tr>
        <w:trPr>
          <w:trHeight w:val="270"/>
        </w:trPr>
        <w:tc>
          <w:tcPr>
            <w:tcW w:w="146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rPr>
              <w:t>Apparel:</w:t>
            </w:r>
          </w:p>
        </w:tc>
        <w:tc>
          <w:tcPr>
            <w:tcW w:w="1460" w:type="dxa"/>
            <w:vAlign w:val="bottom"/>
            <w:tcBorders>
              <w:bottom w:val="single" w:sz="8" w:color="E4E4E4"/>
            </w:tcBorders>
            <w:shd w:val="clear" w:color="auto" w:fill="E4E4E4"/>
          </w:tcPr>
          <w:p>
            <w:pPr>
              <w:spacing w:after="0"/>
              <w:rPr>
                <w:sz w:val="23"/>
                <w:szCs w:val="23"/>
                <w:color w:val="auto"/>
              </w:rPr>
            </w:pPr>
          </w:p>
        </w:tc>
        <w:tc>
          <w:tcPr>
            <w:tcW w:w="420" w:type="dxa"/>
            <w:vAlign w:val="bottom"/>
            <w:tcBorders>
              <w:bottom w:val="single" w:sz="8" w:color="E4E4E4"/>
            </w:tcBorders>
            <w:shd w:val="clear" w:color="auto" w:fill="E4E4E4"/>
          </w:tcPr>
          <w:p>
            <w:pPr>
              <w:spacing w:after="0"/>
              <w:rPr>
                <w:sz w:val="23"/>
                <w:szCs w:val="23"/>
                <w:color w:val="auto"/>
              </w:rPr>
            </w:pPr>
          </w:p>
        </w:tc>
        <w:tc>
          <w:tcPr>
            <w:tcW w:w="740" w:type="dxa"/>
            <w:vAlign w:val="bottom"/>
            <w:tcBorders>
              <w:bottom w:val="single" w:sz="8" w:color="E4E4E4"/>
            </w:tcBorders>
            <w:shd w:val="clear" w:color="auto" w:fill="E4E4E4"/>
          </w:tcPr>
          <w:p>
            <w:pPr>
              <w:spacing w:after="0"/>
              <w:rPr>
                <w:sz w:val="23"/>
                <w:szCs w:val="23"/>
                <w:color w:val="auto"/>
              </w:rPr>
            </w:pPr>
          </w:p>
        </w:tc>
        <w:tc>
          <w:tcPr>
            <w:tcW w:w="620" w:type="dxa"/>
            <w:vAlign w:val="bottom"/>
            <w:tcBorders>
              <w:bottom w:val="single" w:sz="8" w:color="E4E4E4"/>
            </w:tcBorders>
            <w:shd w:val="clear" w:color="auto" w:fill="E4E4E4"/>
          </w:tcPr>
          <w:p>
            <w:pPr>
              <w:spacing w:after="0"/>
              <w:rPr>
                <w:sz w:val="23"/>
                <w:szCs w:val="23"/>
                <w:color w:val="auto"/>
              </w:rPr>
            </w:pPr>
          </w:p>
        </w:tc>
        <w:tc>
          <w:tcPr>
            <w:tcW w:w="2820" w:type="dxa"/>
            <w:vAlign w:val="bottom"/>
            <w:tcBorders>
              <w:bottom w:val="single" w:sz="8" w:color="E4E4E4"/>
            </w:tcBorders>
            <w:shd w:val="clear" w:color="auto" w:fill="E4E4E4"/>
          </w:tcPr>
          <w:p>
            <w:pPr>
              <w:spacing w:after="0"/>
              <w:rPr>
                <w:sz w:val="23"/>
                <w:szCs w:val="23"/>
                <w:color w:val="auto"/>
              </w:rPr>
            </w:pPr>
          </w:p>
        </w:tc>
        <w:tc>
          <w:tcPr>
            <w:tcW w:w="1280" w:type="dxa"/>
            <w:vAlign w:val="bottom"/>
            <w:tcBorders>
              <w:bottom w:val="single" w:sz="8" w:color="E4E4E4"/>
            </w:tcBorders>
            <w:shd w:val="clear" w:color="auto" w:fill="E4E4E4"/>
          </w:tcPr>
          <w:p>
            <w:pPr>
              <w:spacing w:after="0"/>
              <w:rPr>
                <w:sz w:val="23"/>
                <w:szCs w:val="23"/>
                <w:color w:val="auto"/>
              </w:rPr>
            </w:pPr>
          </w:p>
        </w:tc>
        <w:tc>
          <w:tcPr>
            <w:tcW w:w="1460" w:type="dxa"/>
            <w:vAlign w:val="bottom"/>
            <w:tcBorders>
              <w:bottom w:val="single" w:sz="8" w:color="E4E4E4"/>
            </w:tcBorders>
            <w:shd w:val="clear" w:color="auto" w:fill="E4E4E4"/>
          </w:tcPr>
          <w:p>
            <w:pPr>
              <w:spacing w:after="0"/>
              <w:rPr>
                <w:sz w:val="23"/>
                <w:szCs w:val="23"/>
                <w:color w:val="auto"/>
              </w:rPr>
            </w:pPr>
          </w:p>
        </w:tc>
      </w:tr>
      <w:tr>
        <w:trPr>
          <w:trHeight w:val="294"/>
        </w:trPr>
        <w:tc>
          <w:tcPr>
            <w:tcW w:w="2920" w:type="dxa"/>
            <w:vAlign w:val="bottom"/>
            <w:gridSpan w:val="3"/>
          </w:tcPr>
          <w:p>
            <w:pPr>
              <w:ind w:left="260"/>
              <w:spacing w:after="0"/>
              <w:rPr>
                <w:sz w:val="20"/>
                <w:szCs w:val="20"/>
                <w:color w:val="auto"/>
              </w:rPr>
            </w:pPr>
            <w:r>
              <w:rPr>
                <w:rFonts w:ascii="Arial" w:cs="Arial" w:eastAsia="Arial" w:hAnsi="Arial"/>
                <w:sz w:val="20"/>
                <w:szCs w:val="20"/>
                <w:color w:val="auto"/>
              </w:rPr>
              <w:t>Clothing including footwear</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20" w:type="dxa"/>
            <w:vAlign w:val="bottom"/>
          </w:tcPr>
          <w:p>
            <w:pPr>
              <w:jc w:val="right"/>
              <w:ind w:right="100"/>
              <w:spacing w:after="0"/>
              <w:rPr>
                <w:sz w:val="20"/>
                <w:szCs w:val="20"/>
                <w:color w:val="auto"/>
              </w:rPr>
            </w:pPr>
            <w:r>
              <w:rPr>
                <w:rFonts w:ascii="Arial" w:cs="Arial" w:eastAsia="Arial" w:hAnsi="Arial"/>
                <w:sz w:val="20"/>
                <w:szCs w:val="20"/>
                <w:color w:val="auto"/>
              </w:rPr>
              <w:t>44</w:t>
            </w:r>
          </w:p>
        </w:tc>
        <w:tc>
          <w:tcPr>
            <w:tcW w:w="1280" w:type="dxa"/>
            <w:vAlign w:val="bottom"/>
          </w:tcPr>
          <w:p>
            <w:pPr>
              <w:jc w:val="right"/>
              <w:ind w:right="20"/>
              <w:spacing w:after="0"/>
              <w:rPr>
                <w:sz w:val="20"/>
                <w:szCs w:val="20"/>
                <w:color w:val="auto"/>
              </w:rPr>
            </w:pPr>
            <w:r>
              <w:rPr>
                <w:rFonts w:ascii="Arial" w:cs="Arial" w:eastAsia="Arial" w:hAnsi="Arial"/>
                <w:sz w:val="20"/>
                <w:szCs w:val="20"/>
                <w:color w:val="auto"/>
              </w:rPr>
              <w:t>44</w:t>
            </w:r>
          </w:p>
        </w:tc>
        <w:tc>
          <w:tcPr>
            <w:tcW w:w="1460" w:type="dxa"/>
            <w:vAlign w:val="bottom"/>
          </w:tcPr>
          <w:p>
            <w:pPr>
              <w:jc w:val="right"/>
              <w:ind w:right="160"/>
              <w:spacing w:after="0"/>
              <w:rPr>
                <w:sz w:val="20"/>
                <w:szCs w:val="20"/>
                <w:color w:val="auto"/>
              </w:rPr>
            </w:pPr>
            <w:r>
              <w:rPr>
                <w:rFonts w:ascii="Arial" w:cs="Arial" w:eastAsia="Arial" w:hAnsi="Arial"/>
                <w:sz w:val="20"/>
                <w:szCs w:val="20"/>
                <w:color w:val="auto"/>
              </w:rPr>
              <w:t>47</w:t>
            </w:r>
          </w:p>
        </w:tc>
      </w:tr>
      <w:tr>
        <w:trPr>
          <w:trHeight w:val="307"/>
        </w:trPr>
        <w:tc>
          <w:tcPr>
            <w:tcW w:w="4080" w:type="dxa"/>
            <w:vAlign w:val="bottom"/>
            <w:gridSpan w:val="5"/>
            <w:shd w:val="clear" w:color="auto" w:fill="E4E4E4"/>
          </w:tcPr>
          <w:p>
            <w:pPr>
              <w:ind w:left="260"/>
              <w:spacing w:after="0"/>
              <w:rPr>
                <w:sz w:val="20"/>
                <w:szCs w:val="20"/>
                <w:color w:val="auto"/>
              </w:rPr>
            </w:pPr>
            <w:r>
              <w:rPr>
                <w:rFonts w:ascii="Arial" w:cs="Arial" w:eastAsia="Arial" w:hAnsi="Arial"/>
                <w:sz w:val="20"/>
                <w:szCs w:val="20"/>
                <w:color w:val="auto"/>
              </w:rPr>
              <w:t>Accessories including jewelry and beauty</w:t>
            </w:r>
          </w:p>
        </w:tc>
        <w:tc>
          <w:tcPr>
            <w:tcW w:w="620" w:type="dxa"/>
            <w:vAlign w:val="bottom"/>
            <w:shd w:val="clear" w:color="auto" w:fill="E4E4E4"/>
          </w:tcPr>
          <w:p>
            <w:pPr>
              <w:spacing w:after="0"/>
              <w:rPr>
                <w:sz w:val="24"/>
                <w:szCs w:val="24"/>
                <w:color w:val="auto"/>
              </w:rPr>
            </w:pPr>
          </w:p>
        </w:tc>
        <w:tc>
          <w:tcPr>
            <w:tcW w:w="282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20</w:t>
            </w:r>
          </w:p>
        </w:tc>
        <w:tc>
          <w:tcPr>
            <w:tcW w:w="128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21</w:t>
            </w:r>
          </w:p>
        </w:tc>
        <w:tc>
          <w:tcPr>
            <w:tcW w:w="146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18</w:t>
            </w:r>
          </w:p>
        </w:tc>
      </w:tr>
      <w:tr>
        <w:trPr>
          <w:trHeight w:val="290"/>
        </w:trPr>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ome fashions</w:t>
            </w:r>
          </w:p>
        </w:tc>
        <w:tc>
          <w:tcPr>
            <w:tcW w:w="1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36</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35</w:t>
            </w:r>
          </w:p>
        </w:tc>
        <w:tc>
          <w:tcPr>
            <w:tcW w:w="146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color w:val="auto"/>
              </w:rPr>
              <w:t>35</w:t>
            </w:r>
          </w:p>
        </w:tc>
      </w:tr>
      <w:tr>
        <w:trPr>
          <w:trHeight w:val="280"/>
        </w:trPr>
        <w:tc>
          <w:tcPr>
            <w:tcW w:w="146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Total</w:t>
            </w:r>
          </w:p>
        </w:tc>
        <w:tc>
          <w:tcPr>
            <w:tcW w:w="1460" w:type="dxa"/>
            <w:vAlign w:val="bottom"/>
            <w:tcBorders>
              <w:bottom w:val="single" w:sz="8" w:color="auto"/>
            </w:tcBorders>
            <w:shd w:val="clear" w:color="auto" w:fill="E4E4E4"/>
          </w:tcPr>
          <w:p>
            <w:pPr>
              <w:spacing w:after="0"/>
              <w:rPr>
                <w:sz w:val="24"/>
                <w:szCs w:val="24"/>
                <w:color w:val="auto"/>
              </w:rPr>
            </w:pPr>
          </w:p>
        </w:tc>
        <w:tc>
          <w:tcPr>
            <w:tcW w:w="42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spacing w:after="0"/>
              <w:rPr>
                <w:sz w:val="24"/>
                <w:szCs w:val="24"/>
                <w:color w:val="auto"/>
              </w:rPr>
            </w:pPr>
          </w:p>
        </w:tc>
        <w:tc>
          <w:tcPr>
            <w:tcW w:w="620" w:type="dxa"/>
            <w:vAlign w:val="bottom"/>
            <w:tcBorders>
              <w:bottom w:val="single" w:sz="8" w:color="auto"/>
            </w:tcBorders>
            <w:shd w:val="clear" w:color="auto" w:fill="E4E4E4"/>
          </w:tcPr>
          <w:p>
            <w:pPr>
              <w:spacing w:after="0"/>
              <w:rPr>
                <w:sz w:val="24"/>
                <w:szCs w:val="24"/>
                <w:color w:val="auto"/>
              </w:rPr>
            </w:pPr>
          </w:p>
        </w:tc>
        <w:tc>
          <w:tcPr>
            <w:tcW w:w="282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100</w:t>
            </w:r>
          </w:p>
        </w:tc>
        <w:tc>
          <w:tcPr>
            <w:tcW w:w="1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100</w:t>
            </w:r>
          </w:p>
        </w:tc>
        <w:tc>
          <w:tcPr>
            <w:tcW w:w="146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100</w:t>
            </w:r>
          </w:p>
        </w:tc>
      </w:tr>
      <w:tr>
        <w:trPr>
          <w:trHeight w:val="387"/>
        </w:trPr>
        <w:tc>
          <w:tcPr>
            <w:tcW w:w="560" w:type="dxa"/>
            <w:vAlign w:val="bottom"/>
          </w:tcPr>
          <w:p>
            <w:pPr>
              <w:spacing w:after="0"/>
              <w:rPr>
                <w:sz w:val="20"/>
                <w:szCs w:val="20"/>
                <w:color w:val="auto"/>
              </w:rPr>
            </w:pPr>
            <w:r>
              <w:rPr>
                <w:rFonts w:ascii="Arial" w:cs="Arial" w:eastAsia="Arial" w:hAnsi="Arial"/>
                <w:sz w:val="20"/>
                <w:szCs w:val="20"/>
                <w:color w:val="auto"/>
                <w:w w:val="99"/>
              </w:rPr>
              <w:t>The C</w:t>
            </w:r>
          </w:p>
        </w:tc>
        <w:tc>
          <w:tcPr>
            <w:tcW w:w="9700" w:type="dxa"/>
            <w:vAlign w:val="bottom"/>
            <w:gridSpan w:val="8"/>
          </w:tcPr>
          <w:p>
            <w:pPr>
              <w:ind w:left="60"/>
              <w:spacing w:after="0"/>
              <w:rPr>
                <w:sz w:val="20"/>
                <w:szCs w:val="20"/>
                <w:color w:val="auto"/>
              </w:rPr>
            </w:pPr>
            <w:r>
              <w:rPr>
                <w:rFonts w:ascii="Arial" w:cs="Arial" w:eastAsia="Arial" w:hAnsi="Arial"/>
                <w:sz w:val="20"/>
                <w:szCs w:val="20"/>
                <w:color w:val="auto"/>
                <w:w w:val="93"/>
              </w:rPr>
              <w:t>D  regularly reviews net sales by segment and segment profit or loss. There are no significant expense categories or</w:t>
            </w:r>
          </w:p>
        </w:tc>
      </w:tr>
      <w:tr>
        <w:trPr>
          <w:trHeight w:val="240"/>
        </w:trPr>
        <w:tc>
          <w:tcPr>
            <w:tcW w:w="2920" w:type="dxa"/>
            <w:vAlign w:val="bottom"/>
            <w:gridSpan w:val="3"/>
          </w:tcPr>
          <w:p>
            <w:pPr>
              <w:spacing w:after="0"/>
              <w:rPr>
                <w:sz w:val="20"/>
                <w:szCs w:val="20"/>
                <w:color w:val="auto"/>
              </w:rPr>
            </w:pPr>
            <w:r>
              <w:rPr>
                <w:rFonts w:ascii="Arial" w:cs="Arial" w:eastAsia="Arial" w:hAnsi="Arial"/>
                <w:sz w:val="20"/>
                <w:szCs w:val="20"/>
                <w:color w:val="auto"/>
                <w:w w:val="91"/>
              </w:rPr>
              <w:t>amounts regularly provided to the C</w:t>
            </w:r>
          </w:p>
        </w:tc>
        <w:tc>
          <w:tcPr>
            <w:tcW w:w="420" w:type="dxa"/>
            <w:vAlign w:val="bottom"/>
          </w:tcPr>
          <w:p>
            <w:pPr>
              <w:ind w:left="100"/>
              <w:spacing w:after="0"/>
              <w:rPr>
                <w:sz w:val="20"/>
                <w:szCs w:val="20"/>
                <w:color w:val="auto"/>
              </w:rPr>
            </w:pPr>
            <w:r>
              <w:rPr>
                <w:rFonts w:ascii="Arial" w:cs="Arial" w:eastAsia="Arial" w:hAnsi="Arial"/>
                <w:sz w:val="20"/>
                <w:szCs w:val="20"/>
                <w:color w:val="auto"/>
              </w:rPr>
              <w:t>D</w:t>
            </w:r>
          </w:p>
        </w:tc>
        <w:tc>
          <w:tcPr>
            <w:tcW w:w="6920" w:type="dxa"/>
            <w:vAlign w:val="bottom"/>
            <w:gridSpan w:val="5"/>
          </w:tcPr>
          <w:p>
            <w:pPr>
              <w:jc w:val="right"/>
              <w:ind w:right="400"/>
              <w:spacing w:after="0"/>
              <w:rPr>
                <w:sz w:val="20"/>
                <w:szCs w:val="20"/>
                <w:color w:val="auto"/>
              </w:rPr>
            </w:pPr>
            <w:r>
              <w:rPr>
                <w:rFonts w:ascii="Arial" w:cs="Arial" w:eastAsia="Arial" w:hAnsi="Arial"/>
                <w:sz w:val="20"/>
                <w:szCs w:val="20"/>
                <w:color w:val="auto"/>
                <w:w w:val="91"/>
              </w:rPr>
              <w:t>and included in reported segment profit or loss. As such, no significant expense</w:t>
            </w:r>
          </w:p>
        </w:tc>
      </w:tr>
      <w:tr>
        <w:trPr>
          <w:trHeight w:val="240"/>
        </w:trPr>
        <w:tc>
          <w:tcPr>
            <w:tcW w:w="4080" w:type="dxa"/>
            <w:vAlign w:val="bottom"/>
            <w:gridSpan w:val="5"/>
          </w:tcPr>
          <w:p>
            <w:pPr>
              <w:spacing w:after="0"/>
              <w:rPr>
                <w:sz w:val="20"/>
                <w:szCs w:val="20"/>
                <w:color w:val="auto"/>
              </w:rPr>
            </w:pPr>
            <w:r>
              <w:rPr>
                <w:rFonts w:ascii="Arial" w:cs="Arial" w:eastAsia="Arial" w:hAnsi="Arial"/>
                <w:sz w:val="20"/>
                <w:szCs w:val="20"/>
                <w:color w:val="auto"/>
                <w:w w:val="91"/>
              </w:rPr>
              <w:t>categories are disclosed in the table below. The C</w:t>
            </w:r>
          </w:p>
        </w:tc>
        <w:tc>
          <w:tcPr>
            <w:tcW w:w="6180" w:type="dxa"/>
            <w:vAlign w:val="bottom"/>
            <w:gridSpan w:val="4"/>
          </w:tcPr>
          <w:p>
            <w:pPr>
              <w:jc w:val="right"/>
              <w:ind w:right="560"/>
              <w:spacing w:after="0"/>
              <w:rPr>
                <w:sz w:val="20"/>
                <w:szCs w:val="20"/>
                <w:color w:val="auto"/>
              </w:rPr>
            </w:pPr>
            <w:r>
              <w:rPr>
                <w:rFonts w:ascii="Arial" w:cs="Arial" w:eastAsia="Arial" w:hAnsi="Arial"/>
                <w:sz w:val="20"/>
                <w:szCs w:val="20"/>
                <w:color w:val="auto"/>
                <w:w w:val="91"/>
              </w:rPr>
              <w:t>D  evaluates the performance of the Company’s segments based on</w:t>
            </w:r>
          </w:p>
        </w:tc>
      </w:tr>
    </w:tbl>
    <w:p>
      <w:pPr>
        <w:ind w:right="40" w:firstLine="89"/>
        <w:spacing w:after="0" w:line="278" w:lineRule="auto"/>
        <w:rPr>
          <w:sz w:val="20"/>
          <w:szCs w:val="20"/>
          <w:color w:val="auto"/>
        </w:rPr>
      </w:pPr>
      <w:r>
        <w:rPr>
          <w:rFonts w:ascii="Arial" w:cs="Arial" w:eastAsia="Arial" w:hAnsi="Arial"/>
          <w:sz w:val="18"/>
          <w:szCs w:val="18"/>
          <w:color w:val="auto"/>
        </w:rPr>
        <w:t>segment profit or loss, which it defines as pre-tax income or loss before general corporate expense, interest (income) expense, net and certain separately disclosed unusual or infre 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li uidity.</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F-22</w:t>
      </w:r>
    </w:p>
    <w:p>
      <w:pPr>
        <w:sectPr>
          <w:pgSz w:w="12240" w:h="15841" w:orient="portrait"/>
          <w:cols w:equalWidth="0" w:num="1">
            <w:col w:w="10260"/>
          </w:cols>
          <w:pgMar w:left="1000" w:top="792" w:right="981" w:bottom="0" w:gutter="0" w:footer="0" w:header="0"/>
          <w:type w:val="continuous"/>
        </w:sectPr>
      </w:pPr>
    </w:p>
    <w:bookmarkStart w:id="78" w:name="page79"/>
    <w:bookmarkEnd w:id="78"/>
    <w:tbl>
      <w:tblPr>
        <w:tblLayout w:type="fixed"/>
        <w:tblInd w:w="10" w:type="dxa"/>
        <w:tblCellMar>
          <w:top w:w="0" w:type="dxa"/>
          <w:left w:w="0" w:type="dxa"/>
          <w:bottom w:w="0" w:type="dxa"/>
          <w:right w:w="0" w:type="dxa"/>
        </w:tblCellMar>
      </w:tblPr>
      <w:tr>
        <w:trPr>
          <w:trHeight w:val="261"/>
        </w:trPr>
        <w:tc>
          <w:tcPr>
            <w:tcW w:w="6280" w:type="dxa"/>
            <w:vAlign w:val="bottom"/>
            <w:gridSpan w:val="3"/>
          </w:tcPr>
          <w:p>
            <w:pPr>
              <w:spacing w:after="0"/>
              <w:rPr>
                <w:sz w:val="20"/>
                <w:szCs w:val="20"/>
                <w:color w:val="auto"/>
              </w:rPr>
            </w:pPr>
            <w:r>
              <w:rPr>
                <w:rFonts w:ascii="Arial" w:cs="Arial" w:eastAsia="Arial" w:hAnsi="Arial"/>
                <w:sz w:val="20"/>
                <w:szCs w:val="20"/>
                <w:color w:val="auto"/>
                <w:w w:val="97"/>
              </w:rPr>
              <w:t>Presented below is financial information with respect to TJX’s segments: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51"/>
        </w:trPr>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0"/>
              </w:rPr>
              <w:t>Fiscal Year Ended</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12"/>
        </w:trPr>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60" w:type="dxa"/>
            <w:vAlign w:val="bottom"/>
          </w:tcPr>
          <w:p>
            <w:pPr>
              <w:spacing w:after="0"/>
              <w:rPr>
                <w:sz w:val="18"/>
                <w:szCs w:val="18"/>
                <w:color w:val="auto"/>
              </w:rPr>
            </w:pPr>
          </w:p>
        </w:tc>
        <w:tc>
          <w:tcPr>
            <w:tcW w:w="1160" w:type="dxa"/>
            <w:vAlign w:val="bottom"/>
          </w:tcPr>
          <w:p>
            <w:pPr>
              <w:jc w:val="center"/>
              <w:ind w:right="100"/>
              <w:spacing w:after="0" w:line="212" w:lineRule="exact"/>
              <w:rPr>
                <w:sz w:val="20"/>
                <w:szCs w:val="20"/>
                <w:color w:val="auto"/>
              </w:rPr>
            </w:pPr>
            <w:r>
              <w:rPr>
                <w:rFonts w:ascii="Arial" w:cs="Arial" w:eastAsia="Arial" w:hAnsi="Arial"/>
                <w:sz w:val="20"/>
                <w:szCs w:val="20"/>
                <w:color w:val="auto"/>
                <w:w w:val="89"/>
              </w:rPr>
              <w:t>February 1,</w:t>
            </w:r>
          </w:p>
        </w:tc>
        <w:tc>
          <w:tcPr>
            <w:tcW w:w="160" w:type="dxa"/>
            <w:vAlign w:val="bottom"/>
          </w:tcPr>
          <w:p>
            <w:pPr>
              <w:spacing w:after="0"/>
              <w:rPr>
                <w:sz w:val="18"/>
                <w:szCs w:val="18"/>
                <w:color w:val="auto"/>
              </w:rPr>
            </w:pPr>
          </w:p>
        </w:tc>
        <w:tc>
          <w:tcPr>
            <w:tcW w:w="960" w:type="dxa"/>
            <w:vAlign w:val="bottom"/>
          </w:tcPr>
          <w:p>
            <w:pPr>
              <w:jc w:val="center"/>
              <w:spacing w:after="0" w:line="212" w:lineRule="exact"/>
              <w:rPr>
                <w:sz w:val="20"/>
                <w:szCs w:val="20"/>
                <w:color w:val="auto"/>
              </w:rPr>
            </w:pPr>
            <w:r>
              <w:rPr>
                <w:rFonts w:ascii="Arial" w:cs="Arial" w:eastAsia="Arial" w:hAnsi="Arial"/>
                <w:sz w:val="20"/>
                <w:szCs w:val="20"/>
                <w:color w:val="auto"/>
                <w:w w:val="89"/>
              </w:rPr>
              <w:t>February 3,</w:t>
            </w:r>
          </w:p>
        </w:tc>
        <w:tc>
          <w:tcPr>
            <w:tcW w:w="180" w:type="dxa"/>
            <w:vAlign w:val="bottom"/>
          </w:tcPr>
          <w:p>
            <w:pPr>
              <w:spacing w:after="0"/>
              <w:rPr>
                <w:sz w:val="18"/>
                <w:szCs w:val="18"/>
                <w:color w:val="auto"/>
              </w:rPr>
            </w:pPr>
          </w:p>
        </w:tc>
      </w:tr>
      <w:tr>
        <w:trPr>
          <w:trHeight w:val="263"/>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2024</w:t>
            </w:r>
          </w:p>
        </w:tc>
        <w:tc>
          <w:tcPr>
            <w:tcW w:w="180" w:type="dxa"/>
            <w:vAlign w:val="bottom"/>
            <w:tcBorders>
              <w:bottom w:val="single" w:sz="8" w:color="auto"/>
            </w:tcBorders>
          </w:tcPr>
          <w:p>
            <w:pPr>
              <w:spacing w:after="0"/>
              <w:rPr>
                <w:sz w:val="22"/>
                <w:szCs w:val="22"/>
                <w:color w:val="auto"/>
              </w:rPr>
            </w:pPr>
          </w:p>
        </w:tc>
      </w:tr>
      <w:tr>
        <w:trPr>
          <w:trHeight w:val="269"/>
        </w:trPr>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0"/>
                <w:szCs w:val="20"/>
                <w:color w:val="auto"/>
                <w:w w:val="89"/>
              </w:rPr>
              <w:t>(53 weeks)</w:t>
            </w:r>
          </w:p>
        </w:tc>
        <w:tc>
          <w:tcPr>
            <w:tcW w:w="180" w:type="dxa"/>
            <w:vAlign w:val="bottom"/>
          </w:tcPr>
          <w:p>
            <w:pPr>
              <w:spacing w:after="0"/>
              <w:rPr>
                <w:sz w:val="23"/>
                <w:szCs w:val="23"/>
                <w:color w:val="auto"/>
              </w:rPr>
            </w:pPr>
          </w:p>
        </w:tc>
      </w:tr>
      <w:tr>
        <w:trPr>
          <w:trHeight w:val="291"/>
        </w:trPr>
        <w:tc>
          <w:tcPr>
            <w:tcW w:w="6280" w:type="dxa"/>
            <w:vAlign w:val="bottom"/>
            <w:gridSpan w:val="3"/>
            <w:shd w:val="clear" w:color="auto" w:fill="E4E4E4"/>
          </w:tcPr>
          <w:p>
            <w:pPr>
              <w:ind w:left="180"/>
              <w:spacing w:after="0"/>
              <w:rPr>
                <w:sz w:val="20"/>
                <w:szCs w:val="20"/>
                <w:color w:val="auto"/>
              </w:rPr>
            </w:pPr>
            <w:r>
              <w:rPr>
                <w:rFonts w:ascii="Arial" w:cs="Arial" w:eastAsia="Arial" w:hAnsi="Arial"/>
                <w:sz w:val="20"/>
                <w:szCs w:val="20"/>
                <w:color w:val="auto"/>
              </w:rPr>
              <w:t>nited States</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1160" w:type="dxa"/>
            <w:vAlign w:val="bottom"/>
            <w:shd w:val="clear" w:color="auto" w:fill="E4E4E4"/>
          </w:tcPr>
          <w:p>
            <w:pPr>
              <w:spacing w:after="0"/>
              <w:rPr>
                <w:sz w:val="24"/>
                <w:szCs w:val="24"/>
                <w:color w:val="auto"/>
              </w:rPr>
            </w:pPr>
          </w:p>
        </w:tc>
        <w:tc>
          <w:tcPr>
            <w:tcW w:w="16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r>
      <w:tr>
        <w:trPr>
          <w:trHeight w:val="278"/>
        </w:trPr>
        <w:tc>
          <w:tcPr>
            <w:tcW w:w="280" w:type="dxa"/>
            <w:vAlign w:val="bottom"/>
            <w:shd w:val="clear" w:color="auto" w:fill="FEFEFE"/>
          </w:tcPr>
          <w:p>
            <w:pPr>
              <w:spacing w:after="0"/>
              <w:rPr>
                <w:sz w:val="24"/>
                <w:szCs w:val="24"/>
                <w:color w:val="auto"/>
              </w:rPr>
            </w:pPr>
          </w:p>
        </w:tc>
        <w:tc>
          <w:tcPr>
            <w:tcW w:w="6000" w:type="dxa"/>
            <w:vAlign w:val="bottom"/>
            <w:gridSpan w:val="2"/>
            <w:shd w:val="clear" w:color="auto" w:fill="FEFEFE"/>
          </w:tcPr>
          <w:p>
            <w:pPr>
              <w:ind w:left="80"/>
              <w:spacing w:after="0"/>
              <w:rPr>
                <w:sz w:val="20"/>
                <w:szCs w:val="20"/>
                <w:color w:val="auto"/>
              </w:rPr>
            </w:pPr>
            <w:r>
              <w:rPr>
                <w:rFonts w:ascii="Arial" w:cs="Arial" w:eastAsia="Arial" w:hAnsi="Arial"/>
                <w:sz w:val="20"/>
                <w:szCs w:val="20"/>
                <w:color w:val="auto"/>
              </w:rPr>
              <w:t>arma</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1160" w:type="dxa"/>
            <w:vAlign w:val="bottom"/>
            <w:shd w:val="clear" w:color="auto" w:fill="FEFEFE"/>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r>
      <w:tr>
        <w:trPr>
          <w:trHeight w:val="307"/>
        </w:trPr>
        <w:tc>
          <w:tcPr>
            <w:tcW w:w="280" w:type="dxa"/>
            <w:vAlign w:val="bottom"/>
            <w:shd w:val="clear" w:color="auto" w:fill="E4E4E4"/>
          </w:tcPr>
          <w:p>
            <w:pPr>
              <w:spacing w:after="0"/>
              <w:rPr>
                <w:sz w:val="24"/>
                <w:szCs w:val="24"/>
                <w:color w:val="auto"/>
              </w:rPr>
            </w:pPr>
          </w:p>
        </w:tc>
        <w:tc>
          <w:tcPr>
            <w:tcW w:w="600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36,585</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34,604</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33,413</w:t>
            </w:r>
          </w:p>
        </w:tc>
      </w:tr>
      <w:tr>
        <w:trPr>
          <w:trHeight w:val="290"/>
        </w:trPr>
        <w:tc>
          <w:tcPr>
            <w:tcW w:w="6280" w:type="dxa"/>
            <w:vAlign w:val="bottom"/>
            <w:tcBorders>
              <w:bottom w:val="single" w:sz="8" w:color="auto"/>
            </w:tcBorders>
            <w:gridSpan w:val="3"/>
            <w:shd w:val="clear" w:color="auto" w:fill="FEFEFE"/>
          </w:tcPr>
          <w:p>
            <w:pPr>
              <w:ind w:left="26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(a)</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31,057</w:t>
            </w:r>
          </w:p>
        </w:tc>
        <w:tc>
          <w:tcPr>
            <w:tcW w:w="2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2 ,70</w:t>
            </w: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28,816</w:t>
            </w:r>
          </w:p>
        </w:tc>
      </w:tr>
      <w:tr>
        <w:trPr>
          <w:trHeight w:val="280"/>
        </w:trPr>
        <w:tc>
          <w:tcPr>
            <w:tcW w:w="280" w:type="dxa"/>
            <w:vAlign w:val="bottom"/>
            <w:tcBorders>
              <w:bottom w:val="single" w:sz="8" w:color="auto"/>
            </w:tcBorders>
            <w:shd w:val="clear" w:color="auto" w:fill="E4E4E4"/>
          </w:tcPr>
          <w:p>
            <w:pPr>
              <w:spacing w:after="0"/>
              <w:rPr>
                <w:sz w:val="24"/>
                <w:szCs w:val="24"/>
                <w:color w:val="auto"/>
              </w:rPr>
            </w:pPr>
          </w:p>
        </w:tc>
        <w:tc>
          <w:tcPr>
            <w:tcW w:w="6000" w:type="dxa"/>
            <w:vAlign w:val="bottom"/>
            <w:tcBorders>
              <w:bottom w:val="single" w:sz="8" w:color="auto"/>
            </w:tcBorders>
            <w:gridSpan w:val="2"/>
            <w:shd w:val="clear" w:color="auto" w:fill="E4E4E4"/>
          </w:tcPr>
          <w:p>
            <w:pPr>
              <w:ind w:left="100"/>
              <w:spacing w:after="0"/>
              <w:rPr>
                <w:sz w:val="20"/>
                <w:szCs w:val="20"/>
                <w:color w:val="auto"/>
              </w:rPr>
            </w:pPr>
            <w:r>
              <w:rPr>
                <w:rFonts w:ascii="Arial" w:cs="Arial" w:eastAsia="Arial" w:hAnsi="Arial"/>
                <w:sz w:val="20"/>
                <w:szCs w:val="20"/>
                <w:color w:val="auto"/>
              </w:rPr>
              <w:t>Segment profit</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5,528</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4,8 5</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E4E4E4"/>
          </w:tcPr>
          <w:p>
            <w:pPr>
              <w:ind w:left="600"/>
              <w:spacing w:after="0"/>
              <w:rPr>
                <w:sz w:val="20"/>
                <w:szCs w:val="20"/>
                <w:color w:val="auto"/>
              </w:rPr>
            </w:pPr>
            <w:r>
              <w:rPr>
                <w:rFonts w:ascii="Arial" w:cs="Arial" w:eastAsia="Arial" w:hAnsi="Arial"/>
                <w:sz w:val="20"/>
                <w:szCs w:val="20"/>
                <w:color w:val="auto"/>
              </w:rPr>
              <w:t>4,5</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71"/>
              </w:rPr>
              <w:t>7</w:t>
            </w:r>
          </w:p>
        </w:tc>
      </w:tr>
      <w:tr>
        <w:trPr>
          <w:trHeight w:val="270"/>
        </w:trPr>
        <w:tc>
          <w:tcPr>
            <w:tcW w:w="280" w:type="dxa"/>
            <w:vAlign w:val="bottom"/>
            <w:tcBorders>
              <w:bottom w:val="single" w:sz="8" w:color="FEFEFE"/>
            </w:tcBorders>
            <w:shd w:val="clear" w:color="auto" w:fill="FEFEFE"/>
          </w:tcPr>
          <w:p>
            <w:pPr>
              <w:spacing w:after="0"/>
              <w:rPr>
                <w:sz w:val="23"/>
                <w:szCs w:val="23"/>
                <w:color w:val="auto"/>
              </w:rPr>
            </w:pPr>
          </w:p>
        </w:tc>
        <w:tc>
          <w:tcPr>
            <w:tcW w:w="4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w w:val="87"/>
              </w:rPr>
              <w:t>ome</w:t>
            </w:r>
          </w:p>
        </w:tc>
        <w:tc>
          <w:tcPr>
            <w:tcW w:w="5600" w:type="dxa"/>
            <w:vAlign w:val="bottom"/>
            <w:tcBorders>
              <w:bottom w:val="single" w:sz="8" w:color="FEFEFE"/>
            </w:tcBorders>
            <w:shd w:val="clear" w:color="auto" w:fill="FEFEFE"/>
          </w:tcPr>
          <w:p>
            <w:pPr>
              <w:ind w:left="140"/>
              <w:spacing w:after="0"/>
              <w:rPr>
                <w:sz w:val="20"/>
                <w:szCs w:val="20"/>
                <w:color w:val="auto"/>
              </w:rPr>
            </w:pPr>
            <w:r>
              <w:rPr>
                <w:rFonts w:ascii="Arial" w:cs="Arial" w:eastAsia="Arial" w:hAnsi="Arial"/>
                <w:sz w:val="20"/>
                <w:szCs w:val="20"/>
                <w:color w:val="auto"/>
              </w:rPr>
              <w:t>oods</w:t>
            </w:r>
          </w:p>
        </w:tc>
        <w:tc>
          <w:tcPr>
            <w:tcW w:w="140" w:type="dxa"/>
            <w:vAlign w:val="bottom"/>
            <w:tcBorders>
              <w:bottom w:val="single" w:sz="8" w:color="FEFEFE"/>
            </w:tcBorders>
            <w:shd w:val="clear" w:color="auto" w:fill="FEFEFE"/>
          </w:tcPr>
          <w:p>
            <w:pPr>
              <w:spacing w:after="0"/>
              <w:rPr>
                <w:sz w:val="23"/>
                <w:szCs w:val="23"/>
                <w:color w:val="auto"/>
              </w:rPr>
            </w:pPr>
          </w:p>
        </w:tc>
        <w:tc>
          <w:tcPr>
            <w:tcW w:w="1100" w:type="dxa"/>
            <w:vAlign w:val="bottom"/>
            <w:tcBorders>
              <w:bottom w:val="single" w:sz="8" w:color="FEFEFE"/>
            </w:tcBorders>
            <w:shd w:val="clear" w:color="auto" w:fill="FEFEFE"/>
          </w:tcPr>
          <w:p>
            <w:pPr>
              <w:spacing w:after="0"/>
              <w:rPr>
                <w:sz w:val="23"/>
                <w:szCs w:val="23"/>
                <w:color w:val="auto"/>
              </w:rPr>
            </w:pPr>
          </w:p>
        </w:tc>
        <w:tc>
          <w:tcPr>
            <w:tcW w:w="260" w:type="dxa"/>
            <w:vAlign w:val="bottom"/>
            <w:tcBorders>
              <w:bottom w:val="single" w:sz="8" w:color="FEFEFE"/>
            </w:tcBorders>
            <w:shd w:val="clear" w:color="auto" w:fill="FEFEFE"/>
          </w:tcPr>
          <w:p>
            <w:pPr>
              <w:spacing w:after="0"/>
              <w:rPr>
                <w:sz w:val="23"/>
                <w:szCs w:val="23"/>
                <w:color w:val="auto"/>
              </w:rPr>
            </w:pPr>
          </w:p>
        </w:tc>
        <w:tc>
          <w:tcPr>
            <w:tcW w:w="1160" w:type="dxa"/>
            <w:vAlign w:val="bottom"/>
            <w:tcBorders>
              <w:bottom w:val="single" w:sz="8" w:color="FEFEFE"/>
            </w:tcBorders>
            <w:shd w:val="clear" w:color="auto" w:fill="FEFEFE"/>
          </w:tcPr>
          <w:p>
            <w:pPr>
              <w:spacing w:after="0"/>
              <w:rPr>
                <w:sz w:val="23"/>
                <w:szCs w:val="23"/>
                <w:color w:val="auto"/>
              </w:rPr>
            </w:pPr>
          </w:p>
        </w:tc>
        <w:tc>
          <w:tcPr>
            <w:tcW w:w="160" w:type="dxa"/>
            <w:vAlign w:val="bottom"/>
            <w:tcBorders>
              <w:bottom w:val="single" w:sz="8" w:color="FEFEFE"/>
            </w:tcBorders>
            <w:shd w:val="clear" w:color="auto" w:fill="FEFEFE"/>
          </w:tcPr>
          <w:p>
            <w:pPr>
              <w:spacing w:after="0"/>
              <w:rPr>
                <w:sz w:val="23"/>
                <w:szCs w:val="23"/>
                <w:color w:val="auto"/>
              </w:rPr>
            </w:pPr>
          </w:p>
        </w:tc>
        <w:tc>
          <w:tcPr>
            <w:tcW w:w="960" w:type="dxa"/>
            <w:vAlign w:val="bottom"/>
            <w:tcBorders>
              <w:bottom w:val="single" w:sz="8" w:color="FEFEFE"/>
            </w:tcBorders>
            <w:shd w:val="clear" w:color="auto" w:fill="FEFEFE"/>
          </w:tcPr>
          <w:p>
            <w:pPr>
              <w:spacing w:after="0"/>
              <w:rPr>
                <w:sz w:val="23"/>
                <w:szCs w:val="23"/>
                <w:color w:val="auto"/>
              </w:rPr>
            </w:pPr>
          </w:p>
        </w:tc>
        <w:tc>
          <w:tcPr>
            <w:tcW w:w="180" w:type="dxa"/>
            <w:vAlign w:val="bottom"/>
            <w:tcBorders>
              <w:bottom w:val="single" w:sz="8" w:color="FEFEFE"/>
            </w:tcBorders>
            <w:shd w:val="clear" w:color="auto" w:fill="FEFEFE"/>
          </w:tcPr>
          <w:p>
            <w:pPr>
              <w:spacing w:after="0"/>
              <w:rPr>
                <w:sz w:val="23"/>
                <w:szCs w:val="23"/>
                <w:color w:val="auto"/>
              </w:rPr>
            </w:pPr>
          </w:p>
        </w:tc>
      </w:tr>
      <w:tr>
        <w:trPr>
          <w:trHeight w:val="300"/>
        </w:trPr>
        <w:tc>
          <w:tcPr>
            <w:tcW w:w="280" w:type="dxa"/>
            <w:vAlign w:val="bottom"/>
            <w:shd w:val="clear" w:color="auto" w:fill="E4E4E4"/>
          </w:tcPr>
          <w:p>
            <w:pPr>
              <w:spacing w:after="0"/>
              <w:rPr>
                <w:sz w:val="24"/>
                <w:szCs w:val="24"/>
                <w:color w:val="auto"/>
              </w:rPr>
            </w:pPr>
          </w:p>
        </w:tc>
        <w:tc>
          <w:tcPr>
            <w:tcW w:w="600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10,172</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,386</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E4E4E4"/>
          </w:tcPr>
          <w:p>
            <w:pPr>
              <w:ind w:left="600"/>
              <w:spacing w:after="0"/>
              <w:rPr>
                <w:sz w:val="20"/>
                <w:szCs w:val="20"/>
                <w:color w:val="auto"/>
              </w:rPr>
            </w:pPr>
            <w:r>
              <w:rPr>
                <w:rFonts w:ascii="Arial" w:cs="Arial" w:eastAsia="Arial" w:hAnsi="Arial"/>
                <w:sz w:val="20"/>
                <w:szCs w:val="20"/>
                <w:color w:val="auto"/>
              </w:rPr>
              <w:t>8,</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w w:val="71"/>
              </w:rPr>
              <w:t>0</w:t>
            </w:r>
          </w:p>
        </w:tc>
      </w:tr>
      <w:tr>
        <w:trPr>
          <w:trHeight w:val="290"/>
        </w:trPr>
        <w:tc>
          <w:tcPr>
            <w:tcW w:w="6280" w:type="dxa"/>
            <w:vAlign w:val="bottom"/>
            <w:tcBorders>
              <w:bottom w:val="single" w:sz="8" w:color="auto"/>
            </w:tcBorders>
            <w:gridSpan w:val="3"/>
            <w:shd w:val="clear" w:color="auto" w:fill="FEFEFE"/>
          </w:tcPr>
          <w:p>
            <w:pPr>
              <w:ind w:left="26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(a)</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8,926</w:t>
            </w:r>
          </w:p>
        </w:tc>
        <w:tc>
          <w:tcPr>
            <w:tcW w:w="2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8,365</w:t>
            </w:r>
          </w:p>
        </w:tc>
        <w:tc>
          <w:tcPr>
            <w:tcW w:w="16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ind w:left="600"/>
              <w:spacing w:after="0"/>
              <w:rPr>
                <w:sz w:val="20"/>
                <w:szCs w:val="20"/>
                <w:color w:val="auto"/>
              </w:rPr>
            </w:pPr>
            <w:r>
              <w:rPr>
                <w:rFonts w:ascii="Arial" w:cs="Arial" w:eastAsia="Arial" w:hAnsi="Arial"/>
                <w:sz w:val="20"/>
                <w:szCs w:val="20"/>
                <w:color w:val="auto"/>
                <w:w w:val="87"/>
              </w:rPr>
              <w:t>8,12</w:t>
            </w:r>
          </w:p>
        </w:tc>
        <w:tc>
          <w:tcPr>
            <w:tcW w:w="180" w:type="dxa"/>
            <w:vAlign w:val="bottom"/>
            <w:tcBorders>
              <w:bottom w:val="single" w:sz="8" w:color="auto"/>
            </w:tcBorders>
            <w:shd w:val="clear" w:color="auto" w:fill="FEFEFE"/>
          </w:tcPr>
          <w:p>
            <w:pPr>
              <w:spacing w:after="0"/>
              <w:rPr>
                <w:sz w:val="24"/>
                <w:szCs w:val="24"/>
                <w:color w:val="auto"/>
              </w:rPr>
            </w:pPr>
          </w:p>
        </w:tc>
      </w:tr>
      <w:tr>
        <w:trPr>
          <w:trHeight w:val="265"/>
        </w:trPr>
        <w:tc>
          <w:tcPr>
            <w:tcW w:w="280" w:type="dxa"/>
            <w:vAlign w:val="bottom"/>
            <w:tcBorders>
              <w:bottom w:val="single" w:sz="8" w:color="auto"/>
            </w:tcBorders>
            <w:shd w:val="clear" w:color="auto" w:fill="E4E4E4"/>
          </w:tcPr>
          <w:p>
            <w:pPr>
              <w:spacing w:after="0"/>
              <w:rPr>
                <w:sz w:val="23"/>
                <w:szCs w:val="23"/>
                <w:color w:val="auto"/>
              </w:rPr>
            </w:pPr>
          </w:p>
        </w:tc>
        <w:tc>
          <w:tcPr>
            <w:tcW w:w="6000" w:type="dxa"/>
            <w:vAlign w:val="bottom"/>
            <w:tcBorders>
              <w:bottom w:val="single" w:sz="8" w:color="auto"/>
            </w:tcBorders>
            <w:gridSpan w:val="2"/>
            <w:shd w:val="clear" w:color="auto" w:fill="E4E4E4"/>
          </w:tcPr>
          <w:p>
            <w:pPr>
              <w:ind w:left="100"/>
              <w:spacing w:after="0"/>
              <w:rPr>
                <w:sz w:val="20"/>
                <w:szCs w:val="20"/>
                <w:color w:val="auto"/>
              </w:rPr>
            </w:pPr>
            <w:r>
              <w:rPr>
                <w:rFonts w:ascii="Arial" w:cs="Arial" w:eastAsia="Arial" w:hAnsi="Arial"/>
                <w:sz w:val="20"/>
                <w:szCs w:val="20"/>
                <w:color w:val="auto"/>
              </w:rPr>
              <w:t>Segment profit</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1,246</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1,021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861</w:t>
            </w:r>
          </w:p>
        </w:tc>
      </w:tr>
      <w:tr>
        <w:trPr>
          <w:trHeight w:val="270"/>
        </w:trPr>
        <w:tc>
          <w:tcPr>
            <w:tcW w:w="280" w:type="dxa"/>
            <w:vAlign w:val="bottom"/>
            <w:shd w:val="clear" w:color="auto" w:fill="FEFEFE"/>
          </w:tcPr>
          <w:p>
            <w:pPr>
              <w:ind w:left="180"/>
              <w:spacing w:after="0"/>
              <w:rPr>
                <w:sz w:val="20"/>
                <w:szCs w:val="20"/>
                <w:color w:val="auto"/>
              </w:rPr>
            </w:pPr>
            <w:r>
              <w:rPr>
                <w:rFonts w:ascii="Arial" w:cs="Arial" w:eastAsia="Arial" w:hAnsi="Arial"/>
                <w:sz w:val="20"/>
                <w:szCs w:val="20"/>
                <w:color w:val="auto"/>
                <w:w w:val="79"/>
              </w:rPr>
              <w:t>J</w:t>
            </w:r>
          </w:p>
        </w:tc>
        <w:tc>
          <w:tcPr>
            <w:tcW w:w="6000" w:type="dxa"/>
            <w:vAlign w:val="bottom"/>
            <w:gridSpan w:val="2"/>
            <w:shd w:val="clear" w:color="auto" w:fill="FEFEFE"/>
          </w:tcPr>
          <w:p>
            <w:pPr>
              <w:ind w:left="200"/>
              <w:spacing w:after="0"/>
              <w:rPr>
                <w:sz w:val="20"/>
                <w:szCs w:val="20"/>
                <w:color w:val="auto"/>
              </w:rPr>
            </w:pPr>
            <w:r>
              <w:rPr>
                <w:rFonts w:ascii="Arial" w:cs="Arial" w:eastAsia="Arial" w:hAnsi="Arial"/>
                <w:sz w:val="20"/>
                <w:szCs w:val="20"/>
                <w:color w:val="auto"/>
              </w:rPr>
              <w:t>Canada</w:t>
            </w:r>
          </w:p>
        </w:tc>
        <w:tc>
          <w:tcPr>
            <w:tcW w:w="140" w:type="dxa"/>
            <w:vAlign w:val="bottom"/>
            <w:shd w:val="clear" w:color="auto" w:fill="FEFEFE"/>
          </w:tcPr>
          <w:p>
            <w:pPr>
              <w:spacing w:after="0"/>
              <w:rPr>
                <w:sz w:val="23"/>
                <w:szCs w:val="23"/>
                <w:color w:val="auto"/>
              </w:rPr>
            </w:pPr>
          </w:p>
        </w:tc>
        <w:tc>
          <w:tcPr>
            <w:tcW w:w="1100" w:type="dxa"/>
            <w:vAlign w:val="bottom"/>
            <w:shd w:val="clear" w:color="auto" w:fill="FEFEFE"/>
          </w:tcPr>
          <w:p>
            <w:pPr>
              <w:spacing w:after="0"/>
              <w:rPr>
                <w:sz w:val="23"/>
                <w:szCs w:val="23"/>
                <w:color w:val="auto"/>
              </w:rPr>
            </w:pPr>
          </w:p>
        </w:tc>
        <w:tc>
          <w:tcPr>
            <w:tcW w:w="260" w:type="dxa"/>
            <w:vAlign w:val="bottom"/>
            <w:shd w:val="clear" w:color="auto" w:fill="FEFEFE"/>
          </w:tcPr>
          <w:p>
            <w:pPr>
              <w:spacing w:after="0"/>
              <w:rPr>
                <w:sz w:val="23"/>
                <w:szCs w:val="23"/>
                <w:color w:val="auto"/>
              </w:rPr>
            </w:pPr>
          </w:p>
        </w:tc>
        <w:tc>
          <w:tcPr>
            <w:tcW w:w="1160" w:type="dxa"/>
            <w:vAlign w:val="bottom"/>
            <w:shd w:val="clear" w:color="auto" w:fill="FEFEFE"/>
          </w:tcPr>
          <w:p>
            <w:pPr>
              <w:spacing w:after="0"/>
              <w:rPr>
                <w:sz w:val="23"/>
                <w:szCs w:val="23"/>
                <w:color w:val="auto"/>
              </w:rPr>
            </w:pPr>
          </w:p>
        </w:tc>
        <w:tc>
          <w:tcPr>
            <w:tcW w:w="160" w:type="dxa"/>
            <w:vAlign w:val="bottom"/>
            <w:shd w:val="clear" w:color="auto" w:fill="FEFEFE"/>
          </w:tcPr>
          <w:p>
            <w:pPr>
              <w:spacing w:after="0"/>
              <w:rPr>
                <w:sz w:val="23"/>
                <w:szCs w:val="23"/>
                <w:color w:val="auto"/>
              </w:rPr>
            </w:pPr>
          </w:p>
        </w:tc>
        <w:tc>
          <w:tcPr>
            <w:tcW w:w="960" w:type="dxa"/>
            <w:vAlign w:val="bottom"/>
            <w:shd w:val="clear" w:color="auto" w:fill="FEFEFE"/>
          </w:tcPr>
          <w:p>
            <w:pPr>
              <w:spacing w:after="0"/>
              <w:rPr>
                <w:sz w:val="23"/>
                <w:szCs w:val="23"/>
                <w:color w:val="auto"/>
              </w:rPr>
            </w:pPr>
          </w:p>
        </w:tc>
        <w:tc>
          <w:tcPr>
            <w:tcW w:w="180" w:type="dxa"/>
            <w:vAlign w:val="bottom"/>
            <w:shd w:val="clear" w:color="auto" w:fill="FEFEFE"/>
          </w:tcPr>
          <w:p>
            <w:pPr>
              <w:spacing w:after="0"/>
              <w:rPr>
                <w:sz w:val="23"/>
                <w:szCs w:val="23"/>
                <w:color w:val="auto"/>
              </w:rPr>
            </w:pPr>
          </w:p>
        </w:tc>
      </w:tr>
      <w:tr>
        <w:trPr>
          <w:trHeight w:val="290"/>
        </w:trPr>
        <w:tc>
          <w:tcPr>
            <w:tcW w:w="280" w:type="dxa"/>
            <w:vAlign w:val="bottom"/>
            <w:shd w:val="clear" w:color="auto" w:fill="E4E4E4"/>
          </w:tcPr>
          <w:p>
            <w:pPr>
              <w:spacing w:after="0"/>
              <w:rPr>
                <w:sz w:val="24"/>
                <w:szCs w:val="24"/>
                <w:color w:val="auto"/>
              </w:rPr>
            </w:pPr>
          </w:p>
        </w:tc>
        <w:tc>
          <w:tcPr>
            <w:tcW w:w="600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5,629</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5,18</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5,046</w:t>
            </w:r>
          </w:p>
        </w:tc>
      </w:tr>
      <w:tr>
        <w:trPr>
          <w:trHeight w:val="275"/>
        </w:trPr>
        <w:tc>
          <w:tcPr>
            <w:tcW w:w="6280" w:type="dxa"/>
            <w:vAlign w:val="bottom"/>
            <w:tcBorders>
              <w:bottom w:val="single" w:sz="8" w:color="auto"/>
            </w:tcBorders>
            <w:gridSpan w:val="3"/>
            <w:shd w:val="clear" w:color="auto" w:fill="FEFEFE"/>
          </w:tcPr>
          <w:p>
            <w:pPr>
              <w:ind w:left="26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(a)</w:t>
            </w:r>
          </w:p>
        </w:tc>
        <w:tc>
          <w:tcPr>
            <w:tcW w:w="140" w:type="dxa"/>
            <w:vAlign w:val="bottom"/>
            <w:tcBorders>
              <w:bottom w:val="single" w:sz="8" w:color="auto"/>
            </w:tcBorders>
            <w:shd w:val="clear" w:color="auto" w:fill="FEFEFE"/>
          </w:tcPr>
          <w:p>
            <w:pPr>
              <w:spacing w:after="0"/>
              <w:rPr>
                <w:sz w:val="23"/>
                <w:szCs w:val="23"/>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4,872</w:t>
            </w:r>
          </w:p>
        </w:tc>
        <w:tc>
          <w:tcPr>
            <w:tcW w:w="260" w:type="dxa"/>
            <w:vAlign w:val="bottom"/>
            <w:tcBorders>
              <w:bottom w:val="single" w:sz="8" w:color="auto"/>
            </w:tcBorders>
            <w:shd w:val="clear" w:color="auto" w:fill="FEFEFE"/>
          </w:tcPr>
          <w:p>
            <w:pPr>
              <w:spacing w:after="0"/>
              <w:rPr>
                <w:sz w:val="23"/>
                <w:szCs w:val="23"/>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4,486</w:t>
            </w:r>
          </w:p>
        </w:tc>
        <w:tc>
          <w:tcPr>
            <w:tcW w:w="160" w:type="dxa"/>
            <w:vAlign w:val="bottom"/>
            <w:tcBorders>
              <w:bottom w:val="single" w:sz="8" w:color="auto"/>
            </w:tcBorders>
            <w:shd w:val="clear" w:color="auto" w:fill="FEFEFE"/>
          </w:tcPr>
          <w:p>
            <w:pPr>
              <w:spacing w:after="0"/>
              <w:rPr>
                <w:sz w:val="23"/>
                <w:szCs w:val="23"/>
                <w:color w:val="auto"/>
              </w:rPr>
            </w:pP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4,331</w:t>
            </w:r>
          </w:p>
        </w:tc>
      </w:tr>
      <w:tr>
        <w:trPr>
          <w:trHeight w:val="265"/>
        </w:trPr>
        <w:tc>
          <w:tcPr>
            <w:tcW w:w="280" w:type="dxa"/>
            <w:vAlign w:val="bottom"/>
            <w:tcBorders>
              <w:bottom w:val="single" w:sz="8" w:color="auto"/>
            </w:tcBorders>
            <w:shd w:val="clear" w:color="auto" w:fill="E4E4E4"/>
          </w:tcPr>
          <w:p>
            <w:pPr>
              <w:spacing w:after="0"/>
              <w:rPr>
                <w:sz w:val="23"/>
                <w:szCs w:val="23"/>
                <w:color w:val="auto"/>
              </w:rPr>
            </w:pPr>
          </w:p>
        </w:tc>
        <w:tc>
          <w:tcPr>
            <w:tcW w:w="6000" w:type="dxa"/>
            <w:vAlign w:val="bottom"/>
            <w:tcBorders>
              <w:bottom w:val="single" w:sz="8" w:color="auto"/>
            </w:tcBorders>
            <w:gridSpan w:val="2"/>
            <w:shd w:val="clear" w:color="auto" w:fill="E4E4E4"/>
          </w:tcPr>
          <w:p>
            <w:pPr>
              <w:ind w:left="100"/>
              <w:spacing w:after="0"/>
              <w:rPr>
                <w:sz w:val="20"/>
                <w:szCs w:val="20"/>
                <w:color w:val="auto"/>
              </w:rPr>
            </w:pPr>
            <w:r>
              <w:rPr>
                <w:rFonts w:ascii="Arial" w:cs="Arial" w:eastAsia="Arial" w:hAnsi="Arial"/>
                <w:sz w:val="20"/>
                <w:szCs w:val="20"/>
                <w:color w:val="auto"/>
              </w:rPr>
              <w:t>Segment profit</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757</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703</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715</w:t>
            </w:r>
          </w:p>
        </w:tc>
      </w:tr>
      <w:tr>
        <w:trPr>
          <w:trHeight w:val="270"/>
        </w:trPr>
        <w:tc>
          <w:tcPr>
            <w:tcW w:w="280" w:type="dxa"/>
            <w:vAlign w:val="bottom"/>
            <w:shd w:val="clear" w:color="auto" w:fill="FEFEFE"/>
          </w:tcPr>
          <w:p>
            <w:pPr>
              <w:ind w:left="180"/>
              <w:spacing w:after="0"/>
              <w:rPr>
                <w:sz w:val="20"/>
                <w:szCs w:val="20"/>
                <w:color w:val="auto"/>
              </w:rPr>
            </w:pPr>
            <w:r>
              <w:rPr>
                <w:rFonts w:ascii="Arial" w:cs="Arial" w:eastAsia="Arial" w:hAnsi="Arial"/>
                <w:sz w:val="20"/>
                <w:szCs w:val="20"/>
                <w:color w:val="auto"/>
                <w:w w:val="79"/>
              </w:rPr>
              <w:t>J</w:t>
            </w:r>
          </w:p>
        </w:tc>
        <w:tc>
          <w:tcPr>
            <w:tcW w:w="6000" w:type="dxa"/>
            <w:vAlign w:val="bottom"/>
            <w:gridSpan w:val="2"/>
            <w:shd w:val="clear" w:color="auto" w:fill="FEFEFE"/>
          </w:tcPr>
          <w:p>
            <w:pPr>
              <w:ind w:left="200"/>
              <w:spacing w:after="0"/>
              <w:rPr>
                <w:sz w:val="20"/>
                <w:szCs w:val="20"/>
                <w:color w:val="auto"/>
              </w:rPr>
            </w:pPr>
            <w:r>
              <w:rPr>
                <w:rFonts w:ascii="Arial" w:cs="Arial" w:eastAsia="Arial" w:hAnsi="Arial"/>
                <w:sz w:val="20"/>
                <w:szCs w:val="20"/>
                <w:color w:val="auto"/>
              </w:rPr>
              <w:t>International</w:t>
            </w:r>
          </w:p>
        </w:tc>
        <w:tc>
          <w:tcPr>
            <w:tcW w:w="140" w:type="dxa"/>
            <w:vAlign w:val="bottom"/>
            <w:shd w:val="clear" w:color="auto" w:fill="FEFEFE"/>
          </w:tcPr>
          <w:p>
            <w:pPr>
              <w:spacing w:after="0"/>
              <w:rPr>
                <w:sz w:val="23"/>
                <w:szCs w:val="23"/>
                <w:color w:val="auto"/>
              </w:rPr>
            </w:pPr>
          </w:p>
        </w:tc>
        <w:tc>
          <w:tcPr>
            <w:tcW w:w="1100" w:type="dxa"/>
            <w:vAlign w:val="bottom"/>
            <w:shd w:val="clear" w:color="auto" w:fill="FEFEFE"/>
          </w:tcPr>
          <w:p>
            <w:pPr>
              <w:spacing w:after="0"/>
              <w:rPr>
                <w:sz w:val="23"/>
                <w:szCs w:val="23"/>
                <w:color w:val="auto"/>
              </w:rPr>
            </w:pPr>
          </w:p>
        </w:tc>
        <w:tc>
          <w:tcPr>
            <w:tcW w:w="260" w:type="dxa"/>
            <w:vAlign w:val="bottom"/>
            <w:shd w:val="clear" w:color="auto" w:fill="FEFEFE"/>
          </w:tcPr>
          <w:p>
            <w:pPr>
              <w:spacing w:after="0"/>
              <w:rPr>
                <w:sz w:val="23"/>
                <w:szCs w:val="23"/>
                <w:color w:val="auto"/>
              </w:rPr>
            </w:pPr>
          </w:p>
        </w:tc>
        <w:tc>
          <w:tcPr>
            <w:tcW w:w="1160" w:type="dxa"/>
            <w:vAlign w:val="bottom"/>
            <w:shd w:val="clear" w:color="auto" w:fill="FEFEFE"/>
          </w:tcPr>
          <w:p>
            <w:pPr>
              <w:spacing w:after="0"/>
              <w:rPr>
                <w:sz w:val="23"/>
                <w:szCs w:val="23"/>
                <w:color w:val="auto"/>
              </w:rPr>
            </w:pPr>
          </w:p>
        </w:tc>
        <w:tc>
          <w:tcPr>
            <w:tcW w:w="160" w:type="dxa"/>
            <w:vAlign w:val="bottom"/>
            <w:shd w:val="clear" w:color="auto" w:fill="FEFEFE"/>
          </w:tcPr>
          <w:p>
            <w:pPr>
              <w:spacing w:after="0"/>
              <w:rPr>
                <w:sz w:val="23"/>
                <w:szCs w:val="23"/>
                <w:color w:val="auto"/>
              </w:rPr>
            </w:pPr>
          </w:p>
        </w:tc>
        <w:tc>
          <w:tcPr>
            <w:tcW w:w="960" w:type="dxa"/>
            <w:vAlign w:val="bottom"/>
            <w:shd w:val="clear" w:color="auto" w:fill="FEFEFE"/>
          </w:tcPr>
          <w:p>
            <w:pPr>
              <w:spacing w:after="0"/>
              <w:rPr>
                <w:sz w:val="23"/>
                <w:szCs w:val="23"/>
                <w:color w:val="auto"/>
              </w:rPr>
            </w:pPr>
          </w:p>
        </w:tc>
        <w:tc>
          <w:tcPr>
            <w:tcW w:w="180" w:type="dxa"/>
            <w:vAlign w:val="bottom"/>
            <w:shd w:val="clear" w:color="auto" w:fill="FEFEFE"/>
          </w:tcPr>
          <w:p>
            <w:pPr>
              <w:spacing w:after="0"/>
              <w:rPr>
                <w:sz w:val="23"/>
                <w:szCs w:val="23"/>
                <w:color w:val="auto"/>
              </w:rPr>
            </w:pPr>
          </w:p>
        </w:tc>
      </w:tr>
      <w:tr>
        <w:trPr>
          <w:trHeight w:val="290"/>
        </w:trPr>
        <w:tc>
          <w:tcPr>
            <w:tcW w:w="280" w:type="dxa"/>
            <w:vAlign w:val="bottom"/>
            <w:shd w:val="clear" w:color="auto" w:fill="E4E4E4"/>
          </w:tcPr>
          <w:p>
            <w:pPr>
              <w:spacing w:after="0"/>
              <w:rPr>
                <w:sz w:val="24"/>
                <w:szCs w:val="24"/>
                <w:color w:val="auto"/>
              </w:rPr>
            </w:pPr>
          </w:p>
        </w:tc>
        <w:tc>
          <w:tcPr>
            <w:tcW w:w="600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7,986</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7,181</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6,768</w:t>
            </w:r>
          </w:p>
        </w:tc>
      </w:tr>
      <w:tr>
        <w:trPr>
          <w:trHeight w:val="275"/>
        </w:trPr>
        <w:tc>
          <w:tcPr>
            <w:tcW w:w="6280" w:type="dxa"/>
            <w:vAlign w:val="bottom"/>
            <w:tcBorders>
              <w:bottom w:val="single" w:sz="8" w:color="auto"/>
            </w:tcBorders>
            <w:gridSpan w:val="3"/>
            <w:shd w:val="clear" w:color="auto" w:fill="FEFEFE"/>
          </w:tcPr>
          <w:p>
            <w:pPr>
              <w:ind w:left="260"/>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(a)</w:t>
            </w:r>
          </w:p>
        </w:tc>
        <w:tc>
          <w:tcPr>
            <w:tcW w:w="140" w:type="dxa"/>
            <w:vAlign w:val="bottom"/>
            <w:tcBorders>
              <w:bottom w:val="single" w:sz="8" w:color="auto"/>
            </w:tcBorders>
            <w:shd w:val="clear" w:color="auto" w:fill="FEFEFE"/>
          </w:tcPr>
          <w:p>
            <w:pPr>
              <w:spacing w:after="0"/>
              <w:rPr>
                <w:sz w:val="23"/>
                <w:szCs w:val="23"/>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7,428</w:t>
            </w:r>
          </w:p>
        </w:tc>
        <w:tc>
          <w:tcPr>
            <w:tcW w:w="260" w:type="dxa"/>
            <w:vAlign w:val="bottom"/>
            <w:tcBorders>
              <w:bottom w:val="single" w:sz="8" w:color="auto"/>
            </w:tcBorders>
            <w:shd w:val="clear" w:color="auto" w:fill="FEFEFE"/>
          </w:tcPr>
          <w:p>
            <w:pPr>
              <w:spacing w:after="0"/>
              <w:rPr>
                <w:sz w:val="23"/>
                <w:szCs w:val="23"/>
                <w:color w:val="auto"/>
              </w:rPr>
            </w:pPr>
          </w:p>
        </w:tc>
        <w:tc>
          <w:tcPr>
            <w:tcW w:w="116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6,75</w:t>
            </w:r>
          </w:p>
        </w:tc>
        <w:tc>
          <w:tcPr>
            <w:tcW w:w="160" w:type="dxa"/>
            <w:vAlign w:val="bottom"/>
            <w:tcBorders>
              <w:bottom w:val="single" w:sz="8" w:color="auto"/>
            </w:tcBorders>
            <w:shd w:val="clear" w:color="auto" w:fill="FEFEFE"/>
          </w:tcPr>
          <w:p>
            <w:pPr>
              <w:spacing w:after="0"/>
              <w:rPr>
                <w:sz w:val="23"/>
                <w:szCs w:val="23"/>
                <w:color w:val="auto"/>
              </w:rPr>
            </w:pP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6,436</w:t>
            </w:r>
          </w:p>
        </w:tc>
      </w:tr>
      <w:tr>
        <w:trPr>
          <w:trHeight w:val="280"/>
        </w:trPr>
        <w:tc>
          <w:tcPr>
            <w:tcW w:w="280" w:type="dxa"/>
            <w:vAlign w:val="bottom"/>
            <w:tcBorders>
              <w:bottom w:val="single" w:sz="8" w:color="auto"/>
            </w:tcBorders>
            <w:shd w:val="clear" w:color="auto" w:fill="E4E4E4"/>
          </w:tcPr>
          <w:p>
            <w:pPr>
              <w:spacing w:after="0"/>
              <w:rPr>
                <w:sz w:val="24"/>
                <w:szCs w:val="24"/>
                <w:color w:val="auto"/>
              </w:rPr>
            </w:pPr>
          </w:p>
        </w:tc>
        <w:tc>
          <w:tcPr>
            <w:tcW w:w="6000" w:type="dxa"/>
            <w:vAlign w:val="bottom"/>
            <w:tcBorders>
              <w:bottom w:val="single" w:sz="8" w:color="auto"/>
            </w:tcBorders>
            <w:gridSpan w:val="2"/>
            <w:shd w:val="clear" w:color="auto" w:fill="E4E4E4"/>
          </w:tcPr>
          <w:p>
            <w:pPr>
              <w:ind w:left="100"/>
              <w:spacing w:after="0"/>
              <w:rPr>
                <w:sz w:val="20"/>
                <w:szCs w:val="20"/>
                <w:color w:val="auto"/>
              </w:rPr>
            </w:pPr>
            <w:r>
              <w:rPr>
                <w:rFonts w:ascii="Arial" w:cs="Arial" w:eastAsia="Arial" w:hAnsi="Arial"/>
                <w:sz w:val="20"/>
                <w:szCs w:val="20"/>
                <w:color w:val="auto"/>
              </w:rPr>
              <w:t>Segment profit</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558</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422</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332</w:t>
            </w:r>
          </w:p>
        </w:tc>
      </w:tr>
      <w:tr>
        <w:trPr>
          <w:trHeight w:val="270"/>
        </w:trPr>
        <w:tc>
          <w:tcPr>
            <w:tcW w:w="680" w:type="dxa"/>
            <w:vAlign w:val="bottom"/>
            <w:tcBorders>
              <w:bottom w:val="single" w:sz="8" w:color="FEFEFE"/>
            </w:tcBorders>
            <w:gridSpan w:val="2"/>
            <w:shd w:val="clear" w:color="auto" w:fill="FEFEFE"/>
          </w:tcPr>
          <w:p>
            <w:pPr>
              <w:ind w:left="180"/>
              <w:spacing w:after="0"/>
              <w:rPr>
                <w:sz w:val="20"/>
                <w:szCs w:val="20"/>
                <w:color w:val="auto"/>
              </w:rPr>
            </w:pPr>
            <w:r>
              <w:rPr>
                <w:rFonts w:ascii="Arial" w:cs="Arial" w:eastAsia="Arial" w:hAnsi="Arial"/>
                <w:sz w:val="20"/>
                <w:szCs w:val="20"/>
                <w:color w:val="auto"/>
              </w:rPr>
              <w:t>otal</w:t>
            </w:r>
          </w:p>
        </w:tc>
        <w:tc>
          <w:tcPr>
            <w:tcW w:w="560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20"/>
                <w:szCs w:val="20"/>
                <w:color w:val="auto"/>
              </w:rPr>
              <w:t>J</w:t>
            </w:r>
          </w:p>
        </w:tc>
        <w:tc>
          <w:tcPr>
            <w:tcW w:w="140" w:type="dxa"/>
            <w:vAlign w:val="bottom"/>
            <w:tcBorders>
              <w:bottom w:val="single" w:sz="8" w:color="FEFEFE"/>
            </w:tcBorders>
            <w:shd w:val="clear" w:color="auto" w:fill="FEFEFE"/>
          </w:tcPr>
          <w:p>
            <w:pPr>
              <w:spacing w:after="0"/>
              <w:rPr>
                <w:sz w:val="23"/>
                <w:szCs w:val="23"/>
                <w:color w:val="auto"/>
              </w:rPr>
            </w:pPr>
          </w:p>
        </w:tc>
        <w:tc>
          <w:tcPr>
            <w:tcW w:w="1100" w:type="dxa"/>
            <w:vAlign w:val="bottom"/>
            <w:tcBorders>
              <w:bottom w:val="single" w:sz="8" w:color="FEFEFE"/>
            </w:tcBorders>
            <w:shd w:val="clear" w:color="auto" w:fill="FEFEFE"/>
          </w:tcPr>
          <w:p>
            <w:pPr>
              <w:spacing w:after="0"/>
              <w:rPr>
                <w:sz w:val="23"/>
                <w:szCs w:val="23"/>
                <w:color w:val="auto"/>
              </w:rPr>
            </w:pPr>
          </w:p>
        </w:tc>
        <w:tc>
          <w:tcPr>
            <w:tcW w:w="260" w:type="dxa"/>
            <w:vAlign w:val="bottom"/>
            <w:tcBorders>
              <w:bottom w:val="single" w:sz="8" w:color="FEFEFE"/>
            </w:tcBorders>
            <w:shd w:val="clear" w:color="auto" w:fill="FEFEFE"/>
          </w:tcPr>
          <w:p>
            <w:pPr>
              <w:spacing w:after="0"/>
              <w:rPr>
                <w:sz w:val="23"/>
                <w:szCs w:val="23"/>
                <w:color w:val="auto"/>
              </w:rPr>
            </w:pPr>
          </w:p>
        </w:tc>
        <w:tc>
          <w:tcPr>
            <w:tcW w:w="1160" w:type="dxa"/>
            <w:vAlign w:val="bottom"/>
            <w:tcBorders>
              <w:bottom w:val="single" w:sz="8" w:color="FEFEFE"/>
            </w:tcBorders>
            <w:shd w:val="clear" w:color="auto" w:fill="FEFEFE"/>
          </w:tcPr>
          <w:p>
            <w:pPr>
              <w:spacing w:after="0"/>
              <w:rPr>
                <w:sz w:val="23"/>
                <w:szCs w:val="23"/>
                <w:color w:val="auto"/>
              </w:rPr>
            </w:pPr>
          </w:p>
        </w:tc>
        <w:tc>
          <w:tcPr>
            <w:tcW w:w="160" w:type="dxa"/>
            <w:vAlign w:val="bottom"/>
            <w:tcBorders>
              <w:bottom w:val="single" w:sz="8" w:color="FEFEFE"/>
            </w:tcBorders>
            <w:shd w:val="clear" w:color="auto" w:fill="FEFEFE"/>
          </w:tcPr>
          <w:p>
            <w:pPr>
              <w:spacing w:after="0"/>
              <w:rPr>
                <w:sz w:val="23"/>
                <w:szCs w:val="23"/>
                <w:color w:val="auto"/>
              </w:rPr>
            </w:pPr>
          </w:p>
        </w:tc>
        <w:tc>
          <w:tcPr>
            <w:tcW w:w="960" w:type="dxa"/>
            <w:vAlign w:val="bottom"/>
            <w:tcBorders>
              <w:bottom w:val="single" w:sz="8" w:color="FEFEFE"/>
            </w:tcBorders>
            <w:shd w:val="clear" w:color="auto" w:fill="FEFEFE"/>
          </w:tcPr>
          <w:p>
            <w:pPr>
              <w:spacing w:after="0"/>
              <w:rPr>
                <w:sz w:val="23"/>
                <w:szCs w:val="23"/>
                <w:color w:val="auto"/>
              </w:rPr>
            </w:pPr>
          </w:p>
        </w:tc>
        <w:tc>
          <w:tcPr>
            <w:tcW w:w="180" w:type="dxa"/>
            <w:vAlign w:val="bottom"/>
            <w:tcBorders>
              <w:bottom w:val="single" w:sz="8" w:color="FEFEFE"/>
            </w:tcBorders>
            <w:shd w:val="clear" w:color="auto" w:fill="FEFEFE"/>
          </w:tcPr>
          <w:p>
            <w:pPr>
              <w:spacing w:after="0"/>
              <w:rPr>
                <w:sz w:val="23"/>
                <w:szCs w:val="23"/>
                <w:color w:val="auto"/>
              </w:rPr>
            </w:pPr>
          </w:p>
        </w:tc>
      </w:tr>
      <w:tr>
        <w:trPr>
          <w:trHeight w:val="300"/>
        </w:trPr>
        <w:tc>
          <w:tcPr>
            <w:tcW w:w="280" w:type="dxa"/>
            <w:vAlign w:val="bottom"/>
            <w:shd w:val="clear" w:color="auto" w:fill="E4E4E4"/>
          </w:tcPr>
          <w:p>
            <w:pPr>
              <w:spacing w:after="0"/>
              <w:rPr>
                <w:sz w:val="24"/>
                <w:szCs w:val="24"/>
                <w:color w:val="auto"/>
              </w:rPr>
            </w:pPr>
          </w:p>
        </w:tc>
        <w:tc>
          <w:tcPr>
            <w:tcW w:w="6000" w:type="dxa"/>
            <w:vAlign w:val="bottom"/>
            <w:gridSpan w:val="2"/>
            <w:shd w:val="clear" w:color="auto" w:fill="E4E4E4"/>
          </w:tcPr>
          <w:p>
            <w:pPr>
              <w:spacing w:after="0"/>
              <w:rPr>
                <w:sz w:val="20"/>
                <w:szCs w:val="20"/>
                <w:color w:val="auto"/>
              </w:rPr>
            </w:pPr>
            <w:r>
              <w:rPr>
                <w:rFonts w:ascii="Arial" w:cs="Arial" w:eastAsia="Arial" w:hAnsi="Arial"/>
                <w:sz w:val="20"/>
                <w:szCs w:val="20"/>
                <w:color w:val="auto"/>
              </w:rPr>
              <w:t>Net sales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60,372</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56,360</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54,217</w:t>
            </w:r>
          </w:p>
        </w:tc>
      </w:tr>
      <w:tr>
        <w:trPr>
          <w:trHeight w:val="290"/>
        </w:trPr>
        <w:tc>
          <w:tcPr>
            <w:tcW w:w="280" w:type="dxa"/>
            <w:vAlign w:val="bottom"/>
            <w:tcBorders>
              <w:bottom w:val="single" w:sz="8" w:color="auto"/>
            </w:tcBorders>
            <w:shd w:val="clear" w:color="auto" w:fill="FEFEFE"/>
          </w:tcPr>
          <w:p>
            <w:pPr>
              <w:spacing w:after="0"/>
              <w:rPr>
                <w:sz w:val="24"/>
                <w:szCs w:val="24"/>
                <w:color w:val="auto"/>
              </w:rPr>
            </w:pPr>
          </w:p>
        </w:tc>
        <w:tc>
          <w:tcPr>
            <w:tcW w:w="6000" w:type="dxa"/>
            <w:vAlign w:val="bottom"/>
            <w:tcBorders>
              <w:bottom w:val="single" w:sz="8" w:color="auto"/>
            </w:tcBorders>
            <w:gridSpan w:val="2"/>
            <w:shd w:val="clear" w:color="auto" w:fill="FEFEFE"/>
          </w:tcPr>
          <w:p>
            <w:pPr>
              <w:spacing w:after="0"/>
              <w:rPr>
                <w:sz w:val="20"/>
                <w:szCs w:val="20"/>
                <w:color w:val="auto"/>
              </w:rPr>
            </w:pPr>
            <w:r>
              <w:rPr>
                <w:rFonts w:ascii="Arial" w:cs="Arial" w:eastAsia="Arial" w:hAnsi="Arial"/>
                <w:sz w:val="20"/>
                <w:szCs w:val="20"/>
                <w:color w:val="auto"/>
              </w:rPr>
              <w:t>Segment expenses</w:t>
            </w:r>
            <w:r>
              <w:rPr>
                <w:rFonts w:ascii="Arial" w:cs="Arial" w:eastAsia="Arial" w:hAnsi="Arial"/>
                <w:sz w:val="13"/>
                <w:szCs w:val="13"/>
                <w:color w:val="auto"/>
              </w:rPr>
              <w:t>(a)</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52,283</w:t>
            </w:r>
          </w:p>
        </w:tc>
        <w:tc>
          <w:tcPr>
            <w:tcW w:w="2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ind w:right="100"/>
              <w:spacing w:after="0"/>
              <w:rPr>
                <w:sz w:val="20"/>
                <w:szCs w:val="20"/>
                <w:color w:val="auto"/>
              </w:rPr>
            </w:pPr>
            <w:r>
              <w:rPr>
                <w:rFonts w:ascii="Arial" w:cs="Arial" w:eastAsia="Arial" w:hAnsi="Arial"/>
                <w:sz w:val="20"/>
                <w:szCs w:val="20"/>
                <w:color w:val="auto"/>
              </w:rPr>
              <w:t>4 ,31</w:t>
            </w: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47,712</w:t>
            </w:r>
          </w:p>
        </w:tc>
      </w:tr>
      <w:tr>
        <w:trPr>
          <w:trHeight w:val="280"/>
        </w:trPr>
        <w:tc>
          <w:tcPr>
            <w:tcW w:w="280" w:type="dxa"/>
            <w:vAlign w:val="bottom"/>
            <w:tcBorders>
              <w:bottom w:val="single" w:sz="8" w:color="auto"/>
            </w:tcBorders>
            <w:shd w:val="clear" w:color="auto" w:fill="E4E4E4"/>
          </w:tcPr>
          <w:p>
            <w:pPr>
              <w:spacing w:after="0"/>
              <w:rPr>
                <w:sz w:val="24"/>
                <w:szCs w:val="24"/>
                <w:color w:val="auto"/>
              </w:rPr>
            </w:pPr>
          </w:p>
        </w:tc>
        <w:tc>
          <w:tcPr>
            <w:tcW w:w="6000" w:type="dxa"/>
            <w:vAlign w:val="bottom"/>
            <w:tcBorders>
              <w:bottom w:val="single" w:sz="8" w:color="auto"/>
            </w:tcBorders>
            <w:gridSpan w:val="2"/>
            <w:shd w:val="clear" w:color="auto" w:fill="E4E4E4"/>
          </w:tcPr>
          <w:p>
            <w:pPr>
              <w:ind w:left="120"/>
              <w:spacing w:after="0"/>
              <w:rPr>
                <w:sz w:val="20"/>
                <w:szCs w:val="20"/>
                <w:color w:val="auto"/>
              </w:rPr>
            </w:pPr>
            <w:r>
              <w:rPr>
                <w:rFonts w:ascii="Arial" w:cs="Arial" w:eastAsia="Arial" w:hAnsi="Arial"/>
                <w:sz w:val="20"/>
                <w:szCs w:val="20"/>
                <w:color w:val="auto"/>
              </w:rPr>
              <w:t>Segment profit</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8,089</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7,041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6,505</w:t>
            </w:r>
          </w:p>
        </w:tc>
      </w:tr>
      <w:tr>
        <w:trPr>
          <w:trHeight w:val="284"/>
        </w:trPr>
        <w:tc>
          <w:tcPr>
            <w:tcW w:w="280" w:type="dxa"/>
            <w:vAlign w:val="bottom"/>
            <w:shd w:val="clear" w:color="auto" w:fill="FEFEFE"/>
          </w:tcPr>
          <w:p>
            <w:pPr>
              <w:spacing w:after="0"/>
              <w:rPr>
                <w:sz w:val="24"/>
                <w:szCs w:val="24"/>
                <w:color w:val="auto"/>
              </w:rPr>
            </w:pPr>
          </w:p>
        </w:tc>
        <w:tc>
          <w:tcPr>
            <w:tcW w:w="6000" w:type="dxa"/>
            <w:vAlign w:val="bottom"/>
            <w:gridSpan w:val="2"/>
            <w:shd w:val="clear" w:color="auto" w:fill="FEFEFE"/>
          </w:tcPr>
          <w:p>
            <w:pPr>
              <w:ind w:left="20"/>
              <w:spacing w:after="0"/>
              <w:rPr>
                <w:sz w:val="20"/>
                <w:szCs w:val="20"/>
                <w:color w:val="auto"/>
              </w:rPr>
            </w:pPr>
            <w:r>
              <w:rPr>
                <w:rFonts w:ascii="Arial" w:cs="Arial" w:eastAsia="Arial" w:hAnsi="Arial"/>
                <w:sz w:val="20"/>
                <w:szCs w:val="20"/>
                <w:color w:val="auto"/>
              </w:rPr>
              <w:t>eneral corporate expense</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911</w:t>
            </w:r>
          </w:p>
        </w:tc>
        <w:tc>
          <w:tcPr>
            <w:tcW w:w="260" w:type="dxa"/>
            <w:vAlign w:val="bottom"/>
            <w:shd w:val="clear" w:color="auto" w:fill="FEFEFE"/>
          </w:tcPr>
          <w:p>
            <w:pPr>
              <w:spacing w:after="0"/>
              <w:rPr>
                <w:sz w:val="24"/>
                <w:szCs w:val="24"/>
                <w:color w:val="auto"/>
              </w:rPr>
            </w:pPr>
          </w:p>
        </w:tc>
        <w:tc>
          <w:tcPr>
            <w:tcW w:w="1160" w:type="dxa"/>
            <w:vAlign w:val="bottom"/>
            <w:shd w:val="clear" w:color="auto" w:fill="FEFEFE"/>
          </w:tcPr>
          <w:p>
            <w:pPr>
              <w:jc w:val="right"/>
              <w:ind w:right="100"/>
              <w:spacing w:after="0"/>
              <w:rPr>
                <w:sz w:val="20"/>
                <w:szCs w:val="20"/>
                <w:color w:val="auto"/>
              </w:rPr>
            </w:pPr>
            <w:r>
              <w:rPr>
                <w:rFonts w:ascii="Arial" w:cs="Arial" w:eastAsia="Arial" w:hAnsi="Arial"/>
                <w:sz w:val="20"/>
                <w:szCs w:val="20"/>
                <w:color w:val="auto"/>
              </w:rPr>
              <w:t>73</w:t>
            </w:r>
          </w:p>
        </w:tc>
        <w:tc>
          <w:tcPr>
            <w:tcW w:w="160" w:type="dxa"/>
            <w:vAlign w:val="bottom"/>
            <w:shd w:val="clear" w:color="auto" w:fill="FEFEFE"/>
          </w:tcPr>
          <w:p>
            <w:pPr>
              <w:spacing w:after="0"/>
              <w:rPr>
                <w:sz w:val="24"/>
                <w:szCs w:val="24"/>
                <w:color w:val="auto"/>
              </w:rPr>
            </w:pPr>
          </w:p>
        </w:tc>
        <w:tc>
          <w:tcPr>
            <w:tcW w:w="114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708</w:t>
            </w:r>
          </w:p>
        </w:tc>
      </w:tr>
      <w:tr>
        <w:trPr>
          <w:trHeight w:val="296"/>
        </w:trPr>
        <w:tc>
          <w:tcPr>
            <w:tcW w:w="6280" w:type="dxa"/>
            <w:vAlign w:val="bottom"/>
            <w:tcBorders>
              <w:bottom w:val="single" w:sz="8" w:color="auto"/>
            </w:tcBorders>
            <w:gridSpan w:val="3"/>
            <w:shd w:val="clear" w:color="auto" w:fill="E4E4E4"/>
          </w:tcPr>
          <w:p>
            <w:pPr>
              <w:ind w:left="160"/>
              <w:spacing w:after="0"/>
              <w:rPr>
                <w:sz w:val="20"/>
                <w:szCs w:val="20"/>
                <w:color w:val="auto"/>
              </w:rPr>
            </w:pPr>
            <w:r>
              <w:rPr>
                <w:rFonts w:ascii="Arial" w:cs="Arial" w:eastAsia="Arial" w:hAnsi="Arial"/>
                <w:sz w:val="20"/>
                <w:szCs w:val="20"/>
                <w:color w:val="auto"/>
              </w:rPr>
              <w:t>Interest (income) expense, net</w:t>
            </w: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121</w:t>
            </w:r>
          </w:p>
        </w:tc>
        <w:tc>
          <w:tcPr>
            <w:tcW w:w="26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(181)</w:t>
            </w:r>
          </w:p>
        </w:tc>
        <w:tc>
          <w:tcPr>
            <w:tcW w:w="16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(170)</w:t>
            </w:r>
          </w:p>
        </w:tc>
      </w:tr>
      <w:tr>
        <w:trPr>
          <w:trHeight w:val="295"/>
        </w:trPr>
        <w:tc>
          <w:tcPr>
            <w:tcW w:w="280" w:type="dxa"/>
            <w:vAlign w:val="bottom"/>
            <w:tcBorders>
              <w:bottom w:val="single" w:sz="8" w:color="auto"/>
            </w:tcBorders>
            <w:shd w:val="clear" w:color="auto" w:fill="FEFEFE"/>
          </w:tcPr>
          <w:p>
            <w:pPr>
              <w:spacing w:after="0"/>
              <w:rPr>
                <w:sz w:val="24"/>
                <w:szCs w:val="24"/>
                <w:color w:val="auto"/>
              </w:rPr>
            </w:pPr>
          </w:p>
        </w:tc>
        <w:tc>
          <w:tcPr>
            <w:tcW w:w="6000" w:type="dxa"/>
            <w:vAlign w:val="bottom"/>
            <w:tcBorders>
              <w:bottom w:val="single" w:sz="8" w:color="auto"/>
            </w:tcBorders>
            <w:gridSpan w:val="2"/>
            <w:shd w:val="clear" w:color="auto" w:fill="FEFEFE"/>
          </w:tcPr>
          <w:p>
            <w:pPr>
              <w:spacing w:after="0"/>
              <w:rPr>
                <w:sz w:val="20"/>
                <w:szCs w:val="20"/>
                <w:color w:val="auto"/>
              </w:rPr>
            </w:pPr>
            <w:r>
              <w:rPr>
                <w:rFonts w:ascii="Arial" w:cs="Arial" w:eastAsia="Arial" w:hAnsi="Arial"/>
                <w:sz w:val="20"/>
                <w:szCs w:val="20"/>
                <w:color w:val="auto"/>
              </w:rPr>
              <w:t>Income before income taxes</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7,299</w:t>
            </w:r>
          </w:p>
        </w:tc>
        <w:tc>
          <w:tcPr>
            <w:tcW w:w="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6,483</w:t>
            </w:r>
          </w:p>
        </w:tc>
        <w:tc>
          <w:tcPr>
            <w:tcW w:w="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5, 67</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left="370" w:right="200" w:hanging="370"/>
        <w:spacing w:after="0" w:line="270" w:lineRule="auto"/>
        <w:tabs>
          <w:tab w:leader="none" w:pos="3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Segment expenses for each reportable segment include cost of sales and selling, general and administrative expenses. Cost of sales includes buying and occupancy costs, cost of merchandise sold, and other expenses. Selling, general and administrative expenses include store payroll and benefit costs, communication costs, and other expenses. efer to Note A - Basis of Presentation and Summary of Accounting Principles for more information on the classifications.</w:t>
      </w:r>
    </w:p>
    <w:p>
      <w:pPr>
        <w:sectPr>
          <w:pgSz w:w="12240" w:h="15841" w:orient="portrait"/>
          <w:cols w:equalWidth="0" w:num="1">
            <w:col w:w="10250"/>
          </w:cols>
          <w:pgMar w:left="990" w:top="79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F-23</w:t>
      </w:r>
    </w:p>
    <w:p>
      <w:pPr>
        <w:sectPr>
          <w:pgSz w:w="12240" w:h="15841" w:orient="portrait"/>
          <w:cols w:equalWidth="0" w:num="1">
            <w:col w:w="10250"/>
          </w:cols>
          <w:pgMar w:left="990" w:top="792" w:right="1001" w:bottom="0" w:gutter="0" w:footer="0" w:header="0"/>
          <w:type w:val="continuous"/>
        </w:sectPr>
      </w:pPr>
    </w:p>
    <w:bookmarkStart w:id="79" w:name="page80"/>
    <w:bookmarkEnd w:id="79"/>
    <w:tbl>
      <w:tblPr>
        <w:tblLayout w:type="fixed"/>
        <w:tblInd w:w="10" w:type="dxa"/>
        <w:tblCellMar>
          <w:top w:w="0" w:type="dxa"/>
          <w:left w:w="0" w:type="dxa"/>
          <w:bottom w:w="0" w:type="dxa"/>
          <w:right w:w="0" w:type="dxa"/>
        </w:tblCellMar>
      </w:tblPr>
      <w:tr>
        <w:trPr>
          <w:trHeight w:val="261"/>
        </w:trPr>
        <w:tc>
          <w:tcPr>
            <w:tcW w:w="6300" w:type="dxa"/>
            <w:vAlign w:val="bottom"/>
          </w:tcPr>
          <w:p>
            <w:pPr>
              <w:spacing w:after="0"/>
              <w:rPr>
                <w:sz w:val="20"/>
                <w:szCs w:val="20"/>
                <w:color w:val="auto"/>
              </w:rPr>
            </w:pPr>
            <w:r>
              <w:rPr>
                <w:rFonts w:ascii="Arial" w:cs="Arial" w:eastAsia="Arial" w:hAnsi="Arial"/>
                <w:sz w:val="20"/>
                <w:szCs w:val="20"/>
                <w:color w:val="auto"/>
              </w:rPr>
              <w:t>Segment information (continued):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31"/>
        </w:trPr>
        <w:tc>
          <w:tcPr>
            <w:tcW w:w="6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4"/>
                <w:szCs w:val="24"/>
                <w:color w:val="auto"/>
              </w:rPr>
            </w:pPr>
          </w:p>
        </w:tc>
      </w:tr>
      <w:tr>
        <w:trPr>
          <w:trHeight w:val="212"/>
        </w:trPr>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40" w:type="dxa"/>
            <w:vAlign w:val="bottom"/>
          </w:tcPr>
          <w:p>
            <w:pPr>
              <w:jc w:val="center"/>
              <w:ind w:right="60"/>
              <w:spacing w:after="0" w:line="212" w:lineRule="exact"/>
              <w:rPr>
                <w:sz w:val="20"/>
                <w:szCs w:val="20"/>
                <w:color w:val="auto"/>
              </w:rPr>
            </w:pPr>
            <w:r>
              <w:rPr>
                <w:rFonts w:ascii="Arial" w:cs="Arial" w:eastAsia="Arial" w:hAnsi="Arial"/>
                <w:sz w:val="20"/>
                <w:szCs w:val="20"/>
                <w:color w:val="auto"/>
                <w:w w:val="91"/>
              </w:rPr>
              <w:t>February 1,</w:t>
            </w:r>
          </w:p>
        </w:tc>
        <w:tc>
          <w:tcPr>
            <w:tcW w:w="180" w:type="dxa"/>
            <w:vAlign w:val="bottom"/>
          </w:tcPr>
          <w:p>
            <w:pPr>
              <w:spacing w:after="0"/>
              <w:rPr>
                <w:sz w:val="18"/>
                <w:szCs w:val="18"/>
                <w:color w:val="auto"/>
              </w:rPr>
            </w:pPr>
          </w:p>
        </w:tc>
        <w:tc>
          <w:tcPr>
            <w:tcW w:w="116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2024</w:t>
            </w:r>
          </w:p>
        </w:tc>
      </w:tr>
      <w:tr>
        <w:trPr>
          <w:trHeight w:val="275"/>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Identifiable assets:</w:t>
            </w:r>
          </w:p>
        </w:tc>
        <w:tc>
          <w:tcPr>
            <w:tcW w:w="140" w:type="dxa"/>
            <w:vAlign w:val="bottom"/>
            <w:shd w:val="clear" w:color="auto" w:fill="E4E4E4"/>
          </w:tcPr>
          <w:p>
            <w:pPr>
              <w:spacing w:after="0"/>
              <w:rPr>
                <w:sz w:val="23"/>
                <w:szCs w:val="23"/>
                <w:color w:val="auto"/>
              </w:rPr>
            </w:pPr>
          </w:p>
        </w:tc>
        <w:tc>
          <w:tcPr>
            <w:tcW w:w="1100" w:type="dxa"/>
            <w:vAlign w:val="bottom"/>
            <w:shd w:val="clear" w:color="auto" w:fill="E4E4E4"/>
          </w:tcPr>
          <w:p>
            <w:pPr>
              <w:spacing w:after="0"/>
              <w:rPr>
                <w:sz w:val="23"/>
                <w:szCs w:val="23"/>
                <w:color w:val="auto"/>
              </w:rPr>
            </w:pPr>
          </w:p>
        </w:tc>
        <w:tc>
          <w:tcPr>
            <w:tcW w:w="240" w:type="dxa"/>
            <w:vAlign w:val="bottom"/>
            <w:shd w:val="clear" w:color="auto" w:fill="E4E4E4"/>
          </w:tcPr>
          <w:p>
            <w:pPr>
              <w:spacing w:after="0"/>
              <w:rPr>
                <w:sz w:val="23"/>
                <w:szCs w:val="23"/>
                <w:color w:val="auto"/>
              </w:rPr>
            </w:pPr>
          </w:p>
        </w:tc>
        <w:tc>
          <w:tcPr>
            <w:tcW w:w="114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160" w:type="dxa"/>
            <w:vAlign w:val="bottom"/>
            <w:shd w:val="clear" w:color="auto" w:fill="E4E4E4"/>
          </w:tcPr>
          <w:p>
            <w:pPr>
              <w:spacing w:after="0"/>
              <w:rPr>
                <w:sz w:val="23"/>
                <w:szCs w:val="23"/>
                <w:color w:val="auto"/>
              </w:rPr>
            </w:pPr>
          </w:p>
        </w:tc>
      </w:tr>
      <w:tr>
        <w:trPr>
          <w:trHeight w:val="274"/>
        </w:trPr>
        <w:tc>
          <w:tcPr>
            <w:tcW w:w="6300" w:type="dxa"/>
            <w:vAlign w:val="bottom"/>
          </w:tcPr>
          <w:p>
            <w:pPr>
              <w:ind w:left="180"/>
              <w:spacing w:after="0"/>
              <w:rPr>
                <w:sz w:val="20"/>
                <w:szCs w:val="20"/>
                <w:color w:val="auto"/>
              </w:rPr>
            </w:pPr>
            <w:r>
              <w:rPr>
                <w:rFonts w:ascii="Arial" w:cs="Arial" w:eastAsia="Arial" w:hAnsi="Arial"/>
                <w:sz w:val="20"/>
                <w:szCs w:val="20"/>
                <w:color w:val="auto"/>
              </w:rPr>
              <w:t>nited States: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00"/>
        </w:trPr>
        <w:tc>
          <w:tcPr>
            <w:tcW w:w="63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armaxx</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15,789</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14,137</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12,  3</w:t>
            </w:r>
          </w:p>
        </w:tc>
      </w:tr>
      <w:tr>
        <w:trPr>
          <w:trHeight w:val="293"/>
        </w:trPr>
        <w:tc>
          <w:tcPr>
            <w:tcW w:w="6300" w:type="dxa"/>
            <w:vAlign w:val="bottom"/>
          </w:tcPr>
          <w:p>
            <w:pPr>
              <w:ind w:left="420"/>
              <w:spacing w:after="0"/>
              <w:rPr>
                <w:sz w:val="20"/>
                <w:szCs w:val="20"/>
                <w:color w:val="auto"/>
              </w:rPr>
            </w:pPr>
            <w:r>
              <w:rPr>
                <w:rFonts w:ascii="Arial" w:cs="Arial" w:eastAsia="Arial" w:hAnsi="Arial"/>
                <w:sz w:val="20"/>
                <w:szCs w:val="20"/>
                <w:color w:val="auto"/>
              </w:rPr>
              <w:t>ome  oods</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4,307</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4,037</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3,828</w:t>
            </w:r>
          </w:p>
        </w:tc>
      </w:tr>
      <w:tr>
        <w:trPr>
          <w:trHeight w:val="307"/>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TJX Canada</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2,485</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2,128</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2,083</w:t>
            </w:r>
          </w:p>
        </w:tc>
      </w:tr>
      <w:tr>
        <w:trPr>
          <w:trHeight w:val="290"/>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TJX International</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4,916</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4,243</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4,154</w:t>
            </w:r>
          </w:p>
        </w:tc>
      </w:tr>
      <w:tr>
        <w:trPr>
          <w:trHeight w:val="280"/>
        </w:trPr>
        <w:tc>
          <w:tcPr>
            <w:tcW w:w="63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Segment identifiable assets</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27,497</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24,545</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23,058</w:t>
            </w:r>
          </w:p>
        </w:tc>
      </w:tr>
      <w:tr>
        <w:trPr>
          <w:trHeight w:val="280"/>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Corporate</w:t>
            </w:r>
            <w:r>
              <w:rPr>
                <w:rFonts w:ascii="Arial" w:cs="Arial" w:eastAsia="Arial" w:hAnsi="Arial"/>
                <w:sz w:val="13"/>
                <w:szCs w:val="13"/>
                <w:color w:val="auto"/>
              </w:rPr>
              <w:t>(a)</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8,270</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7,204</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6,68</w:t>
            </w:r>
          </w:p>
        </w:tc>
      </w:tr>
      <w:tr>
        <w:trPr>
          <w:trHeight w:val="280"/>
        </w:trPr>
        <w:tc>
          <w:tcPr>
            <w:tcW w:w="6300" w:type="dxa"/>
            <w:vAlign w:val="bottom"/>
            <w:tcBorders>
              <w:bottom w:val="single" w:sz="8" w:color="auto"/>
            </w:tcBorders>
            <w:shd w:val="clear" w:color="auto" w:fill="E4E4E4"/>
          </w:tcPr>
          <w:p>
            <w:pPr>
              <w:ind w:left="500"/>
              <w:spacing w:after="0"/>
              <w:rPr>
                <w:sz w:val="20"/>
                <w:szCs w:val="20"/>
                <w:color w:val="auto"/>
              </w:rPr>
            </w:pPr>
            <w:r>
              <w:rPr>
                <w:rFonts w:ascii="Arial" w:cs="Arial" w:eastAsia="Arial" w:hAnsi="Arial"/>
                <w:sz w:val="20"/>
                <w:szCs w:val="20"/>
                <w:color w:val="auto"/>
              </w:rPr>
              <w:t>Total identifiable assets</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35,767</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ind w:right="80"/>
              <w:spacing w:after="0"/>
              <w:rPr>
                <w:sz w:val="20"/>
                <w:szCs w:val="20"/>
                <w:color w:val="auto"/>
              </w:rPr>
            </w:pPr>
            <w:r>
              <w:rPr>
                <w:rFonts w:ascii="Arial" w:cs="Arial" w:eastAsia="Arial" w:hAnsi="Arial"/>
                <w:sz w:val="20"/>
                <w:szCs w:val="20"/>
                <w:color w:val="auto"/>
              </w:rPr>
              <w:t>31,74</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2 ,747</w:t>
            </w:r>
          </w:p>
        </w:tc>
      </w:tr>
      <w:tr>
        <w:trPr>
          <w:trHeight w:val="269"/>
        </w:trPr>
        <w:tc>
          <w:tcPr>
            <w:tcW w:w="6300" w:type="dxa"/>
            <w:vAlign w:val="bottom"/>
          </w:tcPr>
          <w:p>
            <w:pPr>
              <w:ind w:left="40"/>
              <w:spacing w:after="0"/>
              <w:rPr>
                <w:sz w:val="20"/>
                <w:szCs w:val="20"/>
                <w:color w:val="auto"/>
              </w:rPr>
            </w:pPr>
            <w:r>
              <w:rPr>
                <w:rFonts w:ascii="Arial" w:cs="Arial" w:eastAsia="Arial" w:hAnsi="Arial"/>
                <w:sz w:val="20"/>
                <w:szCs w:val="20"/>
                <w:color w:val="auto"/>
              </w:rPr>
              <w:t>Capital expenditures: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6"/>
        </w:trPr>
        <w:tc>
          <w:tcPr>
            <w:tcW w:w="630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20"/>
                <w:szCs w:val="20"/>
                <w:color w:val="auto"/>
              </w:rPr>
              <w:t>nited States:</w:t>
            </w:r>
          </w:p>
        </w:tc>
        <w:tc>
          <w:tcPr>
            <w:tcW w:w="14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r>
      <w:tr>
        <w:trPr>
          <w:trHeight w:val="293"/>
        </w:trPr>
        <w:tc>
          <w:tcPr>
            <w:tcW w:w="6300" w:type="dxa"/>
            <w:vAlign w:val="bottom"/>
            <w:shd w:val="clear" w:color="auto" w:fill="FEFEFE"/>
          </w:tcPr>
          <w:p>
            <w:pPr>
              <w:ind w:left="440"/>
              <w:spacing w:after="0"/>
              <w:rPr>
                <w:sz w:val="20"/>
                <w:szCs w:val="20"/>
                <w:color w:val="auto"/>
              </w:rPr>
            </w:pPr>
            <w:r>
              <w:rPr>
                <w:rFonts w:ascii="Arial" w:cs="Arial" w:eastAsia="Arial" w:hAnsi="Arial"/>
                <w:sz w:val="20"/>
                <w:szCs w:val="20"/>
                <w:color w:val="auto"/>
              </w:rPr>
              <w:t>armaxx</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1,261</w:t>
            </w:r>
          </w:p>
        </w:tc>
        <w:tc>
          <w:tcPr>
            <w:tcW w:w="2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1,102</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50</w:t>
            </w:r>
          </w:p>
        </w:tc>
      </w:tr>
      <w:tr>
        <w:trPr>
          <w:trHeight w:val="307"/>
        </w:trPr>
        <w:tc>
          <w:tcPr>
            <w:tcW w:w="6300" w:type="dxa"/>
            <w:vAlign w:val="bottom"/>
            <w:shd w:val="clear" w:color="auto" w:fill="E4E4E4"/>
          </w:tcPr>
          <w:p>
            <w:pPr>
              <w:ind w:left="420"/>
              <w:spacing w:after="0"/>
              <w:rPr>
                <w:sz w:val="20"/>
                <w:szCs w:val="20"/>
                <w:color w:val="auto"/>
              </w:rPr>
            </w:pPr>
            <w:r>
              <w:rPr>
                <w:rFonts w:ascii="Arial" w:cs="Arial" w:eastAsia="Arial" w:hAnsi="Arial"/>
                <w:sz w:val="20"/>
                <w:szCs w:val="20"/>
                <w:color w:val="auto"/>
              </w:rPr>
              <w:t>ome  oods</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311</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400</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345</w:t>
            </w:r>
          </w:p>
        </w:tc>
      </w:tr>
      <w:tr>
        <w:trPr>
          <w:trHeight w:val="294"/>
        </w:trPr>
        <w:tc>
          <w:tcPr>
            <w:tcW w:w="6300" w:type="dxa"/>
            <w:vAlign w:val="bottom"/>
            <w:shd w:val="clear" w:color="auto" w:fill="FEFEFE"/>
          </w:tcPr>
          <w:p>
            <w:pPr>
              <w:ind w:left="40"/>
              <w:spacing w:after="0"/>
              <w:rPr>
                <w:sz w:val="20"/>
                <w:szCs w:val="20"/>
                <w:color w:val="auto"/>
              </w:rPr>
            </w:pPr>
            <w:r>
              <w:rPr>
                <w:rFonts w:ascii="Arial" w:cs="Arial" w:eastAsia="Arial" w:hAnsi="Arial"/>
                <w:sz w:val="20"/>
                <w:szCs w:val="20"/>
                <w:color w:val="auto"/>
              </w:rPr>
              <w:t>TJX Canada</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146</w:t>
            </w:r>
          </w:p>
        </w:tc>
        <w:tc>
          <w:tcPr>
            <w:tcW w:w="24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151</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157</w:t>
            </w:r>
          </w:p>
        </w:tc>
      </w:tr>
      <w:tr>
        <w:trPr>
          <w:trHeight w:val="296"/>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TJX International</w:t>
            </w: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239</w:t>
            </w:r>
          </w:p>
        </w:tc>
        <w:tc>
          <w:tcPr>
            <w:tcW w:w="24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265</w:t>
            </w: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270</w:t>
            </w:r>
          </w:p>
        </w:tc>
      </w:tr>
      <w:tr>
        <w:trPr>
          <w:trHeight w:val="280"/>
        </w:trPr>
        <w:tc>
          <w:tcPr>
            <w:tcW w:w="63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Total capital expenditures</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1,957</w:t>
            </w:r>
          </w:p>
        </w:tc>
        <w:tc>
          <w:tcPr>
            <w:tcW w:w="2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1, 18</w:t>
            </w: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1,722</w:t>
            </w:r>
          </w:p>
        </w:tc>
      </w:tr>
      <w:tr>
        <w:trPr>
          <w:trHeight w:val="275"/>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Depreciation and amorti ation:</w:t>
            </w:r>
          </w:p>
        </w:tc>
        <w:tc>
          <w:tcPr>
            <w:tcW w:w="140" w:type="dxa"/>
            <w:vAlign w:val="bottom"/>
            <w:shd w:val="clear" w:color="auto" w:fill="E4E4E4"/>
          </w:tcPr>
          <w:p>
            <w:pPr>
              <w:spacing w:after="0"/>
              <w:rPr>
                <w:sz w:val="23"/>
                <w:szCs w:val="23"/>
                <w:color w:val="auto"/>
              </w:rPr>
            </w:pPr>
          </w:p>
        </w:tc>
        <w:tc>
          <w:tcPr>
            <w:tcW w:w="1100" w:type="dxa"/>
            <w:vAlign w:val="bottom"/>
            <w:shd w:val="clear" w:color="auto" w:fill="E4E4E4"/>
          </w:tcPr>
          <w:p>
            <w:pPr>
              <w:spacing w:after="0"/>
              <w:rPr>
                <w:sz w:val="23"/>
                <w:szCs w:val="23"/>
                <w:color w:val="auto"/>
              </w:rPr>
            </w:pPr>
          </w:p>
        </w:tc>
        <w:tc>
          <w:tcPr>
            <w:tcW w:w="240" w:type="dxa"/>
            <w:vAlign w:val="bottom"/>
            <w:shd w:val="clear" w:color="auto" w:fill="E4E4E4"/>
          </w:tcPr>
          <w:p>
            <w:pPr>
              <w:spacing w:after="0"/>
              <w:rPr>
                <w:sz w:val="23"/>
                <w:szCs w:val="23"/>
                <w:color w:val="auto"/>
              </w:rPr>
            </w:pPr>
          </w:p>
        </w:tc>
        <w:tc>
          <w:tcPr>
            <w:tcW w:w="1140" w:type="dxa"/>
            <w:vAlign w:val="bottom"/>
            <w:shd w:val="clear" w:color="auto" w:fill="E4E4E4"/>
          </w:tcPr>
          <w:p>
            <w:pPr>
              <w:spacing w:after="0"/>
              <w:rPr>
                <w:sz w:val="23"/>
                <w:szCs w:val="23"/>
                <w:color w:val="auto"/>
              </w:rPr>
            </w:pPr>
          </w:p>
        </w:tc>
        <w:tc>
          <w:tcPr>
            <w:tcW w:w="180" w:type="dxa"/>
            <w:vAlign w:val="bottom"/>
            <w:shd w:val="clear" w:color="auto" w:fill="E4E4E4"/>
          </w:tcPr>
          <w:p>
            <w:pPr>
              <w:spacing w:after="0"/>
              <w:rPr>
                <w:sz w:val="23"/>
                <w:szCs w:val="23"/>
                <w:color w:val="auto"/>
              </w:rPr>
            </w:pPr>
          </w:p>
        </w:tc>
        <w:tc>
          <w:tcPr>
            <w:tcW w:w="1160" w:type="dxa"/>
            <w:vAlign w:val="bottom"/>
            <w:shd w:val="clear" w:color="auto" w:fill="E4E4E4"/>
          </w:tcPr>
          <w:p>
            <w:pPr>
              <w:spacing w:after="0"/>
              <w:rPr>
                <w:sz w:val="23"/>
                <w:szCs w:val="23"/>
                <w:color w:val="auto"/>
              </w:rPr>
            </w:pPr>
          </w:p>
        </w:tc>
      </w:tr>
      <w:tr>
        <w:trPr>
          <w:trHeight w:val="280"/>
        </w:trPr>
        <w:tc>
          <w:tcPr>
            <w:tcW w:w="6300" w:type="dxa"/>
            <w:vAlign w:val="bottom"/>
            <w:tcBorders>
              <w:bottom w:val="single" w:sz="8" w:color="FEFEFE"/>
            </w:tcBorders>
            <w:shd w:val="clear" w:color="auto" w:fill="FEFEFE"/>
          </w:tcPr>
          <w:p>
            <w:pPr>
              <w:ind w:left="180"/>
              <w:spacing w:after="0"/>
              <w:rPr>
                <w:sz w:val="20"/>
                <w:szCs w:val="20"/>
                <w:color w:val="auto"/>
              </w:rPr>
            </w:pPr>
            <w:r>
              <w:rPr>
                <w:rFonts w:ascii="Arial" w:cs="Arial" w:eastAsia="Arial" w:hAnsi="Arial"/>
                <w:sz w:val="20"/>
                <w:szCs w:val="20"/>
                <w:color w:val="auto"/>
              </w:rPr>
              <w:t>nited States:</w:t>
            </w:r>
          </w:p>
        </w:tc>
        <w:tc>
          <w:tcPr>
            <w:tcW w:w="140" w:type="dxa"/>
            <w:vAlign w:val="bottom"/>
            <w:tcBorders>
              <w:bottom w:val="single" w:sz="8" w:color="FEFEFE"/>
            </w:tcBorders>
            <w:shd w:val="clear" w:color="auto" w:fill="FEFEFE"/>
          </w:tcPr>
          <w:p>
            <w:pPr>
              <w:spacing w:after="0"/>
              <w:rPr>
                <w:sz w:val="24"/>
                <w:szCs w:val="24"/>
                <w:color w:val="auto"/>
              </w:rPr>
            </w:pPr>
          </w:p>
        </w:tc>
        <w:tc>
          <w:tcPr>
            <w:tcW w:w="1100" w:type="dxa"/>
            <w:vAlign w:val="bottom"/>
            <w:tcBorders>
              <w:bottom w:val="single" w:sz="8" w:color="FEFEFE"/>
            </w:tcBorders>
            <w:shd w:val="clear" w:color="auto" w:fill="FEFEFE"/>
          </w:tcPr>
          <w:p>
            <w:pPr>
              <w:spacing w:after="0"/>
              <w:rPr>
                <w:sz w:val="24"/>
                <w:szCs w:val="24"/>
                <w:color w:val="auto"/>
              </w:rPr>
            </w:pPr>
          </w:p>
        </w:tc>
        <w:tc>
          <w:tcPr>
            <w:tcW w:w="240" w:type="dxa"/>
            <w:vAlign w:val="bottom"/>
            <w:tcBorders>
              <w:bottom w:val="single" w:sz="8" w:color="FEFEFE"/>
            </w:tcBorders>
            <w:shd w:val="clear" w:color="auto" w:fill="FEFEFE"/>
          </w:tcPr>
          <w:p>
            <w:pPr>
              <w:spacing w:after="0"/>
              <w:rPr>
                <w:sz w:val="24"/>
                <w:szCs w:val="24"/>
                <w:color w:val="auto"/>
              </w:rPr>
            </w:pPr>
          </w:p>
        </w:tc>
        <w:tc>
          <w:tcPr>
            <w:tcW w:w="1140" w:type="dxa"/>
            <w:vAlign w:val="bottom"/>
            <w:tcBorders>
              <w:bottom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c>
          <w:tcPr>
            <w:tcW w:w="1160" w:type="dxa"/>
            <w:vAlign w:val="bottom"/>
            <w:tcBorders>
              <w:bottom w:val="single" w:sz="8" w:color="FEFEFE"/>
            </w:tcBorders>
            <w:shd w:val="clear" w:color="auto" w:fill="FEFEFE"/>
          </w:tcPr>
          <w:p>
            <w:pPr>
              <w:spacing w:after="0"/>
              <w:rPr>
                <w:sz w:val="24"/>
                <w:szCs w:val="24"/>
                <w:color w:val="auto"/>
              </w:rPr>
            </w:pPr>
          </w:p>
        </w:tc>
      </w:tr>
      <w:tr>
        <w:trPr>
          <w:trHeight w:val="300"/>
        </w:trPr>
        <w:tc>
          <w:tcPr>
            <w:tcW w:w="6300" w:type="dxa"/>
            <w:vAlign w:val="bottom"/>
            <w:shd w:val="clear" w:color="auto" w:fill="E4E4E4"/>
          </w:tcPr>
          <w:p>
            <w:pPr>
              <w:ind w:left="440"/>
              <w:spacing w:after="0"/>
              <w:rPr>
                <w:sz w:val="20"/>
                <w:szCs w:val="20"/>
                <w:color w:val="auto"/>
              </w:rPr>
            </w:pPr>
            <w:r>
              <w:rPr>
                <w:rFonts w:ascii="Arial" w:cs="Arial" w:eastAsia="Arial" w:hAnsi="Arial"/>
                <w:sz w:val="20"/>
                <w:szCs w:val="20"/>
                <w:color w:val="auto"/>
              </w:rPr>
              <w:t>armaxx</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695</w:t>
            </w:r>
          </w:p>
        </w:tc>
        <w:tc>
          <w:tcPr>
            <w:tcW w:w="2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5 5</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525</w:t>
            </w:r>
          </w:p>
        </w:tc>
      </w:tr>
      <w:tr>
        <w:trPr>
          <w:trHeight w:val="293"/>
        </w:trPr>
        <w:tc>
          <w:tcPr>
            <w:tcW w:w="6300" w:type="dxa"/>
            <w:vAlign w:val="bottom"/>
            <w:shd w:val="clear" w:color="auto" w:fill="FEFEFE"/>
          </w:tcPr>
          <w:p>
            <w:pPr>
              <w:ind w:left="420"/>
              <w:spacing w:after="0"/>
              <w:rPr>
                <w:sz w:val="20"/>
                <w:szCs w:val="20"/>
                <w:color w:val="auto"/>
              </w:rPr>
            </w:pPr>
            <w:r>
              <w:rPr>
                <w:rFonts w:ascii="Arial" w:cs="Arial" w:eastAsia="Arial" w:hAnsi="Arial"/>
                <w:sz w:val="20"/>
                <w:szCs w:val="20"/>
                <w:color w:val="auto"/>
              </w:rPr>
              <w:t>ome  oods</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229</w:t>
            </w:r>
          </w:p>
        </w:tc>
        <w:tc>
          <w:tcPr>
            <w:tcW w:w="24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210</w:t>
            </w: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182</w:t>
            </w:r>
          </w:p>
        </w:tc>
      </w:tr>
      <w:tr>
        <w:trPr>
          <w:trHeight w:val="306"/>
        </w:trPr>
        <w:tc>
          <w:tcPr>
            <w:tcW w:w="6300" w:type="dxa"/>
            <w:vAlign w:val="bottom"/>
            <w:shd w:val="clear" w:color="auto" w:fill="E4E4E4"/>
          </w:tcPr>
          <w:p>
            <w:pPr>
              <w:ind w:left="40"/>
              <w:spacing w:after="0"/>
              <w:rPr>
                <w:sz w:val="20"/>
                <w:szCs w:val="20"/>
                <w:color w:val="auto"/>
              </w:rPr>
            </w:pPr>
            <w:r>
              <w:rPr>
                <w:rFonts w:ascii="Arial" w:cs="Arial" w:eastAsia="Arial" w:hAnsi="Arial"/>
                <w:sz w:val="20"/>
                <w:szCs w:val="20"/>
                <w:color w:val="auto"/>
              </w:rPr>
              <w:t>TJX Canada</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103</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0</w:t>
            </w: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76</w:t>
            </w:r>
          </w:p>
        </w:tc>
      </w:tr>
      <w:tr>
        <w:trPr>
          <w:trHeight w:val="290"/>
        </w:trPr>
        <w:tc>
          <w:tcPr>
            <w:tcW w:w="63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TJX International</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216</w:t>
            </w:r>
          </w:p>
        </w:tc>
        <w:tc>
          <w:tcPr>
            <w:tcW w:w="24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205</w:t>
            </w:r>
          </w:p>
        </w:tc>
        <w:tc>
          <w:tcPr>
            <w:tcW w:w="18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177</w:t>
            </w:r>
          </w:p>
        </w:tc>
      </w:tr>
      <w:tr>
        <w:trPr>
          <w:trHeight w:val="280"/>
        </w:trPr>
        <w:tc>
          <w:tcPr>
            <w:tcW w:w="63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Segment depreciation and amorti ation</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1,243</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1,100</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60</w:t>
            </w:r>
          </w:p>
        </w:tc>
      </w:tr>
      <w:tr>
        <w:trPr>
          <w:trHeight w:val="280"/>
        </w:trPr>
        <w:tc>
          <w:tcPr>
            <w:tcW w:w="63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Corporate</w:t>
            </w:r>
            <w:r>
              <w:rPr>
                <w:rFonts w:ascii="Arial" w:cs="Arial" w:eastAsia="Arial" w:hAnsi="Arial"/>
                <w:sz w:val="13"/>
                <w:szCs w:val="13"/>
                <w:color w:val="auto"/>
              </w:rPr>
              <w:t>(b)</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24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18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w:t>
            </w:r>
          </w:p>
        </w:tc>
      </w:tr>
      <w:tr>
        <w:trPr>
          <w:trHeight w:val="280"/>
        </w:trPr>
        <w:tc>
          <w:tcPr>
            <w:tcW w:w="6300" w:type="dxa"/>
            <w:vAlign w:val="bottom"/>
            <w:tcBorders>
              <w:bottom w:val="single" w:sz="8" w:color="auto"/>
            </w:tcBorders>
            <w:shd w:val="clear" w:color="auto" w:fill="E4E4E4"/>
          </w:tcPr>
          <w:p>
            <w:pPr>
              <w:ind w:left="500"/>
              <w:spacing w:after="0"/>
              <w:rPr>
                <w:sz w:val="20"/>
                <w:szCs w:val="20"/>
                <w:color w:val="auto"/>
              </w:rPr>
            </w:pPr>
            <w:r>
              <w:rPr>
                <w:rFonts w:ascii="Arial" w:cs="Arial" w:eastAsia="Arial" w:hAnsi="Arial"/>
                <w:sz w:val="20"/>
                <w:szCs w:val="20"/>
                <w:color w:val="auto"/>
              </w:rPr>
              <w:t>Total depreciation and amorti ation</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1,247</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1,104</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64</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left="370" w:right="280" w:hanging="370"/>
        <w:spacing w:after="0" w:line="286" w:lineRule="auto"/>
        <w:tabs>
          <w:tab w:leader="none" w:pos="37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Corporate identifiable assets mainly include cash and trust assets from the Executive Savings Plan and in both fiscal 2026 and fiscal 2025 includes the e uity method investments. Consolidated cash, including that held by foreign entities, is reported with Corporate assets for consistency with segment</w:t>
      </w:r>
    </w:p>
    <w:p>
      <w:pPr>
        <w:ind w:left="370"/>
        <w:spacing w:after="0"/>
        <w:tabs>
          <w:tab w:leader="none" w:pos="1489" w:val="left"/>
        </w:tabs>
        <w:rPr>
          <w:sz w:val="20"/>
          <w:szCs w:val="20"/>
          <w:color w:val="auto"/>
        </w:rPr>
      </w:pPr>
      <w:r>
        <w:rPr>
          <w:rFonts w:ascii="Arial" w:cs="Arial" w:eastAsia="Arial" w:hAnsi="Arial"/>
          <w:sz w:val="16"/>
          <w:szCs w:val="16"/>
          <w:color w:val="auto"/>
        </w:rPr>
        <w:t>reporting in the</w:t>
      </w:r>
      <w:r>
        <w:rPr>
          <w:sz w:val="20"/>
          <w:szCs w:val="20"/>
          <w:color w:val="auto"/>
        </w:rPr>
        <w:tab/>
      </w:r>
      <w:r>
        <w:rPr>
          <w:rFonts w:ascii="Arial" w:cs="Arial" w:eastAsia="Arial" w:hAnsi="Arial"/>
          <w:sz w:val="13"/>
          <w:szCs w:val="13"/>
          <w:color w:val="auto"/>
        </w:rPr>
        <w:t>.S.</w:t>
      </w:r>
    </w:p>
    <w:p>
      <w:pPr>
        <w:spacing w:after="0" w:line="68" w:lineRule="exact"/>
        <w:rPr>
          <w:sz w:val="20"/>
          <w:szCs w:val="20"/>
          <w:color w:val="auto"/>
        </w:rPr>
      </w:pPr>
    </w:p>
    <w:p>
      <w:pPr>
        <w:ind w:left="370" w:hanging="370"/>
        <w:spacing w:after="0"/>
        <w:tabs>
          <w:tab w:leader="none" w:pos="3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debt discount accretion and debt expense amorti ation.</w:t>
      </w:r>
    </w:p>
    <w:p>
      <w:pPr>
        <w:spacing w:after="0" w:line="94" w:lineRule="exact"/>
        <w:rPr>
          <w:sz w:val="20"/>
          <w:szCs w:val="20"/>
          <w:color w:val="auto"/>
        </w:rPr>
      </w:pPr>
    </w:p>
    <w:p>
      <w:pPr>
        <w:ind w:left="70"/>
        <w:spacing w:after="0"/>
        <w:tabs>
          <w:tab w:leader="none" w:pos="769" w:val="left"/>
          <w:tab w:leader="none" w:pos="2669" w:val="left"/>
        </w:tabs>
        <w:rPr>
          <w:sz w:val="20"/>
          <w:szCs w:val="20"/>
          <w:color w:val="auto"/>
        </w:rPr>
      </w:pPr>
      <w:r>
        <w:rPr>
          <w:rFonts w:ascii="Arial" w:cs="Arial" w:eastAsia="Arial" w:hAnsi="Arial"/>
          <w:sz w:val="24"/>
          <w:szCs w:val="24"/>
          <w:color w:val="auto"/>
        </w:rPr>
        <w:t>Note</w:t>
        <w:tab/>
        <w:t>. Stoc  Incenti e</w:t>
      </w:r>
      <w:r>
        <w:rPr>
          <w:sz w:val="20"/>
          <w:szCs w:val="20"/>
          <w:color w:val="auto"/>
        </w:rPr>
        <w:tab/>
      </w:r>
      <w:r>
        <w:rPr>
          <w:rFonts w:ascii="Arial" w:cs="Arial" w:eastAsia="Arial" w:hAnsi="Arial"/>
          <w:sz w:val="23"/>
          <w:szCs w:val="23"/>
          <w:color w:val="auto"/>
        </w:rPr>
        <w:t>lan</w:t>
      </w:r>
    </w:p>
    <w:p>
      <w:pPr>
        <w:spacing w:after="0" w:line="153" w:lineRule="exact"/>
        <w:rPr>
          <w:sz w:val="20"/>
          <w:szCs w:val="20"/>
          <w:color w:val="auto"/>
        </w:rPr>
      </w:pPr>
    </w:p>
    <w:p>
      <w:pPr>
        <w:ind w:left="10" w:right="80"/>
        <w:spacing w:after="0" w:line="294" w:lineRule="auto"/>
        <w:rPr>
          <w:sz w:val="20"/>
          <w:szCs w:val="20"/>
          <w:color w:val="auto"/>
        </w:rPr>
      </w:pPr>
      <w:r>
        <w:rPr>
          <w:rFonts w:ascii="Arial" w:cs="Arial" w:eastAsia="Arial" w:hAnsi="Arial"/>
          <w:sz w:val="18"/>
          <w:szCs w:val="18"/>
          <w:color w:val="auto"/>
        </w:rPr>
        <w:t xml:space="preserve">TJX has a Stock Incentive Plan under which options and other share-based awards may be granted to its directors, officers and key employees. The number of shares authori ed for issuance under this plan has been approved by TJX’s shareholders, and all share-based compensation awards are made under this plan. The Stock Incentive Plan, as amended with shareholder approval, has provided for the issuance of up to 723 million shares with </w:t>
      </w:r>
      <w:r>
        <w:rPr>
          <w:rFonts w:ascii="Arial" w:cs="Arial" w:eastAsia="Arial" w:hAnsi="Arial"/>
          <w:sz w:val="18"/>
          <w:szCs w:val="18"/>
          <w:color w:val="auto"/>
          <w:highlight w:val="white"/>
        </w:rPr>
        <w:t>36 million</w:t>
      </w:r>
      <w:r>
        <w:rPr>
          <w:rFonts w:ascii="Arial" w:cs="Arial" w:eastAsia="Arial" w:hAnsi="Arial"/>
          <w:sz w:val="18"/>
          <w:szCs w:val="18"/>
          <w:color w:val="auto"/>
        </w:rPr>
        <w:t xml:space="preserve"> shares available for future grants as of January 31, 2026. TJX issues shares under the plan from authori ed but unissued common stock.</w:t>
      </w:r>
    </w:p>
    <w:p>
      <w:pPr>
        <w:spacing w:after="0" w:line="52" w:lineRule="exact"/>
        <w:rPr>
          <w:sz w:val="20"/>
          <w:szCs w:val="20"/>
          <w:color w:val="auto"/>
        </w:rPr>
      </w:pPr>
    </w:p>
    <w:p>
      <w:pPr>
        <w:ind w:left="10" w:right="40"/>
        <w:spacing w:after="0" w:line="261" w:lineRule="auto"/>
        <w:rPr>
          <w:sz w:val="20"/>
          <w:szCs w:val="20"/>
          <w:color w:val="auto"/>
        </w:rPr>
      </w:pPr>
      <w:r>
        <w:rPr>
          <w:rFonts w:ascii="Arial" w:cs="Arial" w:eastAsia="Arial" w:hAnsi="Arial"/>
          <w:sz w:val="20"/>
          <w:szCs w:val="20"/>
          <w:color w:val="auto"/>
        </w:rPr>
        <w:t>Total compensation cost related to share-based compensation was $214 million, $183 million and $160 million in fiscal 2026, 2025 and 2024, respectively. As of January 31, 2026, there was $242 million of total unrecogni ed compensation cost related to non-vested share-based compensation arrangements granted under the plan. That cost is expected to be recogni ed over a weighted-average period of 2 years.</w:t>
      </w:r>
    </w:p>
    <w:p>
      <w:pPr>
        <w:spacing w:after="0" w:line="64" w:lineRule="exact"/>
        <w:rPr>
          <w:sz w:val="20"/>
          <w:szCs w:val="20"/>
          <w:color w:val="auto"/>
        </w:rPr>
      </w:pPr>
    </w:p>
    <w:p>
      <w:pPr>
        <w:ind w:left="130"/>
        <w:spacing w:after="0"/>
        <w:rPr>
          <w:sz w:val="20"/>
          <w:szCs w:val="20"/>
          <w:color w:val="auto"/>
        </w:rPr>
      </w:pPr>
      <w:r>
        <w:rPr>
          <w:rFonts w:ascii="Arial" w:cs="Arial" w:eastAsia="Arial" w:hAnsi="Arial"/>
          <w:sz w:val="22"/>
          <w:szCs w:val="22"/>
          <w:i w:val="1"/>
          <w:iCs w:val="1"/>
          <w:color w:val="auto"/>
        </w:rPr>
        <w:t>toc  O tions</w:t>
      </w:r>
    </w:p>
    <w:p>
      <w:pPr>
        <w:spacing w:after="0" w:line="146" w:lineRule="exact"/>
        <w:rPr>
          <w:sz w:val="20"/>
          <w:szCs w:val="20"/>
          <w:color w:val="auto"/>
        </w:rPr>
      </w:pPr>
    </w:p>
    <w:p>
      <w:pPr>
        <w:ind w:left="10" w:right="20" w:firstLine="145"/>
        <w:spacing w:after="0" w:line="266" w:lineRule="auto"/>
        <w:rPr>
          <w:sz w:val="20"/>
          <w:szCs w:val="20"/>
          <w:color w:val="auto"/>
        </w:rPr>
      </w:pPr>
      <w:r>
        <w:rPr>
          <w:rFonts w:ascii="Arial" w:cs="Arial" w:eastAsia="Arial" w:hAnsi="Arial"/>
          <w:sz w:val="20"/>
          <w:szCs w:val="20"/>
          <w:color w:val="auto"/>
        </w:rPr>
        <w:t>ptions for the purchase of common stock are granted with an exercise price that is 100 of market price on the grant date, generally vest in thirds over a 3-year period starting 1 year after the grant, and have a 10-year maximum term. hen options are granted with other vesting terms, the vesting information is reflected in the valuation.</w:t>
      </w:r>
    </w:p>
    <w:p>
      <w:pPr>
        <w:sectPr>
          <w:pgSz w:w="12240" w:h="15841" w:orient="portrait"/>
          <w:cols w:equalWidth="0" w:num="1">
            <w:col w:w="10270"/>
          </w:cols>
          <w:pgMar w:left="99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F-24</w:t>
      </w:r>
    </w:p>
    <w:p>
      <w:pPr>
        <w:sectPr>
          <w:pgSz w:w="12240" w:h="15841" w:orient="portrait"/>
          <w:cols w:equalWidth="0" w:num="1">
            <w:col w:w="10270"/>
          </w:cols>
          <w:pgMar w:left="990" w:top="792" w:right="981" w:bottom="0" w:gutter="0" w:footer="0" w:header="0"/>
          <w:type w:val="continuous"/>
        </w:sectPr>
      </w:pPr>
    </w:p>
    <w:bookmarkStart w:id="80" w:name="page81"/>
    <w:bookmarkEnd w:id="80"/>
    <w:p>
      <w:pPr>
        <w:ind w:right="280"/>
        <w:spacing w:after="0" w:line="28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 fair value of options is estimated as of the date of grant using the Black-Scholes option pricing model with the following weighted average assumptions: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center"/>
              <w:ind w:left="900"/>
              <w:spacing w:after="0"/>
              <w:rPr>
                <w:sz w:val="20"/>
                <w:szCs w:val="20"/>
                <w:color w:val="auto"/>
              </w:rPr>
            </w:pPr>
            <w:r>
              <w:rPr>
                <w:rFonts w:ascii="Arial" w:cs="Arial" w:eastAsia="Arial" w:hAnsi="Arial"/>
                <w:sz w:val="20"/>
                <w:szCs w:val="20"/>
                <w:color w:val="auto"/>
                <w:w w:val="90"/>
              </w:rPr>
              <w:t>Fiscal Year Ended</w:t>
            </w:r>
          </w:p>
        </w:tc>
        <w:tc>
          <w:tcPr>
            <w:tcW w:w="1140" w:type="dxa"/>
            <w:vAlign w:val="bottom"/>
            <w:tcBorders>
              <w:bottom w:val="single" w:sz="8" w:color="auto"/>
            </w:tcBorders>
          </w:tcPr>
          <w:p>
            <w:pPr>
              <w:spacing w:after="0"/>
              <w:rPr>
                <w:sz w:val="22"/>
                <w:szCs w:val="22"/>
                <w:color w:val="auto"/>
              </w:rPr>
            </w:pPr>
          </w:p>
        </w:tc>
      </w:tr>
      <w:tr>
        <w:trPr>
          <w:trHeight w:val="212"/>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240" w:type="dxa"/>
            <w:vAlign w:val="bottom"/>
          </w:tcPr>
          <w:p>
            <w:pPr>
              <w:spacing w:after="0"/>
              <w:rPr>
                <w:sz w:val="18"/>
                <w:szCs w:val="18"/>
                <w:color w:val="auto"/>
              </w:rPr>
            </w:pPr>
          </w:p>
        </w:tc>
        <w:tc>
          <w:tcPr>
            <w:tcW w:w="114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89"/>
              </w:rPr>
              <w:t>February 1,</w:t>
            </w:r>
          </w:p>
        </w:tc>
        <w:tc>
          <w:tcPr>
            <w:tcW w:w="180" w:type="dxa"/>
            <w:vAlign w:val="bottom"/>
          </w:tcPr>
          <w:p>
            <w:pPr>
              <w:spacing w:after="0"/>
              <w:rPr>
                <w:sz w:val="18"/>
                <w:szCs w:val="18"/>
                <w:color w:val="auto"/>
              </w:rPr>
            </w:pPr>
          </w:p>
        </w:tc>
        <w:tc>
          <w:tcPr>
            <w:tcW w:w="114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89"/>
              </w:rPr>
              <w:t>February 3,</w:t>
            </w:r>
          </w:p>
        </w:tc>
      </w:tr>
      <w:tr>
        <w:trPr>
          <w:trHeight w:val="263"/>
        </w:trPr>
        <w:tc>
          <w:tcPr>
            <w:tcW w:w="6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2026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2024</w:t>
            </w:r>
          </w:p>
        </w:tc>
      </w:tr>
      <w:tr>
        <w:trPr>
          <w:trHeight w:val="290"/>
        </w:trPr>
        <w:tc>
          <w:tcPr>
            <w:tcW w:w="62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isk-free interest rate</w:t>
            </w:r>
          </w:p>
        </w:tc>
        <w:tc>
          <w:tcPr>
            <w:tcW w:w="140" w:type="dxa"/>
            <w:vAlign w:val="bottom"/>
            <w:shd w:val="clear" w:color="auto" w:fill="E4E4E4"/>
          </w:tcPr>
          <w:p>
            <w:pPr>
              <w:spacing w:after="0"/>
              <w:rPr>
                <w:sz w:val="24"/>
                <w:szCs w:val="24"/>
                <w:color w:val="auto"/>
              </w:rPr>
            </w:pPr>
          </w:p>
        </w:tc>
        <w:tc>
          <w:tcPr>
            <w:tcW w:w="112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3.62</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3.47</w:t>
            </w: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4.51</w:t>
            </w:r>
          </w:p>
        </w:tc>
      </w:tr>
      <w:tr>
        <w:trPr>
          <w:trHeight w:val="293"/>
        </w:trPr>
        <w:tc>
          <w:tcPr>
            <w:tcW w:w="6280" w:type="dxa"/>
            <w:vAlign w:val="bottom"/>
          </w:tcPr>
          <w:p>
            <w:pPr>
              <w:ind w:left="40"/>
              <w:spacing w:after="0"/>
              <w:rPr>
                <w:sz w:val="20"/>
                <w:szCs w:val="20"/>
                <w:color w:val="auto"/>
              </w:rPr>
            </w:pPr>
            <w:r>
              <w:rPr>
                <w:rFonts w:ascii="Arial" w:cs="Arial" w:eastAsia="Arial" w:hAnsi="Arial"/>
                <w:sz w:val="20"/>
                <w:szCs w:val="20"/>
                <w:color w:val="auto"/>
              </w:rPr>
              <w:t>Dividend yield</w:t>
            </w:r>
          </w:p>
        </w:tc>
        <w:tc>
          <w:tcPr>
            <w:tcW w:w="14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color w:val="auto"/>
              </w:rPr>
              <w:t>1.2</w:t>
            </w:r>
          </w:p>
        </w:tc>
        <w:tc>
          <w:tcPr>
            <w:tcW w:w="24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1.3</w:t>
            </w:r>
          </w:p>
        </w:tc>
        <w:tc>
          <w:tcPr>
            <w:tcW w:w="18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1.5</w:t>
            </w:r>
          </w:p>
        </w:tc>
      </w:tr>
      <w:tr>
        <w:trPr>
          <w:trHeight w:val="307"/>
        </w:trPr>
        <w:tc>
          <w:tcPr>
            <w:tcW w:w="6280" w:type="dxa"/>
            <w:vAlign w:val="bottom"/>
            <w:shd w:val="clear" w:color="auto" w:fill="E4E4E4"/>
          </w:tcPr>
          <w:p>
            <w:pPr>
              <w:ind w:left="40"/>
              <w:spacing w:after="0"/>
              <w:rPr>
                <w:sz w:val="20"/>
                <w:szCs w:val="20"/>
                <w:color w:val="auto"/>
              </w:rPr>
            </w:pPr>
            <w:r>
              <w:rPr>
                <w:rFonts w:ascii="Arial" w:cs="Arial" w:eastAsia="Arial" w:hAnsi="Arial"/>
                <w:sz w:val="20"/>
                <w:szCs w:val="20"/>
                <w:color w:val="auto"/>
              </w:rPr>
              <w:t>Expected volatility factor</w:t>
            </w:r>
          </w:p>
        </w:tc>
        <w:tc>
          <w:tcPr>
            <w:tcW w:w="140" w:type="dxa"/>
            <w:vAlign w:val="bottom"/>
            <w:shd w:val="clear" w:color="auto" w:fill="E4E4E4"/>
          </w:tcPr>
          <w:p>
            <w:pPr>
              <w:spacing w:after="0"/>
              <w:rPr>
                <w:sz w:val="24"/>
                <w:szCs w:val="24"/>
                <w:color w:val="auto"/>
              </w:rPr>
            </w:pPr>
          </w:p>
        </w:tc>
        <w:tc>
          <w:tcPr>
            <w:tcW w:w="112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25.0</w:t>
            </w:r>
          </w:p>
        </w:tc>
        <w:tc>
          <w:tcPr>
            <w:tcW w:w="240" w:type="dxa"/>
            <w:vAlign w:val="bottom"/>
            <w:shd w:val="clear" w:color="auto" w:fill="E4E4E4"/>
          </w:tcPr>
          <w:p>
            <w:pPr>
              <w:spacing w:after="0"/>
              <w:rPr>
                <w:sz w:val="24"/>
                <w:szCs w:val="24"/>
                <w:color w:val="auto"/>
              </w:rPr>
            </w:pPr>
          </w:p>
        </w:tc>
        <w:tc>
          <w:tcPr>
            <w:tcW w:w="11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24.4</w:t>
            </w: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24.1</w:t>
            </w:r>
          </w:p>
        </w:tc>
      </w:tr>
      <w:tr>
        <w:trPr>
          <w:trHeight w:val="293"/>
        </w:trPr>
        <w:tc>
          <w:tcPr>
            <w:tcW w:w="6280" w:type="dxa"/>
            <w:vAlign w:val="bottom"/>
          </w:tcPr>
          <w:p>
            <w:pPr>
              <w:ind w:left="40"/>
              <w:spacing w:after="0"/>
              <w:rPr>
                <w:sz w:val="20"/>
                <w:szCs w:val="20"/>
                <w:color w:val="auto"/>
              </w:rPr>
            </w:pPr>
            <w:r>
              <w:rPr>
                <w:rFonts w:ascii="Arial" w:cs="Arial" w:eastAsia="Arial" w:hAnsi="Arial"/>
                <w:sz w:val="20"/>
                <w:szCs w:val="20"/>
                <w:color w:val="auto"/>
              </w:rPr>
              <w:t>Expected option life</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 years</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 years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 years</w:t>
            </w:r>
          </w:p>
        </w:tc>
      </w:tr>
      <w:tr>
        <w:trPr>
          <w:trHeight w:val="297"/>
        </w:trPr>
        <w:tc>
          <w:tcPr>
            <w:tcW w:w="6280" w:type="dxa"/>
            <w:vAlign w:val="bottom"/>
            <w:tcBorders>
              <w:bottom w:val="single" w:sz="8" w:color="auto"/>
            </w:tcBorders>
            <w:shd w:val="clear" w:color="auto" w:fill="E4E4E4"/>
          </w:tcPr>
          <w:p>
            <w:pPr>
              <w:ind w:left="240"/>
              <w:spacing w:after="0"/>
              <w:rPr>
                <w:sz w:val="20"/>
                <w:szCs w:val="20"/>
                <w:color w:val="auto"/>
              </w:rPr>
            </w:pPr>
            <w:r>
              <w:rPr>
                <w:rFonts w:ascii="Arial" w:cs="Arial" w:eastAsia="Arial" w:hAnsi="Arial"/>
                <w:sz w:val="20"/>
                <w:szCs w:val="20"/>
                <w:color w:val="auto"/>
              </w:rPr>
              <w:t>eighted average fair value of options issued</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36.90</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2 .86</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24.62</w:t>
            </w:r>
          </w:p>
        </w:tc>
      </w:tr>
      <w:tr>
        <w:trPr>
          <w:trHeight w:val="387"/>
        </w:trPr>
        <w:tc>
          <w:tcPr>
            <w:tcW w:w="7540" w:type="dxa"/>
            <w:vAlign w:val="bottom"/>
            <w:gridSpan w:val="3"/>
          </w:tcPr>
          <w:p>
            <w:pPr>
              <w:jc w:val="right"/>
              <w:ind w:right="100"/>
              <w:spacing w:after="0"/>
              <w:rPr>
                <w:sz w:val="20"/>
                <w:szCs w:val="20"/>
                <w:color w:val="auto"/>
              </w:rPr>
            </w:pPr>
            <w:r>
              <w:rPr>
                <w:rFonts w:ascii="Arial" w:cs="Arial" w:eastAsia="Arial" w:hAnsi="Arial"/>
                <w:sz w:val="20"/>
                <w:szCs w:val="20"/>
                <w:color w:val="auto"/>
                <w:w w:val="90"/>
              </w:rPr>
              <w:t>The risk-free interest rate is for periods within the contractual life of the option based on the</w:t>
            </w:r>
          </w:p>
        </w:tc>
        <w:tc>
          <w:tcPr>
            <w:tcW w:w="2700" w:type="dxa"/>
            <w:vAlign w:val="bottom"/>
            <w:gridSpan w:val="4"/>
          </w:tcPr>
          <w:p>
            <w:pPr>
              <w:jc w:val="right"/>
              <w:spacing w:after="0"/>
              <w:rPr>
                <w:sz w:val="20"/>
                <w:szCs w:val="20"/>
                <w:color w:val="auto"/>
              </w:rPr>
            </w:pPr>
            <w:r>
              <w:rPr>
                <w:rFonts w:ascii="Arial" w:cs="Arial" w:eastAsia="Arial" w:hAnsi="Arial"/>
                <w:sz w:val="20"/>
                <w:szCs w:val="20"/>
                <w:color w:val="auto"/>
                <w:w w:val="91"/>
              </w:rPr>
              <w:t>.S. Treasury yield curve in effect</w:t>
            </w:r>
          </w:p>
        </w:tc>
      </w:tr>
    </w:tbl>
    <w:p>
      <w:pPr>
        <w:ind w:right="240"/>
        <w:spacing w:after="0" w:line="257" w:lineRule="auto"/>
        <w:rPr>
          <w:sz w:val="20"/>
          <w:szCs w:val="20"/>
          <w:color w:val="auto"/>
        </w:rPr>
      </w:pPr>
      <w:r>
        <w:rPr>
          <w:rFonts w:ascii="Arial" w:cs="Arial" w:eastAsia="Arial" w:hAnsi="Arial"/>
          <w:sz w:val="20"/>
          <w:szCs w:val="20"/>
          <w:color w:val="auto"/>
        </w:rPr>
        <w:t>at the time of grant. The Company uses historical data to estimate option exercises, employee termination behavior and dividend yield within the valuation model. Expected volatility is based on a combination of implied volatility from traded options on the Company’s stock, and historical volatility during a term approximating the expected life of the option granted. The expected option life represents an estimate of the period of time options are expected to remain outstanding based upon historical exercise trends. Employee groups and option characteristics are considered separately for valuation purposes, when applicable.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800" w:type="dxa"/>
            <w:vAlign w:val="bottom"/>
            <w:gridSpan w:val="7"/>
          </w:tcPr>
          <w:p>
            <w:pPr>
              <w:spacing w:after="0"/>
              <w:rPr>
                <w:sz w:val="20"/>
                <w:szCs w:val="20"/>
                <w:color w:val="auto"/>
              </w:rPr>
            </w:pPr>
            <w:r>
              <w:rPr>
                <w:rFonts w:ascii="Arial" w:cs="Arial" w:eastAsia="Arial" w:hAnsi="Arial"/>
                <w:sz w:val="20"/>
                <w:szCs w:val="20"/>
                <w:color w:val="auto"/>
                <w:w w:val="93"/>
              </w:rPr>
              <w:t>A summary of the status of TJX’s stock options and related weighted average exercise prices (</w:t>
            </w:r>
          </w:p>
        </w:tc>
        <w:tc>
          <w:tcPr>
            <w:tcW w:w="2460" w:type="dxa"/>
            <w:vAlign w:val="bottom"/>
            <w:gridSpan w:val="4"/>
          </w:tcPr>
          <w:p>
            <w:pPr>
              <w:jc w:val="right"/>
              <w:ind w:right="220"/>
              <w:spacing w:after="0"/>
              <w:rPr>
                <w:sz w:val="20"/>
                <w:szCs w:val="20"/>
                <w:color w:val="auto"/>
              </w:rPr>
            </w:pPr>
            <w:r>
              <w:rPr>
                <w:rFonts w:ascii="Arial" w:cs="Arial" w:eastAsia="Arial" w:hAnsi="Arial"/>
                <w:sz w:val="20"/>
                <w:szCs w:val="20"/>
                <w:color w:val="auto"/>
                <w:w w:val="92"/>
              </w:rPr>
              <w:t>AEP ) is presented below:</w:t>
            </w:r>
          </w:p>
        </w:tc>
      </w:tr>
      <w:tr>
        <w:trPr>
          <w:trHeight w:val="331"/>
        </w:trPr>
        <w:tc>
          <w:tcPr>
            <w:tcW w:w="36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0"/>
              </w:rPr>
              <w:t>Fiscal Year Ended</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12"/>
        </w:trPr>
        <w:tc>
          <w:tcPr>
            <w:tcW w:w="3640" w:type="dxa"/>
            <w:vAlign w:val="bottom"/>
          </w:tcPr>
          <w:p>
            <w:pPr>
              <w:spacing w:after="0"/>
              <w:rPr>
                <w:sz w:val="18"/>
                <w:szCs w:val="18"/>
                <w:color w:val="auto"/>
              </w:rPr>
            </w:pPr>
          </w:p>
        </w:tc>
        <w:tc>
          <w:tcPr>
            <w:tcW w:w="2340" w:type="dxa"/>
            <w:vAlign w:val="bottom"/>
            <w:gridSpan w:val="3"/>
          </w:tcPr>
          <w:p>
            <w:pPr>
              <w:jc w:val="right"/>
              <w:ind w:right="640"/>
              <w:spacing w:after="0" w:line="212" w:lineRule="exact"/>
              <w:rPr>
                <w:sz w:val="20"/>
                <w:szCs w:val="20"/>
                <w:color w:val="auto"/>
              </w:rPr>
            </w:pPr>
            <w:r>
              <w:rPr>
                <w:rFonts w:ascii="Arial" w:cs="Arial" w:eastAsia="Arial" w:hAnsi="Arial"/>
                <w:sz w:val="20"/>
                <w:szCs w:val="20"/>
                <w:color w:val="auto"/>
              </w:rPr>
              <w:t>January 31,</w:t>
            </w:r>
          </w:p>
        </w:tc>
        <w:tc>
          <w:tcPr>
            <w:tcW w:w="1420" w:type="dxa"/>
            <w:vAlign w:val="bottom"/>
            <w:gridSpan w:val="2"/>
          </w:tcPr>
          <w:p>
            <w:pPr>
              <w:jc w:val="center"/>
              <w:ind w:left="400"/>
              <w:spacing w:after="0" w:line="212" w:lineRule="exact"/>
              <w:rPr>
                <w:sz w:val="20"/>
                <w:szCs w:val="20"/>
                <w:color w:val="auto"/>
              </w:rPr>
            </w:pPr>
            <w:r>
              <w:rPr>
                <w:rFonts w:ascii="Arial" w:cs="Arial" w:eastAsia="Arial" w:hAnsi="Arial"/>
                <w:sz w:val="20"/>
                <w:szCs w:val="20"/>
                <w:color w:val="auto"/>
                <w:w w:val="89"/>
              </w:rPr>
              <w:t>February 1,</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February 3,</w:t>
            </w:r>
          </w:p>
        </w:tc>
        <w:tc>
          <w:tcPr>
            <w:tcW w:w="620" w:type="dxa"/>
            <w:vAlign w:val="bottom"/>
          </w:tcPr>
          <w:p>
            <w:pPr>
              <w:spacing w:after="0"/>
              <w:rPr>
                <w:sz w:val="18"/>
                <w:szCs w:val="18"/>
                <w:color w:val="auto"/>
              </w:rPr>
            </w:pPr>
          </w:p>
        </w:tc>
      </w:tr>
      <w:tr>
        <w:trPr>
          <w:trHeight w:val="263"/>
        </w:trPr>
        <w:tc>
          <w:tcPr>
            <w:tcW w:w="3640" w:type="dxa"/>
            <w:vAlign w:val="bottom"/>
          </w:tcPr>
          <w:p>
            <w:pPr>
              <w:spacing w:after="0"/>
              <w:rPr>
                <w:sz w:val="22"/>
                <w:szCs w:val="22"/>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2026</w:t>
            </w:r>
          </w:p>
        </w:tc>
        <w:tc>
          <w:tcPr>
            <w:tcW w:w="8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left="400"/>
              <w:spacing w:after="0"/>
              <w:rPr>
                <w:sz w:val="20"/>
                <w:szCs w:val="20"/>
                <w:color w:val="auto"/>
              </w:rPr>
            </w:pPr>
            <w:r>
              <w:rPr>
                <w:rFonts w:ascii="Arial" w:cs="Arial" w:eastAsia="Arial" w:hAnsi="Arial"/>
                <w:sz w:val="20"/>
                <w:szCs w:val="20"/>
                <w:color w:val="auto"/>
                <w:w w:val="89"/>
              </w:rPr>
              <w:t>2025</w:t>
            </w: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color w:val="auto"/>
              </w:rPr>
              <w:t>2024</w:t>
            </w:r>
          </w:p>
        </w:tc>
        <w:tc>
          <w:tcPr>
            <w:tcW w:w="620" w:type="dxa"/>
            <w:vAlign w:val="bottom"/>
            <w:tcBorders>
              <w:bottom w:val="single" w:sz="8" w:color="auto"/>
            </w:tcBorders>
          </w:tcPr>
          <w:p>
            <w:pPr>
              <w:spacing w:after="0"/>
              <w:rPr>
                <w:sz w:val="22"/>
                <w:szCs w:val="22"/>
                <w:color w:val="auto"/>
              </w:rPr>
            </w:pPr>
          </w:p>
        </w:tc>
      </w:tr>
      <w:tr>
        <w:trPr>
          <w:trHeight w:val="280"/>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Shares in millions</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rPr>
              <w:t>Options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color w:val="auto"/>
              </w:rPr>
              <w:t>ptions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94"/>
              </w:rPr>
              <w:t>AEP</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color w:val="auto"/>
              </w:rPr>
              <w:t>ptions</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w w:val="94"/>
              </w:rPr>
              <w:t>AEP</w:t>
            </w:r>
          </w:p>
        </w:tc>
      </w:tr>
      <w:tr>
        <w:trPr>
          <w:trHeight w:val="290"/>
        </w:trPr>
        <w:tc>
          <w:tcPr>
            <w:tcW w:w="3640" w:type="dxa"/>
            <w:vAlign w:val="bottom"/>
            <w:shd w:val="clear" w:color="auto" w:fill="E4E4E4"/>
          </w:tcPr>
          <w:p>
            <w:pPr>
              <w:ind w:left="180"/>
              <w:spacing w:after="0"/>
              <w:rPr>
                <w:sz w:val="20"/>
                <w:szCs w:val="20"/>
                <w:color w:val="auto"/>
              </w:rPr>
            </w:pPr>
            <w:r>
              <w:rPr>
                <w:rFonts w:ascii="Arial" w:cs="Arial" w:eastAsia="Arial" w:hAnsi="Arial"/>
                <w:sz w:val="20"/>
                <w:szCs w:val="20"/>
                <w:color w:val="auto"/>
              </w:rPr>
              <w:t>utstanding at beginning of year</w:t>
            </w:r>
          </w:p>
        </w:tc>
        <w:tc>
          <w:tcPr>
            <w:tcW w:w="1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31</w:t>
            </w:r>
          </w:p>
        </w:tc>
        <w:tc>
          <w:tcPr>
            <w:tcW w:w="28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68.26</w:t>
            </w: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35</w:t>
            </w:r>
          </w:p>
        </w:tc>
        <w:tc>
          <w:tcPr>
            <w:tcW w:w="3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E4E4E4"/>
          </w:tcPr>
          <w:p>
            <w:pPr>
              <w:jc w:val="right"/>
              <w:ind w:right="160"/>
              <w:spacing w:after="0"/>
              <w:rPr>
                <w:sz w:val="20"/>
                <w:szCs w:val="20"/>
                <w:color w:val="auto"/>
              </w:rPr>
            </w:pPr>
            <w:r>
              <w:rPr>
                <w:rFonts w:ascii="Arial" w:cs="Arial" w:eastAsia="Arial" w:hAnsi="Arial"/>
                <w:sz w:val="20"/>
                <w:szCs w:val="20"/>
                <w:color w:val="auto"/>
              </w:rPr>
              <w:t>58.65</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37</w:t>
            </w:r>
          </w:p>
        </w:tc>
        <w:tc>
          <w:tcPr>
            <w:tcW w:w="38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w:t>
            </w:r>
          </w:p>
        </w:tc>
        <w:tc>
          <w:tcPr>
            <w:tcW w:w="620" w:type="dxa"/>
            <w:vAlign w:val="bottom"/>
            <w:shd w:val="clear" w:color="auto" w:fill="E4E4E4"/>
          </w:tcPr>
          <w:p>
            <w:pPr>
              <w:jc w:val="right"/>
              <w:spacing w:after="0"/>
              <w:rPr>
                <w:sz w:val="20"/>
                <w:szCs w:val="20"/>
                <w:color w:val="auto"/>
              </w:rPr>
            </w:pPr>
            <w:r>
              <w:rPr>
                <w:rFonts w:ascii="Arial" w:cs="Arial" w:eastAsia="Arial" w:hAnsi="Arial"/>
                <w:sz w:val="20"/>
                <w:szCs w:val="20"/>
                <w:color w:val="auto"/>
                <w:w w:val="99"/>
              </w:rPr>
              <w:t>51.88</w:t>
            </w:r>
          </w:p>
        </w:tc>
      </w:tr>
      <w:tr>
        <w:trPr>
          <w:trHeight w:val="293"/>
        </w:trPr>
        <w:tc>
          <w:tcPr>
            <w:tcW w:w="3640" w:type="dxa"/>
            <w:vAlign w:val="bottom"/>
          </w:tcPr>
          <w:p>
            <w:pPr>
              <w:ind w:left="180"/>
              <w:spacing w:after="0"/>
              <w:rPr>
                <w:sz w:val="20"/>
                <w:szCs w:val="20"/>
                <w:color w:val="auto"/>
              </w:rPr>
            </w:pPr>
            <w:r>
              <w:rPr>
                <w:rFonts w:ascii="Arial" w:cs="Arial" w:eastAsia="Arial" w:hAnsi="Arial"/>
                <w:sz w:val="20"/>
                <w:szCs w:val="20"/>
                <w:color w:val="auto"/>
              </w:rPr>
              <w:t>ranted</w:t>
            </w:r>
          </w:p>
        </w:tc>
        <w:tc>
          <w:tcPr>
            <w:tcW w:w="1180" w:type="dxa"/>
            <w:vAlign w:val="bottom"/>
          </w:tcPr>
          <w:p>
            <w:pPr>
              <w:jc w:val="right"/>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Arial" w:cs="Arial" w:eastAsia="Arial" w:hAnsi="Arial"/>
                <w:sz w:val="20"/>
                <w:szCs w:val="20"/>
                <w:color w:val="auto"/>
              </w:rPr>
              <w:t>140.04</w:t>
            </w:r>
          </w:p>
        </w:tc>
        <w:tc>
          <w:tcPr>
            <w:tcW w:w="1080" w:type="dxa"/>
            <w:vAlign w:val="bottom"/>
          </w:tcPr>
          <w:p>
            <w:pPr>
              <w:jc w:val="right"/>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w w:val="88"/>
              </w:rPr>
              <w:t>117.25</w:t>
            </w: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07"/>
        </w:trPr>
        <w:tc>
          <w:tcPr>
            <w:tcW w:w="3640" w:type="dxa"/>
            <w:vAlign w:val="bottom"/>
            <w:shd w:val="clear" w:color="auto" w:fill="E4E4E4"/>
          </w:tcPr>
          <w:p>
            <w:pPr>
              <w:ind w:left="40"/>
              <w:spacing w:after="0"/>
              <w:rPr>
                <w:sz w:val="20"/>
                <w:szCs w:val="20"/>
                <w:color w:val="auto"/>
              </w:rPr>
            </w:pPr>
            <w:r>
              <w:rPr>
                <w:rFonts w:ascii="Arial" w:cs="Arial" w:eastAsia="Arial" w:hAnsi="Arial"/>
                <w:sz w:val="20"/>
                <w:szCs w:val="20"/>
                <w:color w:val="auto"/>
              </w:rPr>
              <w:t>Exercised</w:t>
            </w:r>
          </w:p>
        </w:tc>
        <w:tc>
          <w:tcPr>
            <w:tcW w:w="1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w:t>
            </w:r>
          </w:p>
        </w:tc>
        <w:tc>
          <w:tcPr>
            <w:tcW w:w="2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54.42</w:t>
            </w: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w:t>
            </w:r>
          </w:p>
        </w:tc>
        <w:tc>
          <w:tcPr>
            <w:tcW w:w="340" w:type="dxa"/>
            <w:vAlign w:val="bottom"/>
            <w:shd w:val="clear" w:color="auto" w:fill="E4E4E4"/>
          </w:tcPr>
          <w:p>
            <w:pPr>
              <w:spacing w:after="0"/>
              <w:rPr>
                <w:sz w:val="24"/>
                <w:szCs w:val="24"/>
                <w:color w:val="auto"/>
              </w:rPr>
            </w:pPr>
          </w:p>
        </w:tc>
        <w:tc>
          <w:tcPr>
            <w:tcW w:w="820" w:type="dxa"/>
            <w:vAlign w:val="bottom"/>
            <w:gridSpan w:val="2"/>
            <w:shd w:val="clear" w:color="auto" w:fill="E4E4E4"/>
          </w:tcPr>
          <w:p>
            <w:pPr>
              <w:jc w:val="right"/>
              <w:ind w:right="160"/>
              <w:spacing w:after="0"/>
              <w:rPr>
                <w:sz w:val="20"/>
                <w:szCs w:val="20"/>
                <w:color w:val="auto"/>
              </w:rPr>
            </w:pPr>
            <w:r>
              <w:rPr>
                <w:rFonts w:ascii="Arial" w:cs="Arial" w:eastAsia="Arial" w:hAnsi="Arial"/>
                <w:sz w:val="20"/>
                <w:szCs w:val="20"/>
                <w:color w:val="auto"/>
              </w:rPr>
              <w:t>48.35</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c>
          <w:tcPr>
            <w:tcW w:w="380" w:type="dxa"/>
            <w:vAlign w:val="bottom"/>
            <w:shd w:val="clear" w:color="auto" w:fill="E4E4E4"/>
          </w:tcPr>
          <w:p>
            <w:pPr>
              <w:spacing w:after="0"/>
              <w:rPr>
                <w:sz w:val="24"/>
                <w:szCs w:val="24"/>
                <w:color w:val="auto"/>
              </w:rPr>
            </w:pPr>
          </w:p>
        </w:tc>
        <w:tc>
          <w:tcPr>
            <w:tcW w:w="62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43.3</w:t>
            </w:r>
          </w:p>
        </w:tc>
      </w:tr>
      <w:tr>
        <w:trPr>
          <w:trHeight w:val="290"/>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Forfeitures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99.75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w:t>
            </w: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color w:val="auto"/>
              </w:rPr>
              <w:t>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68.32</w:t>
            </w:r>
          </w:p>
        </w:tc>
      </w:tr>
      <w:tr>
        <w:trPr>
          <w:trHeight w:val="280"/>
        </w:trPr>
        <w:tc>
          <w:tcPr>
            <w:tcW w:w="36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utstanding at end of year</w:t>
            </w: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29</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4E4E4"/>
          </w:tcPr>
          <w:p>
            <w:pPr>
              <w:jc w:val="right"/>
              <w:ind w:right="120"/>
              <w:spacing w:after="0"/>
              <w:rPr>
                <w:sz w:val="20"/>
                <w:szCs w:val="20"/>
                <w:color w:val="auto"/>
              </w:rPr>
            </w:pPr>
            <w:r>
              <w:rPr>
                <w:rFonts w:ascii="Arial" w:cs="Arial" w:eastAsia="Arial" w:hAnsi="Arial"/>
                <w:sz w:val="20"/>
                <w:szCs w:val="20"/>
                <w:color w:val="auto"/>
              </w:rPr>
              <w:t>79.28</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31</w:t>
            </w:r>
          </w:p>
        </w:tc>
        <w:tc>
          <w:tcPr>
            <w:tcW w:w="34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gridSpan w:val="2"/>
            <w:shd w:val="clear" w:color="auto" w:fill="E4E4E4"/>
          </w:tcPr>
          <w:p>
            <w:pPr>
              <w:jc w:val="right"/>
              <w:ind w:right="160"/>
              <w:spacing w:after="0"/>
              <w:rPr>
                <w:sz w:val="20"/>
                <w:szCs w:val="20"/>
                <w:color w:val="auto"/>
              </w:rPr>
            </w:pPr>
            <w:r>
              <w:rPr>
                <w:rFonts w:ascii="Arial" w:cs="Arial" w:eastAsia="Arial" w:hAnsi="Arial"/>
                <w:sz w:val="20"/>
                <w:szCs w:val="20"/>
                <w:color w:val="auto"/>
              </w:rPr>
              <w:t>68.26</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35</w:t>
            </w:r>
          </w:p>
        </w:tc>
        <w:tc>
          <w:tcPr>
            <w:tcW w:w="38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99"/>
              </w:rPr>
              <w:t>58.65</w:t>
            </w:r>
          </w:p>
        </w:tc>
      </w:tr>
      <w:tr>
        <w:trPr>
          <w:trHeight w:val="280"/>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ptions exercisable at end of year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64.31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color w:val="auto"/>
              </w:rPr>
              <w:t>56.87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50.64</w:t>
            </w:r>
          </w:p>
        </w:tc>
      </w:tr>
    </w:tbl>
    <w:p>
      <w:pPr>
        <w:spacing w:after="0" w:line="147" w:lineRule="exact"/>
        <w:rPr>
          <w:sz w:val="20"/>
          <w:szCs w:val="20"/>
          <w:color w:val="auto"/>
        </w:rPr>
      </w:pPr>
    </w:p>
    <w:p>
      <w:pPr>
        <w:ind w:right="240"/>
        <w:spacing w:after="0" w:line="283" w:lineRule="auto"/>
        <w:rPr>
          <w:sz w:val="20"/>
          <w:szCs w:val="20"/>
          <w:color w:val="auto"/>
        </w:rPr>
      </w:pPr>
      <w:r>
        <w:rPr>
          <w:rFonts w:ascii="Arial" w:cs="Arial" w:eastAsia="Arial" w:hAnsi="Arial"/>
          <w:sz w:val="20"/>
          <w:szCs w:val="20"/>
          <w:color w:val="auto"/>
        </w:rPr>
        <w:t>The total intrinsic value of options exercised was $476 million in fiscal 2026, $466 million in fiscal 2025 and $278 million in fiscal 2024.</w:t>
      </w:r>
    </w:p>
    <w:p>
      <w:pPr>
        <w:spacing w:after="0" w:line="58" w:lineRule="exact"/>
        <w:rPr>
          <w:sz w:val="20"/>
          <w:szCs w:val="20"/>
          <w:color w:val="auto"/>
        </w:rPr>
      </w:pPr>
    </w:p>
    <w:p>
      <w:pPr>
        <w:ind w:right="540"/>
        <w:spacing w:after="0" w:line="283" w:lineRule="auto"/>
        <w:rPr>
          <w:sz w:val="20"/>
          <w:szCs w:val="20"/>
          <w:color w:val="auto"/>
        </w:rPr>
      </w:pPr>
      <w:r>
        <w:rPr>
          <w:rFonts w:ascii="Arial" w:cs="Arial" w:eastAsia="Arial" w:hAnsi="Arial"/>
          <w:sz w:val="20"/>
          <w:szCs w:val="20"/>
          <w:color w:val="auto"/>
        </w:rPr>
        <w:t>The following table summari es information about stock options outstanding that were expected to vest and stock options outstanding that were exercisable as of January 31, 2026: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123"/>
              <w:spacing w:after="0"/>
              <w:rPr>
                <w:sz w:val="20"/>
                <w:szCs w:val="20"/>
                <w:color w:val="auto"/>
              </w:rPr>
            </w:pPr>
            <w:r>
              <w:rPr>
                <w:rFonts w:ascii="Arial" w:cs="Arial" w:eastAsia="Arial" w:hAnsi="Arial"/>
                <w:sz w:val="20"/>
                <w:szCs w:val="20"/>
                <w:color w:val="auto"/>
                <w:w w:val="88"/>
              </w:rPr>
              <w:t>Aggregate</w:t>
            </w:r>
          </w:p>
        </w:tc>
        <w:tc>
          <w:tcPr>
            <w:tcW w:w="1300" w:type="dxa"/>
            <w:vAlign w:val="bottom"/>
            <w:gridSpan w:val="2"/>
          </w:tcPr>
          <w:p>
            <w:pPr>
              <w:jc w:val="right"/>
              <w:ind w:right="180"/>
              <w:spacing w:after="0"/>
              <w:rPr>
                <w:sz w:val="20"/>
                <w:szCs w:val="20"/>
                <w:color w:val="auto"/>
              </w:rPr>
            </w:pPr>
            <w:r>
              <w:rPr>
                <w:rFonts w:ascii="Arial" w:cs="Arial" w:eastAsia="Arial" w:hAnsi="Arial"/>
                <w:sz w:val="20"/>
                <w:szCs w:val="20"/>
                <w:color w:val="auto"/>
              </w:rPr>
              <w:t>eighted</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40" w:type="dxa"/>
            <w:vAlign w:val="bottom"/>
            <w:vMerge w:val="restart"/>
          </w:tcPr>
          <w:p>
            <w:pPr>
              <w:jc w:val="center"/>
              <w:ind w:left="5124"/>
              <w:spacing w:after="0"/>
              <w:rPr>
                <w:sz w:val="20"/>
                <w:szCs w:val="20"/>
                <w:color w:val="auto"/>
              </w:rPr>
            </w:pPr>
            <w:r>
              <w:rPr>
                <w:rFonts w:ascii="Arial" w:cs="Arial" w:eastAsia="Arial" w:hAnsi="Arial"/>
                <w:sz w:val="20"/>
                <w:szCs w:val="20"/>
                <w:color w:val="auto"/>
                <w:w w:val="85"/>
              </w:rPr>
              <w:t>Shares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23"/>
              <w:spacing w:after="0" w:line="200" w:lineRule="exact"/>
              <w:rPr>
                <w:sz w:val="20"/>
                <w:szCs w:val="20"/>
                <w:color w:val="auto"/>
              </w:rPr>
            </w:pPr>
            <w:r>
              <w:rPr>
                <w:rFonts w:ascii="Arial" w:cs="Arial" w:eastAsia="Arial" w:hAnsi="Arial"/>
                <w:sz w:val="20"/>
                <w:szCs w:val="20"/>
                <w:color w:val="auto"/>
                <w:w w:val="95"/>
              </w:rPr>
              <w:t>Intrinsic</w:t>
            </w:r>
          </w:p>
        </w:tc>
        <w:tc>
          <w:tcPr>
            <w:tcW w:w="1300" w:type="dxa"/>
            <w:vAlign w:val="bottom"/>
            <w:gridSpan w:val="2"/>
          </w:tcPr>
          <w:p>
            <w:pPr>
              <w:jc w:val="right"/>
              <w:ind w:right="240"/>
              <w:spacing w:after="0" w:line="200" w:lineRule="exact"/>
              <w:rPr>
                <w:sz w:val="20"/>
                <w:szCs w:val="20"/>
                <w:color w:val="auto"/>
              </w:rPr>
            </w:pPr>
            <w:r>
              <w:rPr>
                <w:rFonts w:ascii="Arial" w:cs="Arial" w:eastAsia="Arial" w:hAnsi="Arial"/>
                <w:sz w:val="20"/>
                <w:szCs w:val="20"/>
                <w:color w:val="auto"/>
              </w:rPr>
              <w:t>Average</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363"/>
              <w:spacing w:after="0" w:line="200" w:lineRule="exact"/>
              <w:rPr>
                <w:sz w:val="20"/>
                <w:szCs w:val="20"/>
                <w:color w:val="auto"/>
              </w:rPr>
            </w:pPr>
            <w:r>
              <w:rPr>
                <w:rFonts w:ascii="Arial" w:cs="Arial" w:eastAsia="Arial" w:hAnsi="Arial"/>
                <w:sz w:val="20"/>
                <w:szCs w:val="20"/>
                <w:color w:val="auto"/>
              </w:rPr>
              <w:t>alue</w:t>
            </w:r>
          </w:p>
        </w:tc>
        <w:tc>
          <w:tcPr>
            <w:tcW w:w="1300" w:type="dxa"/>
            <w:vAlign w:val="bottom"/>
            <w:gridSpan w:val="2"/>
          </w:tcPr>
          <w:p>
            <w:pPr>
              <w:jc w:val="right"/>
              <w:ind w:right="140"/>
              <w:spacing w:after="0" w:line="200" w:lineRule="exact"/>
              <w:rPr>
                <w:sz w:val="20"/>
                <w:szCs w:val="20"/>
                <w:color w:val="auto"/>
              </w:rPr>
            </w:pPr>
            <w:r>
              <w:rPr>
                <w:rFonts w:ascii="Arial" w:cs="Arial" w:eastAsia="Arial" w:hAnsi="Arial"/>
                <w:sz w:val="20"/>
                <w:szCs w:val="20"/>
                <w:color w:val="auto"/>
              </w:rPr>
              <w:t>emaining</w:t>
            </w:r>
          </w:p>
        </w:tc>
        <w:tc>
          <w:tcPr>
            <w:tcW w:w="340" w:type="dxa"/>
            <w:vAlign w:val="bottom"/>
          </w:tcPr>
          <w:p>
            <w:pPr>
              <w:spacing w:after="0"/>
              <w:rPr>
                <w:sz w:val="17"/>
                <w:szCs w:val="17"/>
                <w:color w:val="auto"/>
              </w:rPr>
            </w:pPr>
          </w:p>
        </w:tc>
        <w:tc>
          <w:tcPr>
            <w:tcW w:w="980" w:type="dxa"/>
            <w:vAlign w:val="bottom"/>
            <w:vMerge w:val="restart"/>
          </w:tcPr>
          <w:p>
            <w:pPr>
              <w:jc w:val="right"/>
              <w:ind w:right="280"/>
              <w:spacing w:after="0"/>
              <w:rPr>
                <w:sz w:val="20"/>
                <w:szCs w:val="20"/>
                <w:color w:val="auto"/>
              </w:rPr>
            </w:pPr>
            <w:r>
              <w:rPr>
                <w:rFonts w:ascii="Arial" w:cs="Arial" w:eastAsia="Arial" w:hAnsi="Arial"/>
                <w:sz w:val="20"/>
                <w:szCs w:val="20"/>
                <w:color w:val="auto"/>
              </w:rPr>
              <w:t>AEP</w:t>
            </w:r>
          </w:p>
        </w:tc>
        <w:tc>
          <w:tcPr>
            <w:tcW w:w="0" w:type="dxa"/>
            <w:vAlign w:val="bottom"/>
          </w:tcPr>
          <w:p>
            <w:pPr>
              <w:spacing w:after="0"/>
              <w:rPr>
                <w:sz w:val="1"/>
                <w:szCs w:val="1"/>
                <w:color w:val="auto"/>
              </w:rPr>
            </w:pPr>
          </w:p>
        </w:tc>
      </w:tr>
      <w:tr>
        <w:trPr>
          <w:trHeight w:val="227"/>
        </w:trPr>
        <w:tc>
          <w:tcPr>
            <w:tcW w:w="6040" w:type="dxa"/>
            <w:vAlign w:val="bottom"/>
            <w:tcBorders>
              <w:bottom w:val="single" w:sz="8" w:color="auto"/>
            </w:tcBorders>
          </w:tcPr>
          <w:p>
            <w:pPr>
              <w:jc w:val="center"/>
              <w:ind w:left="5124"/>
              <w:spacing w:after="0"/>
              <w:rPr>
                <w:sz w:val="20"/>
                <w:szCs w:val="20"/>
                <w:color w:val="auto"/>
              </w:rPr>
            </w:pPr>
            <w:r>
              <w:rPr>
                <w:rFonts w:ascii="Arial" w:cs="Arial" w:eastAsia="Arial" w:hAnsi="Arial"/>
                <w:sz w:val="16"/>
                <w:szCs w:val="16"/>
                <w:color w:val="auto"/>
                <w:w w:val="96"/>
              </w:rPr>
              <w:t>(in millions)</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23"/>
              <w:spacing w:after="0"/>
              <w:rPr>
                <w:sz w:val="20"/>
                <w:szCs w:val="20"/>
                <w:color w:val="auto"/>
              </w:rPr>
            </w:pPr>
            <w:r>
              <w:rPr>
                <w:rFonts w:ascii="Arial" w:cs="Arial" w:eastAsia="Arial" w:hAnsi="Arial"/>
                <w:sz w:val="16"/>
                <w:szCs w:val="16"/>
                <w:color w:val="auto"/>
                <w:w w:val="96"/>
              </w:rPr>
              <w:t>(in millions)</w:t>
            </w:r>
          </w:p>
        </w:tc>
        <w:tc>
          <w:tcPr>
            <w:tcW w:w="1300" w:type="dxa"/>
            <w:vAlign w:val="bottom"/>
            <w:tcBorders>
              <w:bottom w:val="single" w:sz="8" w:color="auto"/>
            </w:tcBorders>
            <w:gridSpan w:val="2"/>
          </w:tcPr>
          <w:p>
            <w:pPr>
              <w:jc w:val="right"/>
              <w:ind w:right="40"/>
              <w:spacing w:after="0" w:line="227" w:lineRule="exact"/>
              <w:rPr>
                <w:sz w:val="20"/>
                <w:szCs w:val="20"/>
                <w:color w:val="auto"/>
              </w:rPr>
            </w:pPr>
            <w:r>
              <w:rPr>
                <w:rFonts w:ascii="Arial" w:cs="Arial" w:eastAsia="Arial" w:hAnsi="Arial"/>
                <w:sz w:val="20"/>
                <w:szCs w:val="20"/>
                <w:color w:val="auto"/>
              </w:rPr>
              <w:t>Contract Life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040" w:type="dxa"/>
            <w:vAlign w:val="bottom"/>
            <w:shd w:val="clear" w:color="auto" w:fill="E4E4E4"/>
          </w:tcPr>
          <w:p>
            <w:pPr>
              <w:ind w:left="180"/>
              <w:spacing w:after="0"/>
              <w:rPr>
                <w:sz w:val="20"/>
                <w:szCs w:val="20"/>
                <w:color w:val="auto"/>
              </w:rPr>
            </w:pPr>
            <w:r>
              <w:rPr>
                <w:rFonts w:ascii="Arial" w:cs="Arial" w:eastAsia="Arial" w:hAnsi="Arial"/>
                <w:sz w:val="20"/>
                <w:szCs w:val="20"/>
                <w:color w:val="auto"/>
              </w:rPr>
              <w:t>ptions outstanding expected to vest</w:t>
            </w:r>
            <w:r>
              <w:rPr>
                <w:rFonts w:ascii="Arial" w:cs="Arial" w:eastAsia="Arial" w:hAnsi="Arial"/>
                <w:sz w:val="13"/>
                <w:szCs w:val="13"/>
                <w:color w:val="auto"/>
              </w:rPr>
              <w:t>(a)</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ind w:right="23"/>
              <w:spacing w:after="0"/>
              <w:rPr>
                <w:sz w:val="20"/>
                <w:szCs w:val="20"/>
                <w:color w:val="auto"/>
              </w:rPr>
            </w:pPr>
            <w:r>
              <w:rPr>
                <w:rFonts w:ascii="Arial" w:cs="Arial" w:eastAsia="Arial" w:hAnsi="Arial"/>
                <w:sz w:val="20"/>
                <w:szCs w:val="20"/>
                <w:color w:val="auto"/>
              </w:rPr>
              <w:t>1 3</w:t>
            </w:r>
          </w:p>
        </w:tc>
        <w:tc>
          <w:tcPr>
            <w:tcW w:w="7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w:t>
            </w:r>
          </w:p>
        </w:tc>
        <w:tc>
          <w:tcPr>
            <w:tcW w:w="5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98"/>
              </w:rPr>
              <w:t>years</w:t>
            </w:r>
          </w:p>
        </w:tc>
        <w:tc>
          <w:tcPr>
            <w:tcW w:w="3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121.84</w:t>
            </w:r>
          </w:p>
        </w:tc>
        <w:tc>
          <w:tcPr>
            <w:tcW w:w="0" w:type="dxa"/>
            <w:vAlign w:val="bottom"/>
          </w:tcPr>
          <w:p>
            <w:pPr>
              <w:spacing w:after="0"/>
              <w:rPr>
                <w:sz w:val="1"/>
                <w:szCs w:val="1"/>
                <w:color w:val="auto"/>
              </w:rPr>
            </w:pPr>
          </w:p>
        </w:tc>
      </w:tr>
      <w:tr>
        <w:trPr>
          <w:trHeight w:val="290"/>
        </w:trPr>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ptions exercisable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years</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64.31</w:t>
            </w:r>
          </w:p>
        </w:tc>
        <w:tc>
          <w:tcPr>
            <w:tcW w:w="0" w:type="dxa"/>
            <w:vAlign w:val="bottom"/>
          </w:tcPr>
          <w:p>
            <w:pPr>
              <w:spacing w:after="0"/>
              <w:rPr>
                <w:sz w:val="1"/>
                <w:szCs w:val="1"/>
                <w:color w:val="auto"/>
              </w:rPr>
            </w:pPr>
          </w:p>
        </w:tc>
      </w:tr>
      <w:tr>
        <w:trPr>
          <w:trHeight w:val="280"/>
        </w:trPr>
        <w:tc>
          <w:tcPr>
            <w:tcW w:w="6040" w:type="dxa"/>
            <w:vAlign w:val="bottom"/>
            <w:tcBorders>
              <w:bottom w:val="single" w:sz="8" w:color="auto"/>
            </w:tcBorders>
            <w:shd w:val="clear" w:color="auto" w:fill="E4E4E4"/>
          </w:tcPr>
          <w:p>
            <w:pPr>
              <w:ind w:left="400"/>
              <w:spacing w:after="0"/>
              <w:rPr>
                <w:sz w:val="20"/>
                <w:szCs w:val="20"/>
                <w:color w:val="auto"/>
              </w:rPr>
            </w:pPr>
            <w:r>
              <w:rPr>
                <w:rFonts w:ascii="Arial" w:cs="Arial" w:eastAsia="Arial" w:hAnsi="Arial"/>
                <w:sz w:val="20"/>
                <w:szCs w:val="20"/>
                <w:color w:val="auto"/>
              </w:rPr>
              <w:t>otal outstanding options  ested and e pected to  est</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0"/>
              </w:rPr>
              <w:t>28</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ind w:right="23"/>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5.9 years</w:t>
            </w:r>
          </w:p>
        </w:tc>
        <w:tc>
          <w:tcPr>
            <w:tcW w:w="34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78.38</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eflects 7 million unvested options, net of anticipated forfeitures.</w:t>
      </w:r>
    </w:p>
    <w:p>
      <w:pPr>
        <w:spacing w:after="0" w:line="100"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22"/>
          <w:szCs w:val="22"/>
          <w:i w:val="1"/>
          <w:iCs w:val="1"/>
          <w:color w:val="auto"/>
        </w:rPr>
        <w:t>toc</w:t>
      </w:r>
      <w:r>
        <w:rPr>
          <w:sz w:val="20"/>
          <w:szCs w:val="20"/>
          <w:color w:val="auto"/>
        </w:rPr>
        <w:tab/>
      </w:r>
      <w:r>
        <w:rPr>
          <w:rFonts w:ascii="Arial" w:cs="Arial" w:eastAsia="Arial" w:hAnsi="Arial"/>
          <w:sz w:val="22"/>
          <w:szCs w:val="22"/>
          <w:i w:val="1"/>
          <w:iCs w:val="1"/>
          <w:color w:val="auto"/>
        </w:rPr>
        <w:t>ards</w:t>
      </w:r>
    </w:p>
    <w:p>
      <w:pPr>
        <w:spacing w:after="0" w:line="14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TJX grants restricted stock units and performance share units under the Stock Incentive Plan. estricted stock units and performance share units are collectively referred to as stock awards. These stock awards were granted without a purchase price to the recipient and are subject to vesting conditions. esting conditions for performance share units include specified performance criteria, generally for a period of three fiscal years. The grant date fair value of the stock awards is charged to income over the re uisite service period, generally three years, during which the recipient must remain employed. The fair value of the stock awards is determined at date of grant in accordance with ASC Topic 718 and, for performance share units, assumes that performance goals will be achieved at target. Performance share units and related compensation costs recogni ed are adjusted, as applicable, for performance above or below the target specified in the award.</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There were no significant modifications to stock awards in fiscal 2026, fiscal 2025 or fiscal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F-25</w:t>
      </w:r>
    </w:p>
    <w:p>
      <w:pPr>
        <w:sectPr>
          <w:pgSz w:w="12240" w:h="15841" w:orient="portrait"/>
          <w:cols w:equalWidth="0" w:num="1">
            <w:col w:w="10260"/>
          </w:cols>
          <w:pgMar w:left="1000" w:top="792" w:right="981"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 summary of the status of the Company’s non-vested stock awards and changes during fiscal 2026 is presented below:</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grant date fair value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jc w:val="center"/>
              <w:ind w:left="320"/>
              <w:spacing w:after="0"/>
              <w:rPr>
                <w:sz w:val="20"/>
                <w:szCs w:val="20"/>
                <w:color w:val="auto"/>
              </w:rPr>
            </w:pPr>
            <w:r>
              <w:rPr>
                <w:rFonts w:ascii="Arial" w:cs="Arial" w:eastAsia="Arial" w:hAnsi="Arial"/>
                <w:sz w:val="20"/>
                <w:szCs w:val="20"/>
                <w:color w:val="auto"/>
                <w:w w:val="88"/>
              </w:rPr>
              <w:t>eighted</w:t>
            </w:r>
          </w:p>
        </w:tc>
        <w:tc>
          <w:tcPr>
            <w:tcW w:w="0" w:type="dxa"/>
            <w:vAlign w:val="bottom"/>
          </w:tcPr>
          <w:p>
            <w:pPr>
              <w:spacing w:after="0"/>
              <w:rPr>
                <w:sz w:val="1"/>
                <w:szCs w:val="1"/>
                <w:color w:val="auto"/>
              </w:rPr>
            </w:pPr>
          </w:p>
        </w:tc>
      </w:tr>
      <w:tr>
        <w:trPr>
          <w:trHeight w:val="200"/>
        </w:trPr>
        <w:tc>
          <w:tcPr>
            <w:tcW w:w="1100" w:type="dxa"/>
            <w:vAlign w:val="bottom"/>
            <w:vMerge w:val="restart"/>
          </w:tcPr>
          <w:p>
            <w:pPr>
              <w:ind w:left="200"/>
              <w:spacing w:after="0"/>
              <w:rPr>
                <w:sz w:val="20"/>
                <w:szCs w:val="20"/>
                <w:color w:val="auto"/>
              </w:rPr>
            </w:pPr>
            <w:r>
              <w:rPr>
                <w:rFonts w:ascii="Arial" w:cs="Arial" w:eastAsia="Arial" w:hAnsi="Arial"/>
                <w:sz w:val="20"/>
                <w:szCs w:val="20"/>
                <w:color w:val="auto"/>
              </w:rPr>
              <w:t>estricted</w:t>
            </w:r>
          </w:p>
        </w:tc>
        <w:tc>
          <w:tcPr>
            <w:tcW w:w="1380" w:type="dxa"/>
            <w:vAlign w:val="bottom"/>
            <w:vMerge w:val="restart"/>
          </w:tcPr>
          <w:p>
            <w:pPr>
              <w:jc w:val="center"/>
              <w:spacing w:after="0"/>
              <w:rPr>
                <w:sz w:val="20"/>
                <w:szCs w:val="20"/>
                <w:color w:val="auto"/>
              </w:rPr>
            </w:pPr>
            <w:r>
              <w:rPr>
                <w:rFonts w:ascii="Arial" w:cs="Arial" w:eastAsia="Arial" w:hAnsi="Arial"/>
                <w:sz w:val="20"/>
                <w:szCs w:val="20"/>
                <w:color w:val="auto"/>
                <w:w w:val="89"/>
              </w:rPr>
              <w:t>Performance</w:t>
            </w:r>
          </w:p>
        </w:tc>
        <w:tc>
          <w:tcPr>
            <w:tcW w:w="1360" w:type="dxa"/>
            <w:vAlign w:val="bottom"/>
            <w:vMerge w:val="restart"/>
          </w:tcPr>
          <w:p>
            <w:pPr>
              <w:jc w:val="center"/>
              <w:spacing w:after="0"/>
              <w:rPr>
                <w:sz w:val="20"/>
                <w:szCs w:val="20"/>
                <w:color w:val="auto"/>
              </w:rPr>
            </w:pPr>
            <w:r>
              <w:rPr>
                <w:rFonts w:ascii="Arial" w:cs="Arial" w:eastAsia="Arial" w:hAnsi="Arial"/>
                <w:sz w:val="20"/>
                <w:szCs w:val="20"/>
                <w:color w:val="auto"/>
                <w:w w:val="93"/>
              </w:rPr>
              <w:t>Total Stock</w:t>
            </w:r>
          </w:p>
        </w:tc>
        <w:tc>
          <w:tcPr>
            <w:tcW w:w="1120" w:type="dxa"/>
            <w:vAlign w:val="bottom"/>
          </w:tcPr>
          <w:p>
            <w:pPr>
              <w:jc w:val="center"/>
              <w:ind w:left="140"/>
              <w:spacing w:after="0" w:line="200" w:lineRule="exact"/>
              <w:rPr>
                <w:sz w:val="20"/>
                <w:szCs w:val="20"/>
                <w:color w:val="auto"/>
              </w:rPr>
            </w:pPr>
            <w:r>
              <w:rPr>
                <w:rFonts w:ascii="Arial" w:cs="Arial" w:eastAsia="Arial" w:hAnsi="Arial"/>
                <w:sz w:val="20"/>
                <w:szCs w:val="20"/>
                <w:color w:val="auto"/>
                <w:w w:val="91"/>
              </w:rPr>
              <w:t>Average</w:t>
            </w:r>
          </w:p>
        </w:tc>
        <w:tc>
          <w:tcPr>
            <w:tcW w:w="0" w:type="dxa"/>
            <w:vAlign w:val="bottom"/>
          </w:tcPr>
          <w:p>
            <w:pPr>
              <w:spacing w:after="0"/>
              <w:rPr>
                <w:sz w:val="1"/>
                <w:szCs w:val="1"/>
                <w:color w:val="auto"/>
              </w:rPr>
            </w:pPr>
          </w:p>
        </w:tc>
      </w:tr>
      <w:tr>
        <w:trPr>
          <w:trHeight w:val="200"/>
        </w:trPr>
        <w:tc>
          <w:tcPr>
            <w:tcW w:w="1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20" w:type="dxa"/>
            <w:vAlign w:val="bottom"/>
          </w:tcPr>
          <w:p>
            <w:pPr>
              <w:jc w:val="center"/>
              <w:ind w:left="280"/>
              <w:spacing w:after="0" w:line="200" w:lineRule="exact"/>
              <w:rPr>
                <w:sz w:val="20"/>
                <w:szCs w:val="20"/>
                <w:color w:val="auto"/>
              </w:rPr>
            </w:pPr>
            <w:r>
              <w:rPr>
                <w:rFonts w:ascii="Arial" w:cs="Arial" w:eastAsia="Arial" w:hAnsi="Arial"/>
                <w:sz w:val="20"/>
                <w:szCs w:val="20"/>
                <w:color w:val="auto"/>
                <w:w w:val="89"/>
              </w:rPr>
              <w:t>rant Date</w:t>
            </w: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0"/>
                <w:szCs w:val="20"/>
                <w:color w:val="auto"/>
              </w:rPr>
            </w:pPr>
            <w:r>
              <w:rPr>
                <w:rFonts w:ascii="Arial" w:cs="Arial" w:eastAsia="Arial" w:hAnsi="Arial"/>
                <w:sz w:val="20"/>
                <w:szCs w:val="20"/>
                <w:color w:val="auto"/>
              </w:rPr>
              <w:t>Stock  nits</w:t>
            </w:r>
          </w:p>
        </w:tc>
        <w:tc>
          <w:tcPr>
            <w:tcW w:w="1380" w:type="dxa"/>
            <w:vAlign w:val="bottom"/>
          </w:tcPr>
          <w:p>
            <w:pPr>
              <w:jc w:val="center"/>
              <w:spacing w:after="0"/>
              <w:rPr>
                <w:sz w:val="20"/>
                <w:szCs w:val="20"/>
                <w:color w:val="auto"/>
              </w:rPr>
            </w:pPr>
            <w:r>
              <w:rPr>
                <w:rFonts w:ascii="Arial" w:cs="Arial" w:eastAsia="Arial" w:hAnsi="Arial"/>
                <w:sz w:val="20"/>
                <w:szCs w:val="20"/>
                <w:color w:val="auto"/>
                <w:w w:val="98"/>
              </w:rPr>
              <w:t>Share  nits</w:t>
            </w:r>
          </w:p>
        </w:tc>
        <w:tc>
          <w:tcPr>
            <w:tcW w:w="1360" w:type="dxa"/>
            <w:vAlign w:val="bottom"/>
          </w:tcPr>
          <w:p>
            <w:pPr>
              <w:jc w:val="center"/>
              <w:spacing w:after="0"/>
              <w:rPr>
                <w:sz w:val="20"/>
                <w:szCs w:val="20"/>
                <w:color w:val="auto"/>
              </w:rPr>
            </w:pPr>
            <w:r>
              <w:rPr>
                <w:rFonts w:ascii="Arial" w:cs="Arial" w:eastAsia="Arial" w:hAnsi="Arial"/>
                <w:sz w:val="20"/>
                <w:szCs w:val="20"/>
                <w:color w:val="auto"/>
                <w:w w:val="92"/>
              </w:rPr>
              <w:t>Awards</w:t>
            </w:r>
          </w:p>
        </w:tc>
        <w:tc>
          <w:tcPr>
            <w:tcW w:w="1120" w:type="dxa"/>
            <w:vAlign w:val="bottom"/>
          </w:tcPr>
          <w:p>
            <w:pPr>
              <w:jc w:val="center"/>
              <w:ind w:left="140"/>
              <w:spacing w:after="0"/>
              <w:rPr>
                <w:sz w:val="20"/>
                <w:szCs w:val="20"/>
                <w:color w:val="auto"/>
              </w:rPr>
            </w:pPr>
            <w:r>
              <w:rPr>
                <w:rFonts w:ascii="Arial" w:cs="Arial" w:eastAsia="Arial" w:hAnsi="Arial"/>
                <w:sz w:val="20"/>
                <w:szCs w:val="20"/>
                <w:color w:val="auto"/>
              </w:rPr>
              <w:t>Fair  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1" w:orient="portrait"/>
          <w:cols w:equalWidth="0" w:num="2">
            <w:col w:w="4260" w:space="720"/>
            <w:col w:w="5280"/>
          </w:cols>
          <w:pgMar w:left="1000" w:top="792" w:right="981" w:bottom="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440" w:type="dxa"/>
            <w:vAlign w:val="bottom"/>
            <w:tcBorders>
              <w:top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Non</w:t>
            </w:r>
          </w:p>
        </w:tc>
        <w:tc>
          <w:tcPr>
            <w:tcW w:w="3700" w:type="dxa"/>
            <w:vAlign w:val="bottom"/>
            <w:tcBorders>
              <w:top w:val="single" w:sz="8" w:color="auto"/>
            </w:tcBorders>
            <w:shd w:val="clear" w:color="auto" w:fill="E4E4E4"/>
          </w:tcPr>
          <w:p>
            <w:pPr>
              <w:ind w:left="60"/>
              <w:spacing w:after="0"/>
              <w:rPr>
                <w:sz w:val="20"/>
                <w:szCs w:val="20"/>
                <w:color w:val="auto"/>
              </w:rPr>
            </w:pPr>
            <w:r>
              <w:rPr>
                <w:rFonts w:ascii="Arial" w:cs="Arial" w:eastAsia="Arial" w:hAnsi="Arial"/>
                <w:sz w:val="20"/>
                <w:szCs w:val="20"/>
                <w:color w:val="auto"/>
              </w:rPr>
              <w:t>ested at beginning of year</w:t>
            </w:r>
          </w:p>
        </w:tc>
        <w:tc>
          <w:tcPr>
            <w:tcW w:w="2360" w:type="dxa"/>
            <w:vAlign w:val="bottom"/>
            <w:tcBorders>
              <w:top w:val="single" w:sz="8" w:color="auto"/>
            </w:tcBorders>
            <w:shd w:val="clear" w:color="auto" w:fill="E4E4E4"/>
          </w:tcPr>
          <w:p>
            <w:pPr>
              <w:jc w:val="right"/>
              <w:ind w:right="380"/>
              <w:spacing w:after="0"/>
              <w:rPr>
                <w:sz w:val="20"/>
                <w:szCs w:val="20"/>
                <w:color w:val="auto"/>
              </w:rPr>
            </w:pPr>
            <w:r>
              <w:rPr>
                <w:rFonts w:ascii="Arial" w:cs="Arial" w:eastAsia="Arial" w:hAnsi="Arial"/>
                <w:sz w:val="20"/>
                <w:szCs w:val="20"/>
                <w:color w:val="auto"/>
              </w:rPr>
              <w:t>1,141</w:t>
            </w:r>
          </w:p>
        </w:tc>
        <w:tc>
          <w:tcPr>
            <w:tcW w:w="1320" w:type="dxa"/>
            <w:vAlign w:val="bottom"/>
            <w:tcBorders>
              <w:top w:val="single" w:sz="8" w:color="auto"/>
            </w:tcBorders>
            <w:shd w:val="clear" w:color="auto" w:fill="E4E4E4"/>
          </w:tcPr>
          <w:p>
            <w:pPr>
              <w:jc w:val="right"/>
              <w:ind w:right="380"/>
              <w:spacing w:after="0"/>
              <w:rPr>
                <w:sz w:val="20"/>
                <w:szCs w:val="20"/>
                <w:color w:val="auto"/>
              </w:rPr>
            </w:pPr>
            <w:r>
              <w:rPr>
                <w:rFonts w:ascii="Arial" w:cs="Arial" w:eastAsia="Arial" w:hAnsi="Arial"/>
                <w:sz w:val="20"/>
                <w:szCs w:val="20"/>
                <w:color w:val="auto"/>
              </w:rPr>
              <w:t>1,071</w:t>
            </w:r>
          </w:p>
        </w:tc>
        <w:tc>
          <w:tcPr>
            <w:tcW w:w="84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2,212</w:t>
            </w:r>
          </w:p>
        </w:tc>
        <w:tc>
          <w:tcPr>
            <w:tcW w:w="600" w:type="dxa"/>
            <w:vAlign w:val="bottom"/>
            <w:tcBorders>
              <w:top w:val="single" w:sz="8" w:color="auto"/>
            </w:tcBorders>
            <w:shd w:val="clear" w:color="auto" w:fill="E4E4E4"/>
          </w:tcPr>
          <w:p>
            <w:pPr>
              <w:jc w:val="right"/>
              <w:ind w:right="26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76.82</w:t>
            </w:r>
          </w:p>
        </w:tc>
      </w:tr>
      <w:tr>
        <w:trPr>
          <w:trHeight w:val="293"/>
        </w:trPr>
        <w:tc>
          <w:tcPr>
            <w:tcW w:w="4140" w:type="dxa"/>
            <w:vAlign w:val="bottom"/>
            <w:gridSpan w:val="2"/>
            <w:shd w:val="clear" w:color="auto" w:fill="FEFEFE"/>
          </w:tcPr>
          <w:p>
            <w:pPr>
              <w:ind w:left="180"/>
              <w:spacing w:after="0"/>
              <w:rPr>
                <w:sz w:val="20"/>
                <w:szCs w:val="20"/>
                <w:color w:val="auto"/>
              </w:rPr>
            </w:pPr>
            <w:r>
              <w:rPr>
                <w:rFonts w:ascii="Arial" w:cs="Arial" w:eastAsia="Arial" w:hAnsi="Arial"/>
                <w:sz w:val="20"/>
                <w:szCs w:val="20"/>
                <w:color w:val="auto"/>
              </w:rPr>
              <w:t>ranted</w:t>
            </w:r>
          </w:p>
        </w:tc>
        <w:tc>
          <w:tcPr>
            <w:tcW w:w="2360" w:type="dxa"/>
            <w:vAlign w:val="bottom"/>
            <w:shd w:val="clear" w:color="auto" w:fill="FEFEFE"/>
          </w:tcPr>
          <w:p>
            <w:pPr>
              <w:jc w:val="right"/>
              <w:ind w:right="380"/>
              <w:spacing w:after="0"/>
              <w:rPr>
                <w:sz w:val="20"/>
                <w:szCs w:val="20"/>
                <w:color w:val="auto"/>
              </w:rPr>
            </w:pPr>
            <w:r>
              <w:rPr>
                <w:rFonts w:ascii="Arial" w:cs="Arial" w:eastAsia="Arial" w:hAnsi="Arial"/>
                <w:sz w:val="20"/>
                <w:szCs w:val="20"/>
                <w:color w:val="auto"/>
              </w:rPr>
              <w:t>263</w:t>
            </w:r>
          </w:p>
        </w:tc>
        <w:tc>
          <w:tcPr>
            <w:tcW w:w="1320" w:type="dxa"/>
            <w:vAlign w:val="bottom"/>
            <w:shd w:val="clear" w:color="auto" w:fill="FEFEFE"/>
          </w:tcPr>
          <w:p>
            <w:pPr>
              <w:jc w:val="right"/>
              <w:ind w:right="380"/>
              <w:spacing w:after="0"/>
              <w:rPr>
                <w:sz w:val="20"/>
                <w:szCs w:val="20"/>
                <w:color w:val="auto"/>
              </w:rPr>
            </w:pPr>
            <w:r>
              <w:rPr>
                <w:rFonts w:ascii="Arial" w:cs="Arial" w:eastAsia="Arial" w:hAnsi="Arial"/>
                <w:sz w:val="20"/>
                <w:szCs w:val="20"/>
                <w:color w:val="auto"/>
              </w:rPr>
              <w:t>265</w:t>
            </w:r>
          </w:p>
        </w:tc>
        <w:tc>
          <w:tcPr>
            <w:tcW w:w="8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528</w:t>
            </w:r>
          </w:p>
        </w:tc>
        <w:tc>
          <w:tcPr>
            <w:tcW w:w="600" w:type="dxa"/>
            <w:vAlign w:val="bottom"/>
            <w:shd w:val="clear" w:color="auto" w:fill="FEFEFE"/>
          </w:tcPr>
          <w:p>
            <w:pPr>
              <w:spacing w:after="0"/>
              <w:rPr>
                <w:sz w:val="24"/>
                <w:szCs w:val="24"/>
                <w:color w:val="auto"/>
              </w:rPr>
            </w:pPr>
          </w:p>
        </w:tc>
        <w:tc>
          <w:tcPr>
            <w:tcW w:w="10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121.80</w:t>
            </w:r>
          </w:p>
        </w:tc>
      </w:tr>
      <w:tr>
        <w:trPr>
          <w:trHeight w:val="307"/>
        </w:trPr>
        <w:tc>
          <w:tcPr>
            <w:tcW w:w="4140" w:type="dxa"/>
            <w:vAlign w:val="bottom"/>
            <w:gridSpan w:val="2"/>
            <w:shd w:val="clear" w:color="auto" w:fill="E4E4E4"/>
          </w:tcPr>
          <w:p>
            <w:pPr>
              <w:ind w:left="180"/>
              <w:spacing w:after="0"/>
              <w:rPr>
                <w:sz w:val="20"/>
                <w:szCs w:val="20"/>
                <w:color w:val="auto"/>
              </w:rPr>
            </w:pPr>
            <w:r>
              <w:rPr>
                <w:rFonts w:ascii="Arial" w:cs="Arial" w:eastAsia="Arial" w:hAnsi="Arial"/>
                <w:sz w:val="20"/>
                <w:szCs w:val="20"/>
                <w:color w:val="auto"/>
              </w:rPr>
              <w:t>ested</w:t>
            </w:r>
          </w:p>
        </w:tc>
        <w:tc>
          <w:tcPr>
            <w:tcW w:w="236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(3 4)</w:t>
            </w:r>
          </w:p>
        </w:tc>
        <w:tc>
          <w:tcPr>
            <w:tcW w:w="1320" w:type="dxa"/>
            <w:vAlign w:val="bottom"/>
            <w:shd w:val="clear" w:color="auto" w:fill="E4E4E4"/>
          </w:tcPr>
          <w:p>
            <w:pPr>
              <w:jc w:val="right"/>
              <w:ind w:right="300"/>
              <w:spacing w:after="0"/>
              <w:rPr>
                <w:sz w:val="20"/>
                <w:szCs w:val="20"/>
                <w:color w:val="auto"/>
              </w:rPr>
            </w:pPr>
            <w:r>
              <w:rPr>
                <w:rFonts w:ascii="Arial" w:cs="Arial" w:eastAsia="Arial" w:hAnsi="Arial"/>
                <w:sz w:val="20"/>
                <w:szCs w:val="20"/>
                <w:color w:val="auto"/>
              </w:rPr>
              <w:t>(425)</w:t>
            </w: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(81</w:t>
            </w:r>
          </w:p>
        </w:tc>
        <w:tc>
          <w:tcPr>
            <w:tcW w:w="600" w:type="dxa"/>
            <w:vAlign w:val="bottom"/>
            <w:shd w:val="clear" w:color="auto" w:fill="E4E4E4"/>
          </w:tcPr>
          <w:p>
            <w:pPr>
              <w:jc w:val="right"/>
              <w:ind w:right="420"/>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62.34</w:t>
            </w:r>
          </w:p>
        </w:tc>
      </w:tr>
      <w:tr>
        <w:trPr>
          <w:trHeight w:val="290"/>
        </w:trPr>
        <w:tc>
          <w:tcPr>
            <w:tcW w:w="4140" w:type="dxa"/>
            <w:vAlign w:val="bottom"/>
            <w:tcBorders>
              <w:bottom w:val="single" w:sz="8" w:color="auto"/>
            </w:tcBorders>
            <w:gridSpan w:val="2"/>
            <w:shd w:val="clear" w:color="auto" w:fill="FEFEFE"/>
          </w:tcPr>
          <w:p>
            <w:pPr>
              <w:ind w:left="40"/>
              <w:spacing w:after="0"/>
              <w:rPr>
                <w:sz w:val="20"/>
                <w:szCs w:val="20"/>
                <w:color w:val="auto"/>
              </w:rPr>
            </w:pPr>
            <w:r>
              <w:rPr>
                <w:rFonts w:ascii="Arial" w:cs="Arial" w:eastAsia="Arial" w:hAnsi="Arial"/>
                <w:sz w:val="20"/>
                <w:szCs w:val="20"/>
                <w:color w:val="auto"/>
              </w:rPr>
              <w:t>Forfeited</w:t>
            </w:r>
          </w:p>
        </w:tc>
        <w:tc>
          <w:tcPr>
            <w:tcW w:w="2360" w:type="dxa"/>
            <w:vAlign w:val="bottom"/>
            <w:tcBorders>
              <w:bottom w:val="single" w:sz="8" w:color="auto"/>
            </w:tcBorders>
            <w:shd w:val="clear" w:color="auto" w:fill="FEFEFE"/>
          </w:tcPr>
          <w:p>
            <w:pPr>
              <w:jc w:val="right"/>
              <w:ind w:right="300"/>
              <w:spacing w:after="0"/>
              <w:rPr>
                <w:sz w:val="20"/>
                <w:szCs w:val="20"/>
                <w:color w:val="auto"/>
              </w:rPr>
            </w:pPr>
            <w:r>
              <w:rPr>
                <w:rFonts w:ascii="Arial" w:cs="Arial" w:eastAsia="Arial" w:hAnsi="Arial"/>
                <w:sz w:val="20"/>
                <w:szCs w:val="20"/>
                <w:color w:val="auto"/>
              </w:rPr>
              <w:t>(63)</w:t>
            </w:r>
          </w:p>
        </w:tc>
        <w:tc>
          <w:tcPr>
            <w:tcW w:w="1320" w:type="dxa"/>
            <w:vAlign w:val="bottom"/>
            <w:tcBorders>
              <w:bottom w:val="single" w:sz="8" w:color="auto"/>
            </w:tcBorders>
            <w:shd w:val="clear" w:color="auto" w:fill="FEFEFE"/>
          </w:tcPr>
          <w:p>
            <w:pPr>
              <w:jc w:val="right"/>
              <w:ind w:right="300"/>
              <w:spacing w:after="0"/>
              <w:rPr>
                <w:sz w:val="20"/>
                <w:szCs w:val="20"/>
                <w:color w:val="auto"/>
              </w:rPr>
            </w:pPr>
            <w:r>
              <w:rPr>
                <w:rFonts w:ascii="Arial" w:cs="Arial" w:eastAsia="Arial" w:hAnsi="Arial"/>
                <w:sz w:val="20"/>
                <w:szCs w:val="20"/>
                <w:color w:val="auto"/>
              </w:rPr>
              <w:t>(53)</w:t>
            </w:r>
          </w:p>
        </w:tc>
        <w:tc>
          <w:tcPr>
            <w:tcW w:w="1440" w:type="dxa"/>
            <w:vAlign w:val="bottom"/>
            <w:tcBorders>
              <w:bottom w:val="single" w:sz="8" w:color="auto"/>
            </w:tcBorders>
            <w:gridSpan w:val="2"/>
            <w:shd w:val="clear" w:color="auto" w:fill="FEFEFE"/>
          </w:tcPr>
          <w:p>
            <w:pPr>
              <w:jc w:val="right"/>
              <w:ind w:right="420"/>
              <w:spacing w:after="0"/>
              <w:rPr>
                <w:sz w:val="20"/>
                <w:szCs w:val="20"/>
                <w:color w:val="auto"/>
              </w:rPr>
            </w:pPr>
            <w:r>
              <w:rPr>
                <w:rFonts w:ascii="Arial" w:cs="Arial" w:eastAsia="Arial" w:hAnsi="Arial"/>
                <w:sz w:val="20"/>
                <w:szCs w:val="20"/>
                <w:color w:val="auto"/>
              </w:rPr>
              <w:t>(116)</w:t>
            </w:r>
          </w:p>
        </w:tc>
        <w:tc>
          <w:tcPr>
            <w:tcW w:w="10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3.16</w:t>
            </w:r>
          </w:p>
        </w:tc>
      </w:tr>
      <w:tr>
        <w:trPr>
          <w:trHeight w:val="280"/>
        </w:trPr>
        <w:tc>
          <w:tcPr>
            <w:tcW w:w="44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Non</w:t>
            </w:r>
          </w:p>
        </w:tc>
        <w:tc>
          <w:tcPr>
            <w:tcW w:w="3700" w:type="dxa"/>
            <w:vAlign w:val="bottom"/>
            <w:tcBorders>
              <w:bottom w:val="single" w:sz="8" w:color="auto"/>
            </w:tcBorders>
            <w:shd w:val="clear" w:color="auto" w:fill="E4E4E4"/>
          </w:tcPr>
          <w:p>
            <w:pPr>
              <w:ind w:left="60"/>
              <w:spacing w:after="0"/>
              <w:rPr>
                <w:sz w:val="20"/>
                <w:szCs w:val="20"/>
                <w:color w:val="auto"/>
              </w:rPr>
            </w:pPr>
            <w:r>
              <w:rPr>
                <w:rFonts w:ascii="Arial" w:cs="Arial" w:eastAsia="Arial" w:hAnsi="Arial"/>
                <w:sz w:val="20"/>
                <w:szCs w:val="20"/>
                <w:color w:val="auto"/>
              </w:rPr>
              <w:t>ested at end of year</w:t>
            </w:r>
          </w:p>
        </w:tc>
        <w:tc>
          <w:tcPr>
            <w:tcW w:w="2360" w:type="dxa"/>
            <w:vAlign w:val="bottom"/>
            <w:tcBorders>
              <w:bottom w:val="single" w:sz="8" w:color="auto"/>
            </w:tcBorders>
            <w:shd w:val="clear" w:color="auto" w:fill="E4E4E4"/>
          </w:tcPr>
          <w:p>
            <w:pPr>
              <w:jc w:val="right"/>
              <w:ind w:right="380"/>
              <w:spacing w:after="0"/>
              <w:rPr>
                <w:sz w:val="20"/>
                <w:szCs w:val="20"/>
                <w:color w:val="auto"/>
              </w:rPr>
            </w:pPr>
            <w:r>
              <w:rPr>
                <w:rFonts w:ascii="Arial" w:cs="Arial" w:eastAsia="Arial" w:hAnsi="Arial"/>
                <w:sz w:val="20"/>
                <w:szCs w:val="20"/>
                <w:color w:val="auto"/>
              </w:rPr>
              <w:t>947</w:t>
            </w:r>
          </w:p>
        </w:tc>
        <w:tc>
          <w:tcPr>
            <w:tcW w:w="1320" w:type="dxa"/>
            <w:vAlign w:val="bottom"/>
            <w:tcBorders>
              <w:bottom w:val="single" w:sz="8" w:color="auto"/>
            </w:tcBorders>
            <w:shd w:val="clear" w:color="auto" w:fill="E4E4E4"/>
          </w:tcPr>
          <w:p>
            <w:pPr>
              <w:jc w:val="right"/>
              <w:ind w:right="380"/>
              <w:spacing w:after="0"/>
              <w:rPr>
                <w:sz w:val="20"/>
                <w:szCs w:val="20"/>
                <w:color w:val="auto"/>
              </w:rPr>
            </w:pPr>
            <w:r>
              <w:rPr>
                <w:rFonts w:ascii="Arial" w:cs="Arial" w:eastAsia="Arial" w:hAnsi="Arial"/>
                <w:sz w:val="20"/>
                <w:szCs w:val="20"/>
                <w:color w:val="auto"/>
              </w:rPr>
              <w:t>858</w:t>
            </w: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1,805</w:t>
            </w:r>
          </w:p>
        </w:tc>
        <w:tc>
          <w:tcPr>
            <w:tcW w:w="600" w:type="dxa"/>
            <w:vAlign w:val="bottom"/>
            <w:tcBorders>
              <w:bottom w:val="single" w:sz="8" w:color="auto"/>
            </w:tcBorders>
            <w:shd w:val="clear" w:color="auto" w:fill="E4E4E4"/>
          </w:tcPr>
          <w:p>
            <w:pPr>
              <w:jc w:val="right"/>
              <w:ind w:right="2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95.51</w:t>
            </w:r>
          </w:p>
        </w:tc>
      </w:tr>
    </w:tbl>
    <w:p>
      <w:pPr>
        <w:spacing w:after="0" w:line="147" w:lineRule="exact"/>
        <w:rPr>
          <w:sz w:val="20"/>
          <w:szCs w:val="20"/>
          <w:color w:val="auto"/>
        </w:rPr>
      </w:pPr>
    </w:p>
    <w:p>
      <w:pPr>
        <w:ind w:right="240"/>
        <w:spacing w:after="0" w:line="283" w:lineRule="auto"/>
        <w:rPr>
          <w:sz w:val="20"/>
          <w:szCs w:val="20"/>
          <w:color w:val="auto"/>
        </w:rPr>
      </w:pPr>
      <w:r>
        <w:rPr>
          <w:rFonts w:ascii="Arial" w:cs="Arial" w:eastAsia="Arial" w:hAnsi="Arial"/>
          <w:sz w:val="20"/>
          <w:szCs w:val="20"/>
          <w:color w:val="auto"/>
        </w:rPr>
        <w:t>A summary of units granted and the weighted average grant date fair value for total stock awards over the previous two fiscal years is presented below:</w:t>
      </w:r>
    </w:p>
    <w:p>
      <w:pPr>
        <w:spacing w:after="0" w:line="26" w:lineRule="exact"/>
        <w:rPr>
          <w:sz w:val="20"/>
          <w:szCs w:val="20"/>
          <w:color w:val="auto"/>
        </w:rPr>
      </w:pPr>
    </w:p>
    <w:p>
      <w:pPr>
        <w:ind w:left="7700"/>
        <w:spacing w:after="0"/>
        <w:rPr>
          <w:sz w:val="20"/>
          <w:szCs w:val="20"/>
          <w:color w:val="auto"/>
        </w:rPr>
      </w:pPr>
      <w:r>
        <w:rPr>
          <w:rFonts w:ascii="Arial" w:cs="Arial" w:eastAsia="Arial" w:hAnsi="Arial"/>
          <w:sz w:val="20"/>
          <w:szCs w:val="20"/>
          <w:color w:val="auto"/>
        </w:rPr>
        <w:t>Fiscal Year Ended</w:t>
      </w:r>
    </w:p>
    <w:p>
      <w:pPr>
        <w:sectPr>
          <w:pgSz w:w="12240" w:h="15841" w:orient="portrait"/>
          <w:cols w:equalWidth="0" w:num="1">
            <w:col w:w="10260"/>
          </w:cols>
          <w:pgMar w:left="1000" w:top="792" w:right="981" w:bottom="0" w:gutter="0" w:footer="0" w:header="0"/>
          <w:type w:val="continuous"/>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grant date fair value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Borders>
              <w:top w:val="single" w:sz="8" w:color="auto"/>
            </w:tcBorders>
          </w:tcPr>
          <w:p>
            <w:pPr>
              <w:jc w:val="center"/>
              <w:spacing w:after="0" w:line="215" w:lineRule="exact"/>
              <w:rPr>
                <w:sz w:val="20"/>
                <w:szCs w:val="20"/>
                <w:color w:val="auto"/>
              </w:rPr>
            </w:pPr>
            <w:r>
              <w:rPr>
                <w:rFonts w:ascii="Arial" w:cs="Arial" w:eastAsia="Arial" w:hAnsi="Arial"/>
                <w:sz w:val="20"/>
                <w:szCs w:val="20"/>
                <w:color w:val="auto"/>
                <w:w w:val="89"/>
              </w:rPr>
              <w:t>February 1,</w:t>
            </w:r>
          </w:p>
        </w:tc>
        <w:tc>
          <w:tcPr>
            <w:tcW w:w="1820" w:type="dxa"/>
            <w:vAlign w:val="bottom"/>
            <w:tcBorders>
              <w:top w:val="single" w:sz="8" w:color="auto"/>
            </w:tcBorders>
          </w:tcPr>
          <w:p>
            <w:pPr>
              <w:jc w:val="center"/>
              <w:spacing w:after="0" w:line="215" w:lineRule="exact"/>
              <w:rPr>
                <w:sz w:val="20"/>
                <w:szCs w:val="20"/>
                <w:color w:val="auto"/>
              </w:rPr>
            </w:pPr>
            <w:r>
              <w:rPr>
                <w:rFonts w:ascii="Arial" w:cs="Arial" w:eastAsia="Arial" w:hAnsi="Arial"/>
                <w:sz w:val="20"/>
                <w:szCs w:val="20"/>
                <w:color w:val="auto"/>
                <w:w w:val="89"/>
              </w:rPr>
              <w:t>February 3,</w:t>
            </w:r>
          </w:p>
        </w:tc>
      </w:tr>
      <w:tr>
        <w:trPr>
          <w:trHeight w:val="261"/>
        </w:trPr>
        <w:tc>
          <w:tcPr>
            <w:tcW w:w="1820" w:type="dxa"/>
            <w:vAlign w:val="bottom"/>
          </w:tcPr>
          <w:p>
            <w:pPr>
              <w:jc w:val="right"/>
              <w:ind w:right="620"/>
              <w:spacing w:after="0"/>
              <w:rPr>
                <w:sz w:val="20"/>
                <w:szCs w:val="20"/>
                <w:color w:val="auto"/>
              </w:rPr>
            </w:pPr>
            <w:r>
              <w:rPr>
                <w:rFonts w:ascii="Arial" w:cs="Arial" w:eastAsia="Arial" w:hAnsi="Arial"/>
                <w:sz w:val="20"/>
                <w:szCs w:val="20"/>
                <w:color w:val="auto"/>
              </w:rPr>
              <w:t>2025</w:t>
            </w:r>
          </w:p>
        </w:tc>
        <w:tc>
          <w:tcPr>
            <w:tcW w:w="1820" w:type="dxa"/>
            <w:vAlign w:val="bottom"/>
          </w:tcPr>
          <w:p>
            <w:pPr>
              <w:jc w:val="right"/>
              <w:ind w:right="620"/>
              <w:spacing w:after="0"/>
              <w:rPr>
                <w:sz w:val="20"/>
                <w:szCs w:val="20"/>
                <w:color w:val="auto"/>
              </w:rPr>
            </w:pPr>
            <w:r>
              <w:rPr>
                <w:rFonts w:ascii="Arial" w:cs="Arial" w:eastAsia="Arial" w:hAnsi="Arial"/>
                <w:sz w:val="20"/>
                <w:szCs w:val="20"/>
                <w:color w:val="auto"/>
              </w:rPr>
              <w:t>2024</w:t>
            </w:r>
          </w:p>
        </w:tc>
      </w:tr>
    </w:tbl>
    <w:p>
      <w:pPr>
        <w:spacing w:after="0" w:line="1" w:lineRule="exact"/>
        <w:rPr>
          <w:sz w:val="20"/>
          <w:szCs w:val="20"/>
          <w:color w:val="auto"/>
        </w:rPr>
      </w:pPr>
    </w:p>
    <w:p>
      <w:pPr>
        <w:sectPr>
          <w:pgSz w:w="12240" w:h="15841" w:orient="portrait"/>
          <w:cols w:equalWidth="0" w:num="2">
            <w:col w:w="5900" w:space="720"/>
            <w:col w:w="3640"/>
          </w:cols>
          <w:pgMar w:left="1000" w:top="792" w:right="981" w:bottom="0" w:gutter="0" w:footer="0" w:header="0"/>
          <w:type w:val="continuous"/>
        </w:sectPr>
      </w:pPr>
    </w:p>
    <w:tbl>
      <w:tblPr>
        <w:tblLayout w:type="fixed"/>
        <w:tblInd w:w="0" w:type="dxa"/>
        <w:tblCellMar>
          <w:top w:w="0" w:type="dxa"/>
          <w:left w:w="0" w:type="dxa"/>
          <w:bottom w:w="0" w:type="dxa"/>
          <w:right w:w="0" w:type="dxa"/>
        </w:tblCellMar>
      </w:tblPr>
      <w:tr>
        <w:trPr>
          <w:trHeight w:val="307"/>
        </w:trPr>
        <w:tc>
          <w:tcPr>
            <w:tcW w:w="5020" w:type="dxa"/>
            <w:vAlign w:val="bottom"/>
            <w:tcBorders>
              <w:top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ranted</w:t>
            </w:r>
          </w:p>
        </w:tc>
        <w:tc>
          <w:tcPr>
            <w:tcW w:w="2400" w:type="dxa"/>
            <w:vAlign w:val="bottom"/>
            <w:tcBorders>
              <w:top w:val="single" w:sz="8" w:color="auto"/>
            </w:tcBorders>
            <w:shd w:val="clear" w:color="auto" w:fill="E4E4E4"/>
          </w:tcPr>
          <w:p>
            <w:pPr>
              <w:spacing w:after="0"/>
              <w:rPr>
                <w:sz w:val="24"/>
                <w:szCs w:val="24"/>
                <w:color w:val="auto"/>
              </w:rPr>
            </w:pPr>
          </w:p>
        </w:tc>
        <w:tc>
          <w:tcPr>
            <w:tcW w:w="100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5 2</w:t>
            </w:r>
          </w:p>
        </w:tc>
        <w:tc>
          <w:tcPr>
            <w:tcW w:w="740" w:type="dxa"/>
            <w:vAlign w:val="bottom"/>
            <w:tcBorders>
              <w:top w:val="single" w:sz="8" w:color="auto"/>
            </w:tcBorders>
            <w:shd w:val="clear" w:color="auto" w:fill="E4E4E4"/>
          </w:tcPr>
          <w:p>
            <w:pPr>
              <w:spacing w:after="0"/>
              <w:rPr>
                <w:sz w:val="24"/>
                <w:szCs w:val="24"/>
                <w:color w:val="auto"/>
              </w:rPr>
            </w:pPr>
          </w:p>
        </w:tc>
        <w:tc>
          <w:tcPr>
            <w:tcW w:w="1100" w:type="dxa"/>
            <w:vAlign w:val="bottom"/>
            <w:tcBorders>
              <w:top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6 4</w:t>
            </w:r>
          </w:p>
        </w:tc>
      </w:tr>
      <w:tr>
        <w:trPr>
          <w:trHeight w:val="305"/>
        </w:trPr>
        <w:tc>
          <w:tcPr>
            <w:tcW w:w="5020" w:type="dxa"/>
            <w:vAlign w:val="bottom"/>
            <w:tcBorders>
              <w:bottom w:val="single" w:sz="8" w:color="auto"/>
            </w:tcBorders>
            <w:shd w:val="clear" w:color="auto" w:fill="FEFEFE"/>
          </w:tcPr>
          <w:p>
            <w:pPr>
              <w:ind w:left="240"/>
              <w:spacing w:after="0"/>
              <w:rPr>
                <w:sz w:val="20"/>
                <w:szCs w:val="20"/>
                <w:color w:val="auto"/>
              </w:rPr>
            </w:pPr>
            <w:r>
              <w:rPr>
                <w:rFonts w:ascii="Arial" w:cs="Arial" w:eastAsia="Arial" w:hAnsi="Arial"/>
                <w:sz w:val="20"/>
                <w:szCs w:val="20"/>
                <w:color w:val="auto"/>
              </w:rPr>
              <w:t>eighted Average  rant Date Fair  alue</w:t>
            </w:r>
          </w:p>
        </w:tc>
        <w:tc>
          <w:tcPr>
            <w:tcW w:w="2400" w:type="dxa"/>
            <w:vAlign w:val="bottom"/>
            <w:tcBorders>
              <w:bottom w:val="single" w:sz="8" w:color="auto"/>
            </w:tcBorders>
            <w:shd w:val="clear" w:color="auto" w:fill="FEFEFE"/>
          </w:tcPr>
          <w:p>
            <w:pPr>
              <w:jc w:val="right"/>
              <w:ind w:right="54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.47</w:t>
            </w:r>
          </w:p>
        </w:tc>
        <w:tc>
          <w:tcPr>
            <w:tcW w:w="740" w:type="dxa"/>
            <w:vAlign w:val="bottom"/>
            <w:tcBorders>
              <w:bottom w:val="single" w:sz="8" w:color="auto"/>
            </w:tcBorders>
            <w:shd w:val="clear" w:color="auto" w:fill="FEFEFE"/>
          </w:tcPr>
          <w:p>
            <w:pPr>
              <w:jc w:val="right"/>
              <w:ind w:right="48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76.21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awards that vested was $51 million in fiscal 2026, $46 million in fiscal 2025 and $48 million in fiscal 2024.</w:t>
      </w:r>
    </w:p>
    <w:p>
      <w:pPr>
        <w:spacing w:after="0" w:line="142"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The nonvested performance share units are based on the target level of performance achievement under the awards. The actual payout of performance share units will depend on performance results for the award cycle.</w:t>
      </w:r>
    </w:p>
    <w:p>
      <w:pPr>
        <w:spacing w:after="0" w:line="4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i w:val="1"/>
          <w:iCs w:val="1"/>
          <w:color w:val="auto"/>
        </w:rPr>
        <w:t>Ot er</w:t>
      </w:r>
      <w:r>
        <w:rPr>
          <w:sz w:val="20"/>
          <w:szCs w:val="20"/>
          <w:color w:val="auto"/>
        </w:rPr>
        <w:tab/>
      </w:r>
      <w:r>
        <w:rPr>
          <w:rFonts w:ascii="Arial" w:cs="Arial" w:eastAsia="Arial" w:hAnsi="Arial"/>
          <w:sz w:val="20"/>
          <w:szCs w:val="20"/>
          <w:i w:val="1"/>
          <w:iCs w:val="1"/>
          <w:color w:val="auto"/>
        </w:rPr>
        <w:t>ards</w:t>
      </w:r>
    </w:p>
    <w:p>
      <w:pPr>
        <w:spacing w:after="0" w:line="146"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TJX also awards deferred shares to its outside directors under the Stock Incentive Plan. As of January 31, 2026, a total of 360 thousand of these deferred shares were outstanding under the plan.</w:t>
      </w:r>
    </w:p>
    <w:p>
      <w:pPr>
        <w:spacing w:after="0" w:line="37" w:lineRule="exact"/>
        <w:rPr>
          <w:sz w:val="20"/>
          <w:szCs w:val="20"/>
          <w:color w:val="auto"/>
        </w:rPr>
      </w:pPr>
    </w:p>
    <w:p>
      <w:pPr>
        <w:spacing w:after="0"/>
        <w:tabs>
          <w:tab w:leader="none" w:pos="860" w:val="left"/>
          <w:tab w:leader="none" w:pos="1720" w:val="left"/>
          <w:tab w:leader="none" w:pos="3500" w:val="left"/>
          <w:tab w:leader="none" w:pos="4700" w:val="left"/>
        </w:tabs>
        <w:rPr>
          <w:sz w:val="20"/>
          <w:szCs w:val="20"/>
          <w:color w:val="auto"/>
        </w:rPr>
      </w:pPr>
      <w:r>
        <w:rPr>
          <w:rFonts w:ascii="Arial" w:cs="Arial" w:eastAsia="Arial" w:hAnsi="Arial"/>
          <w:sz w:val="24"/>
          <w:szCs w:val="24"/>
          <w:color w:val="auto"/>
        </w:rPr>
        <w:t>Note I.</w:t>
        <w:tab/>
        <w:t>ension</w:t>
        <w:tab/>
        <w:t>lans and Other</w:t>
        <w:tab/>
        <w:t>etirement</w:t>
      </w:r>
      <w:r>
        <w:rPr>
          <w:sz w:val="20"/>
          <w:szCs w:val="20"/>
          <w:color w:val="auto"/>
        </w:rPr>
        <w:tab/>
      </w:r>
      <w:r>
        <w:rPr>
          <w:rFonts w:ascii="Arial" w:cs="Arial" w:eastAsia="Arial" w:hAnsi="Arial"/>
          <w:sz w:val="22"/>
          <w:szCs w:val="22"/>
          <w:color w:val="auto"/>
        </w:rPr>
        <w:t>enefits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ension</w:t>
      </w:r>
    </w:p>
    <w:p>
      <w:pPr>
        <w:spacing w:after="0" w:line="14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TJX has a funded defined benefit retirement plan that covers eligible .S. employees hired prior to February 1, 2006. No employee contributions are re uired, or permitted, and benefits are based principally on compensation earned in each year of service. TJX’s funded defined benefit retirement plan assets are invested in domestic and international e uity and fixed income securities, both directly and through investment funds. The plan does not invest in TJX securities. TJX also has an unfunded supplemental retirement plan that covers certain key employees and provides additional retirement benefits based on final</w:t>
      </w:r>
    </w:p>
    <w:p>
      <w:pPr>
        <w:spacing w:after="0" w:line="1" w:lineRule="exact"/>
        <w:rPr>
          <w:sz w:val="20"/>
          <w:szCs w:val="20"/>
          <w:color w:val="auto"/>
        </w:rPr>
      </w:pPr>
    </w:p>
    <w:p>
      <w:pPr>
        <w:ind w:right="180"/>
        <w:spacing w:after="0" w:line="310" w:lineRule="auto"/>
        <w:rPr>
          <w:sz w:val="20"/>
          <w:szCs w:val="20"/>
          <w:color w:val="auto"/>
        </w:rPr>
      </w:pPr>
      <w:r>
        <w:rPr>
          <w:rFonts w:ascii="Arial" w:cs="Arial" w:eastAsia="Arial" w:hAnsi="Arial"/>
          <w:sz w:val="19"/>
          <w:szCs w:val="19"/>
          <w:color w:val="auto"/>
        </w:rPr>
        <w:t>average compensation for certain of those employees (the primary benefit ) or, alternatively, based on benefits that would be provided under the funded retirement plan absent Internal evenue Code limitations (the alternative benefit ).</w:t>
      </w:r>
    </w:p>
    <w:p>
      <w:pPr>
        <w:spacing w:after="0" w:line="36"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Presented below is financial information relating to TJX’s funded defined benefit pension plan ( ualified pension plan or funded plan ) and its unfunded supplemental pension plan ( unfunded plan ) for the fiscal years indicated. The Company has elected the practical expedient pursuant to AS 2015-4 Compensation-retirement benefits (Topic 715) and has selected the measurement date of January 31, the calendar month end closest to the Company’s fiscal year-end.</w:t>
      </w:r>
    </w:p>
    <w:p>
      <w:pPr>
        <w:sectPr>
          <w:pgSz w:w="12240" w:h="15841" w:orient="portrait"/>
          <w:cols w:equalWidth="0" w:num="1">
            <w:col w:w="10260"/>
          </w:cols>
          <w:pgMar w:left="1000" w:top="792" w:right="98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F-26</w:t>
      </w:r>
    </w:p>
    <w:p>
      <w:pPr>
        <w:sectPr>
          <w:pgSz w:w="12240" w:h="15841" w:orient="portrait"/>
          <w:cols w:equalWidth="0" w:num="1">
            <w:col w:w="10260"/>
          </w:cols>
          <w:pgMar w:left="1000" w:top="792" w:right="981"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20"/>
                <w:szCs w:val="20"/>
                <w:color w:val="auto"/>
              </w:rPr>
              <w:t>Funded Plan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3"/>
          </w:tcPr>
          <w:p>
            <w:pPr>
              <w:jc w:val="right"/>
              <w:ind w:right="620"/>
              <w:spacing w:after="0"/>
              <w:rPr>
                <w:sz w:val="20"/>
                <w:szCs w:val="20"/>
                <w:color w:val="auto"/>
              </w:rPr>
            </w:pPr>
            <w:r>
              <w:rPr>
                <w:rFonts w:ascii="Arial" w:cs="Arial" w:eastAsia="Arial" w:hAnsi="Arial"/>
                <w:sz w:val="20"/>
                <w:szCs w:val="20"/>
                <w:color w:val="auto"/>
              </w:rPr>
              <w:t>nfunded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20"/>
                <w:szCs w:val="20"/>
                <w:color w:val="auto"/>
              </w:rPr>
              <w:t>Fiscal Year Ended</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color w:val="auto"/>
              </w:rPr>
              <w:t>Fiscal Year Ended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line="212" w:lineRule="exact"/>
              <w:rPr>
                <w:sz w:val="20"/>
                <w:szCs w:val="20"/>
                <w:color w:val="auto"/>
              </w:rPr>
            </w:pPr>
            <w:r>
              <w:rPr>
                <w:rFonts w:ascii="Arial" w:cs="Arial" w:eastAsia="Arial" w:hAnsi="Arial"/>
                <w:sz w:val="20"/>
                <w:szCs w:val="20"/>
                <w:color w:val="auto"/>
              </w:rPr>
              <w:t>January 31,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line="212" w:lineRule="exact"/>
              <w:rPr>
                <w:sz w:val="20"/>
                <w:szCs w:val="20"/>
                <w:color w:val="auto"/>
              </w:rPr>
            </w:pPr>
            <w:r>
              <w:rPr>
                <w:rFonts w:ascii="Arial" w:cs="Arial" w:eastAsia="Arial" w:hAnsi="Arial"/>
                <w:sz w:val="20"/>
                <w:szCs w:val="20"/>
                <w:color w:val="auto"/>
                <w:w w:val="91"/>
              </w:rPr>
              <w:t>February 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line="212" w:lineRule="exact"/>
              <w:rPr>
                <w:sz w:val="20"/>
                <w:szCs w:val="20"/>
                <w:color w:val="auto"/>
              </w:rPr>
            </w:pPr>
            <w:r>
              <w:rPr>
                <w:rFonts w:ascii="Arial" w:cs="Arial" w:eastAsia="Arial" w:hAnsi="Arial"/>
                <w:sz w:val="20"/>
                <w:szCs w:val="20"/>
                <w:color w:val="auto"/>
                <w:w w:val="95"/>
              </w:rPr>
              <w:t>January 31,</w:t>
            </w:r>
          </w:p>
        </w:tc>
        <w:tc>
          <w:tcPr>
            <w:tcW w:w="200" w:type="dxa"/>
            <w:vAlign w:val="bottom"/>
          </w:tcPr>
          <w:p>
            <w:pPr>
              <w:spacing w:after="0"/>
              <w:rPr>
                <w:sz w:val="18"/>
                <w:szCs w:val="18"/>
                <w:color w:val="auto"/>
              </w:rPr>
            </w:pPr>
          </w:p>
        </w:tc>
        <w:tc>
          <w:tcPr>
            <w:tcW w:w="114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89"/>
              </w:rPr>
              <w:t>February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color w:val="auto"/>
              </w:rPr>
              <w:t>2026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20"/>
                <w:szCs w:val="20"/>
                <w:color w:val="auto"/>
              </w:rPr>
              <w:t>2025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rPr>
              <w:t>Change in projected benefit obligation:</w:t>
            </w:r>
          </w:p>
        </w:tc>
        <w:tc>
          <w:tcPr>
            <w:tcW w:w="100" w:type="dxa"/>
            <w:vAlign w:val="bottom"/>
            <w:tcBorders>
              <w:bottom w:val="single" w:sz="8" w:color="E4E4E4"/>
            </w:tcBorders>
            <w:shd w:val="clear" w:color="auto" w:fill="E4E4E4"/>
          </w:tcPr>
          <w:p>
            <w:pPr>
              <w:spacing w:after="0"/>
              <w:rPr>
                <w:sz w:val="23"/>
                <w:szCs w:val="23"/>
                <w:color w:val="auto"/>
              </w:rPr>
            </w:pPr>
          </w:p>
        </w:tc>
        <w:tc>
          <w:tcPr>
            <w:tcW w:w="140" w:type="dxa"/>
            <w:vAlign w:val="bottom"/>
            <w:tcBorders>
              <w:bottom w:val="single" w:sz="8" w:color="E4E4E4"/>
            </w:tcBorders>
            <w:shd w:val="clear" w:color="auto" w:fill="E4E4E4"/>
          </w:tcPr>
          <w:p>
            <w:pPr>
              <w:spacing w:after="0"/>
              <w:rPr>
                <w:sz w:val="23"/>
                <w:szCs w:val="23"/>
                <w:color w:val="auto"/>
              </w:rPr>
            </w:pPr>
          </w:p>
        </w:tc>
        <w:tc>
          <w:tcPr>
            <w:tcW w:w="110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spacing w:after="0"/>
              <w:rPr>
                <w:sz w:val="23"/>
                <w:szCs w:val="23"/>
                <w:color w:val="auto"/>
              </w:rPr>
            </w:pPr>
          </w:p>
        </w:tc>
        <w:tc>
          <w:tcPr>
            <w:tcW w:w="140" w:type="dxa"/>
            <w:vAlign w:val="bottom"/>
            <w:tcBorders>
              <w:bottom w:val="single" w:sz="8" w:color="E4E4E4"/>
            </w:tcBorders>
            <w:shd w:val="clear" w:color="auto" w:fill="E4E4E4"/>
          </w:tcPr>
          <w:p>
            <w:pPr>
              <w:spacing w:after="0"/>
              <w:rPr>
                <w:sz w:val="23"/>
                <w:szCs w:val="23"/>
                <w:color w:val="auto"/>
              </w:rPr>
            </w:pPr>
          </w:p>
        </w:tc>
        <w:tc>
          <w:tcPr>
            <w:tcW w:w="106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spacing w:after="0"/>
              <w:rPr>
                <w:sz w:val="23"/>
                <w:szCs w:val="23"/>
                <w:color w:val="auto"/>
              </w:rPr>
            </w:pPr>
          </w:p>
        </w:tc>
        <w:tc>
          <w:tcPr>
            <w:tcW w:w="94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1140" w:type="dxa"/>
            <w:vAlign w:val="bottom"/>
            <w:tcBorders>
              <w:bottom w:val="single" w:sz="8" w:color="E4E4E4"/>
            </w:tcBorders>
            <w:shd w:val="clear" w:color="auto" w:fill="E4E4E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98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rPr>
              <w:t>Projected benefit obligation at beginning of year</w:t>
            </w:r>
          </w:p>
        </w:tc>
        <w:tc>
          <w:tcPr>
            <w:tcW w:w="240" w:type="dxa"/>
            <w:vAlign w:val="bottom"/>
            <w:gridSpan w:val="2"/>
            <w:shd w:val="clear" w:color="auto" w:fill="FEFEFE"/>
          </w:tcPr>
          <w:p>
            <w:pPr>
              <w:jc w:val="right"/>
              <w:ind w:right="2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1,271</w:t>
            </w:r>
          </w:p>
        </w:tc>
        <w:tc>
          <w:tcPr>
            <w:tcW w:w="120" w:type="dxa"/>
            <w:vAlign w:val="bottom"/>
            <w:shd w:val="clear" w:color="auto" w:fill="FEFEFE"/>
          </w:tcPr>
          <w:p>
            <w:pPr>
              <w:jc w:val="center"/>
              <w:spacing w:after="0"/>
              <w:rPr>
                <w:sz w:val="20"/>
                <w:szCs w:val="20"/>
                <w:color w:val="auto"/>
              </w:rPr>
            </w:pPr>
            <w:r>
              <w:rPr>
                <w:rFonts w:ascii="Arial" w:cs="Arial" w:eastAsia="Arial" w:hAnsi="Arial"/>
                <w:sz w:val="20"/>
                <w:szCs w:val="20"/>
                <w:color w:val="auto"/>
                <w:w w:val="89"/>
              </w:rPr>
              <w:t>$</w:t>
            </w: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1,285</w:t>
            </w:r>
          </w:p>
        </w:tc>
        <w:tc>
          <w:tcPr>
            <w:tcW w:w="100" w:type="dxa"/>
            <w:vAlign w:val="bottom"/>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220" w:type="dxa"/>
            <w:vAlign w:val="bottom"/>
            <w:shd w:val="clear" w:color="auto" w:fill="FEFEFE"/>
          </w:tcPr>
          <w:p>
            <w:pPr>
              <w:spacing w:after="0"/>
              <w:rPr>
                <w:sz w:val="24"/>
                <w:szCs w:val="24"/>
                <w:color w:val="auto"/>
              </w:rPr>
            </w:pP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107</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80" w:type="dxa"/>
            <w:vAlign w:val="bottom"/>
            <w:gridSpan w:val="2"/>
            <w:shd w:val="clear" w:color="auto" w:fill="E4E4E4"/>
          </w:tcPr>
          <w:p>
            <w:pPr>
              <w:ind w:left="540"/>
              <w:spacing w:after="0"/>
              <w:rPr>
                <w:sz w:val="20"/>
                <w:szCs w:val="20"/>
                <w:color w:val="auto"/>
              </w:rPr>
            </w:pPr>
            <w:r>
              <w:rPr>
                <w:rFonts w:ascii="Arial" w:cs="Arial" w:eastAsia="Arial" w:hAnsi="Arial"/>
                <w:sz w:val="20"/>
                <w:szCs w:val="20"/>
                <w:color w:val="auto"/>
              </w:rPr>
              <w:t>Service cost</w:t>
            </w: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29</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32</w:t>
            </w: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2"/>
            <w:shd w:val="clear" w:color="auto" w:fill="FEFEFE"/>
          </w:tcPr>
          <w:p>
            <w:pPr>
              <w:ind w:left="540"/>
              <w:spacing w:after="0"/>
              <w:rPr>
                <w:sz w:val="20"/>
                <w:szCs w:val="20"/>
                <w:color w:val="auto"/>
              </w:rPr>
            </w:pPr>
            <w:r>
              <w:rPr>
                <w:rFonts w:ascii="Arial" w:cs="Arial" w:eastAsia="Arial" w:hAnsi="Arial"/>
                <w:sz w:val="20"/>
                <w:szCs w:val="20"/>
                <w:color w:val="auto"/>
              </w:rPr>
              <w:t>Interest cost</w:t>
            </w:r>
          </w:p>
        </w:tc>
        <w:tc>
          <w:tcPr>
            <w:tcW w:w="10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76</w:t>
            </w:r>
          </w:p>
        </w:tc>
        <w:tc>
          <w:tcPr>
            <w:tcW w:w="12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71</w:t>
            </w:r>
          </w:p>
        </w:tc>
        <w:tc>
          <w:tcPr>
            <w:tcW w:w="10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80" w:type="dxa"/>
            <w:vAlign w:val="bottom"/>
            <w:gridSpan w:val="2"/>
            <w:shd w:val="clear" w:color="auto" w:fill="E4E4E4"/>
          </w:tcPr>
          <w:p>
            <w:pPr>
              <w:ind w:left="540"/>
              <w:spacing w:after="0"/>
              <w:rPr>
                <w:sz w:val="20"/>
                <w:szCs w:val="20"/>
                <w:color w:val="auto"/>
              </w:rPr>
            </w:pPr>
            <w:r>
              <w:rPr>
                <w:rFonts w:ascii="Arial" w:cs="Arial" w:eastAsia="Arial" w:hAnsi="Arial"/>
                <w:sz w:val="20"/>
                <w:szCs w:val="20"/>
                <w:color w:val="auto"/>
              </w:rPr>
              <w:t>Actuarial losses (gains)</w:t>
            </w: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40</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(45)</w:t>
            </w: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2"/>
            <w:shd w:val="clear" w:color="auto" w:fill="FEFEFE"/>
          </w:tcPr>
          <w:p>
            <w:pPr>
              <w:ind w:left="540"/>
              <w:spacing w:after="0"/>
              <w:rPr>
                <w:sz w:val="20"/>
                <w:szCs w:val="20"/>
                <w:color w:val="auto"/>
              </w:rPr>
            </w:pPr>
            <w:r>
              <w:rPr>
                <w:rFonts w:ascii="Arial" w:cs="Arial" w:eastAsia="Arial" w:hAnsi="Arial"/>
                <w:sz w:val="20"/>
                <w:szCs w:val="20"/>
                <w:color w:val="auto"/>
              </w:rPr>
              <w:t>Benefits paid</w:t>
            </w:r>
          </w:p>
        </w:tc>
        <w:tc>
          <w:tcPr>
            <w:tcW w:w="10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78</w:t>
            </w:r>
          </w:p>
        </w:tc>
        <w:tc>
          <w:tcPr>
            <w:tcW w:w="12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(71)</w:t>
            </w:r>
          </w:p>
        </w:tc>
        <w:tc>
          <w:tcPr>
            <w:tcW w:w="10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80" w:type="dxa"/>
            <w:vAlign w:val="bottom"/>
            <w:gridSpan w:val="2"/>
            <w:shd w:val="clear" w:color="auto" w:fill="E4E4E4"/>
          </w:tcPr>
          <w:p>
            <w:pPr>
              <w:ind w:left="540"/>
              <w:spacing w:after="0"/>
              <w:rPr>
                <w:sz w:val="20"/>
                <w:szCs w:val="20"/>
                <w:color w:val="auto"/>
              </w:rPr>
            </w:pPr>
            <w:r>
              <w:rPr>
                <w:rFonts w:ascii="Arial" w:cs="Arial" w:eastAsia="Arial" w:hAnsi="Arial"/>
                <w:sz w:val="20"/>
                <w:szCs w:val="20"/>
                <w:color w:val="auto"/>
              </w:rPr>
              <w:t>Expenses paid</w:t>
            </w: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4</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94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auto"/>
            </w:tcBorders>
            <w:gridSpan w:val="2"/>
            <w:shd w:val="clear" w:color="auto" w:fill="FEFEFE"/>
          </w:tcPr>
          <w:p>
            <w:pPr>
              <w:ind w:left="540"/>
              <w:spacing w:after="0"/>
              <w:rPr>
                <w:sz w:val="20"/>
                <w:szCs w:val="20"/>
                <w:color w:val="auto"/>
              </w:rPr>
            </w:pPr>
            <w:r>
              <w:rPr>
                <w:rFonts w:ascii="Arial" w:cs="Arial" w:eastAsia="Arial" w:hAnsi="Arial"/>
                <w:sz w:val="20"/>
                <w:szCs w:val="20"/>
                <w:color w:val="auto"/>
              </w:rPr>
              <w:t>Plan amendments</w:t>
            </w:r>
          </w:p>
        </w:tc>
        <w:tc>
          <w:tcPr>
            <w:tcW w:w="10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spacing w:after="0"/>
              <w:rPr>
                <w:sz w:val="24"/>
                <w:szCs w:val="24"/>
                <w:color w:val="auto"/>
              </w:rPr>
            </w:pPr>
          </w:p>
        </w:tc>
        <w:tc>
          <w:tcPr>
            <w:tcW w:w="12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060" w:type="dxa"/>
            <w:vAlign w:val="bottom"/>
            <w:tcBorders>
              <w:bottom w:val="single" w:sz="8" w:color="auto"/>
            </w:tcBorders>
            <w:shd w:val="clear" w:color="auto" w:fill="FEFEFE"/>
          </w:tcPr>
          <w:p>
            <w:pPr>
              <w:jc w:val="right"/>
              <w:ind w:right="20"/>
              <w:spacing w:after="0"/>
              <w:rPr>
                <w:sz w:val="20"/>
                <w:szCs w:val="20"/>
                <w:color w:val="auto"/>
              </w:rPr>
            </w:pPr>
            <w:r>
              <w:rPr>
                <w:rFonts w:ascii="Arial" w:cs="Arial" w:eastAsia="Arial" w:hAnsi="Arial"/>
                <w:sz w:val="20"/>
                <w:szCs w:val="20"/>
                <w:color w:val="auto"/>
              </w:rPr>
              <w:t>2</w:t>
            </w:r>
          </w:p>
        </w:tc>
        <w:tc>
          <w:tcPr>
            <w:tcW w:w="10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8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Projected benefit obligation at end of year</w:t>
            </w:r>
          </w:p>
        </w:tc>
        <w:tc>
          <w:tcPr>
            <w:tcW w:w="240" w:type="dxa"/>
            <w:vAlign w:val="bottom"/>
            <w:tcBorders>
              <w:bottom w:val="single" w:sz="8" w:color="auto"/>
            </w:tcBorders>
            <w:gridSpan w:val="2"/>
            <w:shd w:val="clear" w:color="auto" w:fill="E4E4E4"/>
          </w:tcPr>
          <w:p>
            <w:pPr>
              <w:jc w:val="right"/>
              <w:ind w:right="20"/>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1,334</w:t>
            </w:r>
          </w:p>
        </w:tc>
        <w:tc>
          <w:tcPr>
            <w:tcW w:w="120" w:type="dxa"/>
            <w:vAlign w:val="bottom"/>
            <w:tcBorders>
              <w:bottom w:val="single" w:sz="8" w:color="auto"/>
            </w:tcBorders>
            <w:shd w:val="clear" w:color="auto" w:fill="E4E4E4"/>
          </w:tcPr>
          <w:p>
            <w:pPr>
              <w:jc w:val="center"/>
              <w:spacing w:after="0"/>
              <w:rPr>
                <w:sz w:val="20"/>
                <w:szCs w:val="20"/>
                <w:color w:val="auto"/>
              </w:rPr>
            </w:pPr>
            <w:r>
              <w:rPr>
                <w:rFonts w:ascii="Arial" w:cs="Arial" w:eastAsia="Arial" w:hAnsi="Arial"/>
                <w:sz w:val="20"/>
                <w:szCs w:val="20"/>
                <w:color w:val="auto"/>
                <w:w w:val="89"/>
              </w:rPr>
              <w:t>$</w:t>
            </w:r>
          </w:p>
        </w:tc>
        <w:tc>
          <w:tcPr>
            <w:tcW w:w="140" w:type="dxa"/>
            <w:vAlign w:val="bottom"/>
            <w:tcBorders>
              <w:bottom w:val="single" w:sz="8" w:color="auto"/>
            </w:tcBorders>
            <w:shd w:val="clear" w:color="auto" w:fill="E4E4E4"/>
          </w:tcPr>
          <w:p>
            <w:pPr>
              <w:spacing w:after="0"/>
              <w:rPr>
                <w:sz w:val="24"/>
                <w:szCs w:val="24"/>
                <w:color w:val="auto"/>
              </w:rPr>
            </w:pPr>
          </w:p>
        </w:tc>
        <w:tc>
          <w:tcPr>
            <w:tcW w:w="10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1,271</w:t>
            </w:r>
          </w:p>
        </w:tc>
        <w:tc>
          <w:tcPr>
            <w:tcW w:w="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22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119</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8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Accumulated benefit obligation at end of year</w:t>
            </w:r>
          </w:p>
        </w:tc>
        <w:tc>
          <w:tcPr>
            <w:tcW w:w="240" w:type="dxa"/>
            <w:vAlign w:val="bottom"/>
            <w:tcBorders>
              <w:bottom w:val="single" w:sz="8" w:color="auto"/>
            </w:tcBorders>
            <w:gridSpan w:val="2"/>
            <w:shd w:val="clear" w:color="auto" w:fill="FEFEFE"/>
          </w:tcPr>
          <w:p>
            <w:pPr>
              <w:jc w:val="right"/>
              <w:ind w:right="20"/>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FEFEFE"/>
          </w:tcPr>
          <w:p>
            <w:pPr>
              <w:jc w:val="right"/>
              <w:ind w:right="20"/>
              <w:spacing w:after="0"/>
              <w:rPr>
                <w:sz w:val="20"/>
                <w:szCs w:val="20"/>
                <w:color w:val="auto"/>
              </w:rPr>
            </w:pPr>
            <w:r>
              <w:rPr>
                <w:rFonts w:ascii="Arial" w:cs="Arial" w:eastAsia="Arial" w:hAnsi="Arial"/>
                <w:sz w:val="20"/>
                <w:szCs w:val="20"/>
                <w:color w:val="auto"/>
              </w:rPr>
              <w:t>1,234</w:t>
            </w:r>
          </w:p>
        </w:tc>
        <w:tc>
          <w:tcPr>
            <w:tcW w:w="12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20"/>
                <w:szCs w:val="20"/>
                <w:color w:val="auto"/>
                <w:w w:val="89"/>
              </w:rPr>
              <w:t>$</w:t>
            </w:r>
          </w:p>
        </w:tc>
        <w:tc>
          <w:tcPr>
            <w:tcW w:w="140" w:type="dxa"/>
            <w:vAlign w:val="bottom"/>
            <w:tcBorders>
              <w:bottom w:val="single" w:sz="8" w:color="auto"/>
            </w:tcBorders>
            <w:shd w:val="clear" w:color="auto" w:fill="FEFEFE"/>
          </w:tcPr>
          <w:p>
            <w:pPr>
              <w:spacing w:after="0"/>
              <w:rPr>
                <w:sz w:val="24"/>
                <w:szCs w:val="24"/>
                <w:color w:val="auto"/>
              </w:rPr>
            </w:pPr>
          </w:p>
        </w:tc>
        <w:tc>
          <w:tcPr>
            <w:tcW w:w="1060" w:type="dxa"/>
            <w:vAlign w:val="bottom"/>
            <w:tcBorders>
              <w:bottom w:val="single" w:sz="8" w:color="auto"/>
            </w:tcBorders>
            <w:shd w:val="clear" w:color="auto" w:fill="FEFEFE"/>
          </w:tcPr>
          <w:p>
            <w:pPr>
              <w:jc w:val="right"/>
              <w:ind w:right="20"/>
              <w:spacing w:after="0"/>
              <w:rPr>
                <w:sz w:val="20"/>
                <w:szCs w:val="20"/>
                <w:color w:val="auto"/>
              </w:rPr>
            </w:pPr>
            <w:r>
              <w:rPr>
                <w:rFonts w:ascii="Arial" w:cs="Arial" w:eastAsia="Arial" w:hAnsi="Arial"/>
                <w:sz w:val="20"/>
                <w:szCs w:val="20"/>
                <w:color w:val="auto"/>
              </w:rPr>
              <w:t>1,180</w:t>
            </w:r>
          </w:p>
        </w:tc>
        <w:tc>
          <w:tcPr>
            <w:tcW w:w="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22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103</w:t>
            </w: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20"/>
                <w:szCs w:val="20"/>
                <w:color w:val="auto"/>
                <w:w w:val="88"/>
              </w:rPr>
              <w:t>Funded Plan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jc w:val="right"/>
              <w:ind w:right="560"/>
              <w:spacing w:after="0"/>
              <w:rPr>
                <w:sz w:val="20"/>
                <w:szCs w:val="20"/>
                <w:color w:val="auto"/>
              </w:rPr>
            </w:pPr>
            <w:r>
              <w:rPr>
                <w:rFonts w:ascii="Arial" w:cs="Arial" w:eastAsia="Arial" w:hAnsi="Arial"/>
                <w:sz w:val="20"/>
                <w:szCs w:val="20"/>
                <w:color w:val="auto"/>
              </w:rPr>
              <w:t>nfunded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0"/>
              </w:rPr>
              <w:t>Fiscal Year Ended</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20"/>
                <w:szCs w:val="20"/>
                <w:color w:val="auto"/>
              </w:rPr>
              <w:t>Fiscal Year Ended</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0"/>
              <w:spacing w:after="0" w:line="212" w:lineRule="exact"/>
              <w:rPr>
                <w:sz w:val="20"/>
                <w:szCs w:val="20"/>
                <w:color w:val="auto"/>
              </w:rPr>
            </w:pPr>
            <w:r>
              <w:rPr>
                <w:rFonts w:ascii="Arial" w:cs="Arial" w:eastAsia="Arial" w:hAnsi="Arial"/>
                <w:sz w:val="20"/>
                <w:szCs w:val="20"/>
                <w:color w:val="auto"/>
                <w:w w:val="89"/>
              </w:rPr>
              <w:t>February 1,</w:t>
            </w:r>
          </w:p>
        </w:tc>
        <w:tc>
          <w:tcPr>
            <w:tcW w:w="100" w:type="dxa"/>
            <w:vAlign w:val="bottom"/>
          </w:tcPr>
          <w:p>
            <w:pPr>
              <w:spacing w:after="0"/>
              <w:rPr>
                <w:sz w:val="18"/>
                <w:szCs w:val="18"/>
                <w:color w:val="auto"/>
              </w:rPr>
            </w:pPr>
          </w:p>
        </w:tc>
        <w:tc>
          <w:tcPr>
            <w:tcW w:w="116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January 31,</w:t>
            </w:r>
          </w:p>
        </w:tc>
        <w:tc>
          <w:tcPr>
            <w:tcW w:w="200" w:type="dxa"/>
            <w:vAlign w:val="bottom"/>
          </w:tcPr>
          <w:p>
            <w:pPr>
              <w:spacing w:after="0"/>
              <w:rPr>
                <w:sz w:val="18"/>
                <w:szCs w:val="18"/>
                <w:color w:val="auto"/>
              </w:rPr>
            </w:pPr>
          </w:p>
        </w:tc>
        <w:tc>
          <w:tcPr>
            <w:tcW w:w="1140" w:type="dxa"/>
            <w:vAlign w:val="bottom"/>
          </w:tcPr>
          <w:p>
            <w:pPr>
              <w:jc w:val="center"/>
              <w:ind w:right="60"/>
              <w:spacing w:after="0" w:line="212" w:lineRule="exact"/>
              <w:rPr>
                <w:sz w:val="20"/>
                <w:szCs w:val="20"/>
                <w:color w:val="auto"/>
              </w:rPr>
            </w:pPr>
            <w:r>
              <w:rPr>
                <w:rFonts w:ascii="Arial" w:cs="Arial" w:eastAsia="Arial" w:hAnsi="Arial"/>
                <w:sz w:val="20"/>
                <w:szCs w:val="20"/>
                <w:color w:val="auto"/>
                <w:w w:val="91"/>
              </w:rPr>
              <w:t>February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2026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rPr>
              <w:t>Change in plan assets:</w:t>
            </w:r>
          </w:p>
        </w:tc>
        <w:tc>
          <w:tcPr>
            <w:tcW w:w="100" w:type="dxa"/>
            <w:vAlign w:val="bottom"/>
            <w:tcBorders>
              <w:bottom w:val="single" w:sz="8" w:color="E4E4E4"/>
            </w:tcBorders>
            <w:shd w:val="clear" w:color="auto" w:fill="E4E4E4"/>
          </w:tcPr>
          <w:p>
            <w:pPr>
              <w:spacing w:after="0"/>
              <w:rPr>
                <w:sz w:val="23"/>
                <w:szCs w:val="23"/>
                <w:color w:val="auto"/>
              </w:rPr>
            </w:pPr>
          </w:p>
        </w:tc>
        <w:tc>
          <w:tcPr>
            <w:tcW w:w="140" w:type="dxa"/>
            <w:vAlign w:val="bottom"/>
            <w:tcBorders>
              <w:bottom w:val="single" w:sz="8" w:color="E4E4E4"/>
            </w:tcBorders>
            <w:shd w:val="clear" w:color="auto" w:fill="E4E4E4"/>
          </w:tcPr>
          <w:p>
            <w:pPr>
              <w:spacing w:after="0"/>
              <w:rPr>
                <w:sz w:val="23"/>
                <w:szCs w:val="23"/>
                <w:color w:val="auto"/>
              </w:rPr>
            </w:pPr>
          </w:p>
        </w:tc>
        <w:tc>
          <w:tcPr>
            <w:tcW w:w="110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spacing w:after="0"/>
              <w:rPr>
                <w:sz w:val="23"/>
                <w:szCs w:val="23"/>
                <w:color w:val="auto"/>
              </w:rPr>
            </w:pPr>
          </w:p>
        </w:tc>
        <w:tc>
          <w:tcPr>
            <w:tcW w:w="140" w:type="dxa"/>
            <w:vAlign w:val="bottom"/>
            <w:tcBorders>
              <w:bottom w:val="single" w:sz="8" w:color="E4E4E4"/>
            </w:tcBorders>
            <w:shd w:val="clear" w:color="auto" w:fill="E4E4E4"/>
          </w:tcPr>
          <w:p>
            <w:pPr>
              <w:spacing w:after="0"/>
              <w:rPr>
                <w:sz w:val="23"/>
                <w:szCs w:val="23"/>
                <w:color w:val="auto"/>
              </w:rPr>
            </w:pPr>
          </w:p>
        </w:tc>
        <w:tc>
          <w:tcPr>
            <w:tcW w:w="106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spacing w:after="0"/>
              <w:rPr>
                <w:sz w:val="23"/>
                <w:szCs w:val="23"/>
                <w:color w:val="auto"/>
              </w:rPr>
            </w:pPr>
          </w:p>
        </w:tc>
        <w:tc>
          <w:tcPr>
            <w:tcW w:w="94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114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98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rPr>
              <w:t>Fair value of plan assets at beginning of year</w:t>
            </w:r>
          </w:p>
        </w:tc>
        <w:tc>
          <w:tcPr>
            <w:tcW w:w="240" w:type="dxa"/>
            <w:vAlign w:val="bottom"/>
            <w:gridSpan w:val="2"/>
            <w:shd w:val="clear" w:color="auto" w:fill="FEFEFE"/>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1,450</w:t>
            </w:r>
          </w:p>
        </w:tc>
        <w:tc>
          <w:tcPr>
            <w:tcW w:w="120" w:type="dxa"/>
            <w:vAlign w:val="bottom"/>
            <w:shd w:val="clear" w:color="auto" w:fill="FEFEFE"/>
          </w:tcPr>
          <w:p>
            <w:pPr>
              <w:spacing w:after="0"/>
              <w:rPr>
                <w:sz w:val="24"/>
                <w:szCs w:val="24"/>
                <w:color w:val="auto"/>
              </w:rPr>
            </w:pP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1,451</w:t>
            </w:r>
          </w:p>
        </w:tc>
        <w:tc>
          <w:tcPr>
            <w:tcW w:w="100" w:type="dxa"/>
            <w:vAlign w:val="bottom"/>
            <w:shd w:val="clear" w:color="auto" w:fill="FEFEFE"/>
          </w:tcPr>
          <w:p>
            <w:pPr>
              <w:spacing w:after="0"/>
              <w:rPr>
                <w:sz w:val="24"/>
                <w:szCs w:val="24"/>
                <w:color w:val="auto"/>
              </w:rPr>
            </w:pPr>
          </w:p>
        </w:tc>
        <w:tc>
          <w:tcPr>
            <w:tcW w:w="22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FEFEFE"/>
          </w:tcPr>
          <w:p>
            <w:pPr>
              <w:spacing w:after="0"/>
              <w:rPr>
                <w:sz w:val="24"/>
                <w:szCs w:val="24"/>
                <w:color w:val="auto"/>
              </w:rPr>
            </w:pP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spacing w:after="0"/>
              <w:rPr>
                <w:sz w:val="24"/>
                <w:szCs w:val="24"/>
                <w:color w:val="auto"/>
              </w:rPr>
            </w:pPr>
          </w:p>
        </w:tc>
        <w:tc>
          <w:tcPr>
            <w:tcW w:w="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980" w:type="dxa"/>
            <w:vAlign w:val="bottom"/>
            <w:gridSpan w:val="2"/>
            <w:shd w:val="clear" w:color="auto" w:fill="E4E4E4"/>
          </w:tcPr>
          <w:p>
            <w:pPr>
              <w:ind w:left="540"/>
              <w:spacing w:after="0"/>
              <w:rPr>
                <w:sz w:val="20"/>
                <w:szCs w:val="20"/>
                <w:color w:val="auto"/>
              </w:rPr>
            </w:pPr>
            <w:r>
              <w:rPr>
                <w:rFonts w:ascii="Arial" w:cs="Arial" w:eastAsia="Arial" w:hAnsi="Arial"/>
                <w:sz w:val="20"/>
                <w:szCs w:val="20"/>
                <w:color w:val="auto"/>
              </w:rPr>
              <w:t>Actual return on plan assets</w:t>
            </w: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155</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73</w:t>
            </w: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94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c>
          <w:tcPr>
            <w:tcW w:w="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80" w:type="dxa"/>
            <w:vAlign w:val="bottom"/>
            <w:gridSpan w:val="2"/>
            <w:shd w:val="clear" w:color="auto" w:fill="FEFEFE"/>
          </w:tcPr>
          <w:p>
            <w:pPr>
              <w:ind w:left="540"/>
              <w:spacing w:after="0"/>
              <w:rPr>
                <w:sz w:val="20"/>
                <w:szCs w:val="20"/>
                <w:color w:val="auto"/>
              </w:rPr>
            </w:pPr>
            <w:r>
              <w:rPr>
                <w:rFonts w:ascii="Arial" w:cs="Arial" w:eastAsia="Arial" w:hAnsi="Arial"/>
                <w:sz w:val="20"/>
                <w:szCs w:val="20"/>
                <w:color w:val="auto"/>
              </w:rPr>
              <w:t>Employer contribution</w:t>
            </w:r>
          </w:p>
        </w:tc>
        <w:tc>
          <w:tcPr>
            <w:tcW w:w="10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w:t>
            </w:r>
          </w:p>
        </w:tc>
        <w:tc>
          <w:tcPr>
            <w:tcW w:w="12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0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0</w:t>
            </w:r>
          </w:p>
        </w:tc>
        <w:tc>
          <w:tcPr>
            <w:tcW w:w="10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9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80" w:type="dxa"/>
            <w:vAlign w:val="bottom"/>
            <w:gridSpan w:val="2"/>
            <w:shd w:val="clear" w:color="auto" w:fill="E4E4E4"/>
          </w:tcPr>
          <w:p>
            <w:pPr>
              <w:ind w:left="540"/>
              <w:spacing w:after="0"/>
              <w:rPr>
                <w:sz w:val="20"/>
                <w:szCs w:val="20"/>
                <w:color w:val="auto"/>
              </w:rPr>
            </w:pPr>
            <w:r>
              <w:rPr>
                <w:rFonts w:ascii="Arial" w:cs="Arial" w:eastAsia="Arial" w:hAnsi="Arial"/>
                <w:sz w:val="20"/>
                <w:szCs w:val="20"/>
                <w:color w:val="auto"/>
              </w:rPr>
              <w:t>Benefits paid</w:t>
            </w:r>
          </w:p>
        </w:tc>
        <w:tc>
          <w:tcPr>
            <w:tcW w:w="10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78</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spacing w:after="0"/>
              <w:rPr>
                <w:sz w:val="24"/>
                <w:szCs w:val="24"/>
                <w:color w:val="auto"/>
              </w:rPr>
            </w:pPr>
          </w:p>
        </w:tc>
        <w:tc>
          <w:tcPr>
            <w:tcW w:w="11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(71)</w:t>
            </w:r>
          </w:p>
        </w:tc>
        <w:tc>
          <w:tcPr>
            <w:tcW w:w="220" w:type="dxa"/>
            <w:vAlign w:val="bottom"/>
            <w:shd w:val="clear" w:color="auto" w:fill="E4E4E4"/>
          </w:tcPr>
          <w:p>
            <w:pPr>
              <w:spacing w:after="0"/>
              <w:rPr>
                <w:sz w:val="24"/>
                <w:szCs w:val="24"/>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w:t>
            </w:r>
          </w:p>
        </w:tc>
        <w:tc>
          <w:tcPr>
            <w:tcW w:w="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auto"/>
            </w:tcBorders>
            <w:gridSpan w:val="2"/>
            <w:shd w:val="clear" w:color="auto" w:fill="FEFEFE"/>
          </w:tcPr>
          <w:p>
            <w:pPr>
              <w:ind w:left="540"/>
              <w:spacing w:after="0"/>
              <w:rPr>
                <w:sz w:val="20"/>
                <w:szCs w:val="20"/>
                <w:color w:val="auto"/>
              </w:rPr>
            </w:pPr>
            <w:r>
              <w:rPr>
                <w:rFonts w:ascii="Arial" w:cs="Arial" w:eastAsia="Arial" w:hAnsi="Arial"/>
                <w:sz w:val="20"/>
                <w:szCs w:val="20"/>
                <w:color w:val="auto"/>
              </w:rPr>
              <w:t>Expenses paid</w:t>
            </w:r>
          </w:p>
        </w:tc>
        <w:tc>
          <w:tcPr>
            <w:tcW w:w="10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12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gridSpan w:val="2"/>
            <w:shd w:val="clear" w:color="auto" w:fill="FEFEFE"/>
          </w:tcPr>
          <w:p>
            <w:pPr>
              <w:jc w:val="right"/>
              <w:spacing w:after="0"/>
              <w:rPr>
                <w:sz w:val="20"/>
                <w:szCs w:val="20"/>
                <w:color w:val="auto"/>
              </w:rPr>
            </w:pPr>
            <w:r>
              <w:rPr>
                <w:rFonts w:ascii="Arial" w:cs="Arial" w:eastAsia="Arial" w:hAnsi="Arial"/>
                <w:sz w:val="20"/>
                <w:szCs w:val="20"/>
                <w:color w:val="auto"/>
              </w:rPr>
              <w:t>(3)</w:t>
            </w:r>
          </w:p>
        </w:tc>
        <w:tc>
          <w:tcPr>
            <w:tcW w:w="22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spacing w:after="0"/>
              <w:rPr>
                <w:sz w:val="24"/>
                <w:szCs w:val="24"/>
                <w:color w:val="auto"/>
              </w:rPr>
            </w:pPr>
          </w:p>
        </w:tc>
        <w:tc>
          <w:tcPr>
            <w:tcW w:w="2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8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Fair value of plan assets at end of year</w:t>
            </w:r>
          </w:p>
        </w:tc>
        <w:tc>
          <w:tcPr>
            <w:tcW w:w="240" w:type="dxa"/>
            <w:vAlign w:val="bottom"/>
            <w:tcBorders>
              <w:bottom w:val="single" w:sz="8" w:color="auto"/>
            </w:tcBorders>
            <w:gridSpan w:val="2"/>
            <w:shd w:val="clear" w:color="auto" w:fill="E4E4E4"/>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1,523</w:t>
            </w:r>
          </w:p>
        </w:tc>
        <w:tc>
          <w:tcPr>
            <w:tcW w:w="12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1,450</w:t>
            </w:r>
          </w:p>
        </w:tc>
        <w:tc>
          <w:tcPr>
            <w:tcW w:w="100" w:type="dxa"/>
            <w:vAlign w:val="bottom"/>
            <w:tcBorders>
              <w:bottom w:val="single" w:sz="8" w:color="auto"/>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E4E4E4"/>
          </w:tcPr>
          <w:p>
            <w:pPr>
              <w:spacing w:after="0"/>
              <w:rPr>
                <w:sz w:val="24"/>
                <w:szCs w:val="24"/>
                <w:color w:val="auto"/>
              </w:rPr>
            </w:pP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spacing w:after="0"/>
              <w:rPr>
                <w:sz w:val="24"/>
                <w:szCs w:val="24"/>
                <w:color w:val="auto"/>
              </w:rPr>
            </w:pPr>
          </w:p>
        </w:tc>
        <w:tc>
          <w:tcPr>
            <w:tcW w:w="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FEFEFE"/>
            </w:tcBorders>
            <w:gridSpan w:val="2"/>
            <w:shd w:val="clear" w:color="auto" w:fill="FEFEFE"/>
          </w:tcPr>
          <w:p>
            <w:pPr>
              <w:ind w:left="180"/>
              <w:spacing w:after="0"/>
              <w:rPr>
                <w:sz w:val="20"/>
                <w:szCs w:val="20"/>
                <w:color w:val="auto"/>
              </w:rPr>
            </w:pPr>
            <w:r>
              <w:rPr>
                <w:rFonts w:ascii="Arial" w:cs="Arial" w:eastAsia="Arial" w:hAnsi="Arial"/>
                <w:sz w:val="20"/>
                <w:szCs w:val="20"/>
                <w:color w:val="auto"/>
              </w:rPr>
              <w:t>econciliation of funded status:</w:t>
            </w:r>
          </w:p>
        </w:tc>
        <w:tc>
          <w:tcPr>
            <w:tcW w:w="100" w:type="dxa"/>
            <w:vAlign w:val="bottom"/>
            <w:tcBorders>
              <w:bottom w:val="single" w:sz="8" w:color="FEFEFE"/>
            </w:tcBorders>
            <w:shd w:val="clear" w:color="auto" w:fill="FEFEFE"/>
          </w:tcPr>
          <w:p>
            <w:pPr>
              <w:spacing w:after="0"/>
              <w:rPr>
                <w:sz w:val="23"/>
                <w:szCs w:val="23"/>
                <w:color w:val="auto"/>
              </w:rPr>
            </w:pPr>
          </w:p>
        </w:tc>
        <w:tc>
          <w:tcPr>
            <w:tcW w:w="140" w:type="dxa"/>
            <w:vAlign w:val="bottom"/>
            <w:tcBorders>
              <w:bottom w:val="single" w:sz="8" w:color="FEFEFE"/>
            </w:tcBorders>
            <w:shd w:val="clear" w:color="auto" w:fill="FEFEFE"/>
          </w:tcPr>
          <w:p>
            <w:pPr>
              <w:spacing w:after="0"/>
              <w:rPr>
                <w:sz w:val="23"/>
                <w:szCs w:val="23"/>
                <w:color w:val="auto"/>
              </w:rPr>
            </w:pPr>
          </w:p>
        </w:tc>
        <w:tc>
          <w:tcPr>
            <w:tcW w:w="1100" w:type="dxa"/>
            <w:vAlign w:val="bottom"/>
            <w:tcBorders>
              <w:bottom w:val="single" w:sz="8" w:color="FEFEFE"/>
            </w:tcBorders>
            <w:shd w:val="clear" w:color="auto" w:fill="FEFEFE"/>
          </w:tcPr>
          <w:p>
            <w:pPr>
              <w:spacing w:after="0"/>
              <w:rPr>
                <w:sz w:val="23"/>
                <w:szCs w:val="23"/>
                <w:color w:val="auto"/>
              </w:rPr>
            </w:pPr>
          </w:p>
        </w:tc>
        <w:tc>
          <w:tcPr>
            <w:tcW w:w="120" w:type="dxa"/>
            <w:vAlign w:val="bottom"/>
            <w:tcBorders>
              <w:bottom w:val="single" w:sz="8" w:color="FEFEFE"/>
            </w:tcBorders>
            <w:shd w:val="clear" w:color="auto" w:fill="FEFEFE"/>
          </w:tcPr>
          <w:p>
            <w:pPr>
              <w:spacing w:after="0"/>
              <w:rPr>
                <w:sz w:val="23"/>
                <w:szCs w:val="23"/>
                <w:color w:val="auto"/>
              </w:rPr>
            </w:pPr>
          </w:p>
        </w:tc>
        <w:tc>
          <w:tcPr>
            <w:tcW w:w="140" w:type="dxa"/>
            <w:vAlign w:val="bottom"/>
            <w:tcBorders>
              <w:bottom w:val="single" w:sz="8" w:color="FEFEFE"/>
            </w:tcBorders>
            <w:shd w:val="clear" w:color="auto" w:fill="FEFEFE"/>
          </w:tcPr>
          <w:p>
            <w:pPr>
              <w:spacing w:after="0"/>
              <w:rPr>
                <w:sz w:val="23"/>
                <w:szCs w:val="23"/>
                <w:color w:val="auto"/>
              </w:rPr>
            </w:pPr>
          </w:p>
        </w:tc>
        <w:tc>
          <w:tcPr>
            <w:tcW w:w="1060" w:type="dxa"/>
            <w:vAlign w:val="bottom"/>
            <w:tcBorders>
              <w:bottom w:val="single" w:sz="8" w:color="FEFEFE"/>
            </w:tcBorders>
            <w:shd w:val="clear" w:color="auto" w:fill="FEFEFE"/>
          </w:tcPr>
          <w:p>
            <w:pPr>
              <w:spacing w:after="0"/>
              <w:rPr>
                <w:sz w:val="23"/>
                <w:szCs w:val="23"/>
                <w:color w:val="auto"/>
              </w:rPr>
            </w:pPr>
          </w:p>
        </w:tc>
        <w:tc>
          <w:tcPr>
            <w:tcW w:w="100" w:type="dxa"/>
            <w:vAlign w:val="bottom"/>
            <w:tcBorders>
              <w:bottom w:val="single" w:sz="8" w:color="FEFEFE"/>
            </w:tcBorders>
            <w:shd w:val="clear" w:color="auto" w:fill="FEFEFE"/>
          </w:tcPr>
          <w:p>
            <w:pPr>
              <w:spacing w:after="0"/>
              <w:rPr>
                <w:sz w:val="23"/>
                <w:szCs w:val="23"/>
                <w:color w:val="auto"/>
              </w:rPr>
            </w:pPr>
          </w:p>
        </w:tc>
        <w:tc>
          <w:tcPr>
            <w:tcW w:w="220" w:type="dxa"/>
            <w:vAlign w:val="bottom"/>
            <w:tcBorders>
              <w:bottom w:val="single" w:sz="8" w:color="FEFEFE"/>
            </w:tcBorders>
            <w:shd w:val="clear" w:color="auto" w:fill="FEFEFE"/>
          </w:tcPr>
          <w:p>
            <w:pPr>
              <w:spacing w:after="0"/>
              <w:rPr>
                <w:sz w:val="23"/>
                <w:szCs w:val="23"/>
                <w:color w:val="auto"/>
              </w:rPr>
            </w:pPr>
          </w:p>
        </w:tc>
        <w:tc>
          <w:tcPr>
            <w:tcW w:w="940" w:type="dxa"/>
            <w:vAlign w:val="bottom"/>
            <w:tcBorders>
              <w:bottom w:val="single" w:sz="8" w:color="FEFEFE"/>
            </w:tcBorders>
            <w:shd w:val="clear" w:color="auto" w:fill="FEFEFE"/>
          </w:tcPr>
          <w:p>
            <w:pPr>
              <w:spacing w:after="0"/>
              <w:rPr>
                <w:sz w:val="23"/>
                <w:szCs w:val="23"/>
                <w:color w:val="auto"/>
              </w:rPr>
            </w:pPr>
          </w:p>
        </w:tc>
        <w:tc>
          <w:tcPr>
            <w:tcW w:w="200" w:type="dxa"/>
            <w:vAlign w:val="bottom"/>
            <w:tcBorders>
              <w:bottom w:val="single" w:sz="8" w:color="FEFEFE"/>
            </w:tcBorders>
            <w:shd w:val="clear" w:color="auto" w:fill="FEFEFE"/>
          </w:tcPr>
          <w:p>
            <w:pPr>
              <w:spacing w:after="0"/>
              <w:rPr>
                <w:sz w:val="23"/>
                <w:szCs w:val="23"/>
                <w:color w:val="auto"/>
              </w:rPr>
            </w:pPr>
          </w:p>
        </w:tc>
        <w:tc>
          <w:tcPr>
            <w:tcW w:w="1140" w:type="dxa"/>
            <w:vAlign w:val="bottom"/>
            <w:tcBorders>
              <w:bottom w:val="single" w:sz="8" w:color="FEFEFE"/>
            </w:tcBorders>
            <w:shd w:val="clear" w:color="auto" w:fill="FEFEFE"/>
          </w:tcPr>
          <w:p>
            <w:pPr>
              <w:spacing w:after="0"/>
              <w:rPr>
                <w:sz w:val="23"/>
                <w:szCs w:val="23"/>
                <w:color w:val="auto"/>
              </w:rPr>
            </w:pPr>
          </w:p>
        </w:tc>
        <w:tc>
          <w:tcPr>
            <w:tcW w:w="20" w:type="dxa"/>
            <w:vAlign w:val="bottom"/>
            <w:tcBorders>
              <w:bottom w:val="single" w:sz="8" w:color="FEFEFE"/>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980" w:type="dxa"/>
            <w:vAlign w:val="bottom"/>
            <w:gridSpan w:val="2"/>
            <w:shd w:val="clear" w:color="auto" w:fill="E4E4E4"/>
          </w:tcPr>
          <w:p>
            <w:pPr>
              <w:ind w:left="260"/>
              <w:spacing w:after="0"/>
              <w:rPr>
                <w:sz w:val="20"/>
                <w:szCs w:val="20"/>
                <w:color w:val="auto"/>
              </w:rPr>
            </w:pPr>
            <w:r>
              <w:rPr>
                <w:rFonts w:ascii="Arial" w:cs="Arial" w:eastAsia="Arial" w:hAnsi="Arial"/>
                <w:sz w:val="20"/>
                <w:szCs w:val="20"/>
                <w:color w:val="auto"/>
              </w:rPr>
              <w:t>Projected benefit obligation at end of year</w:t>
            </w:r>
          </w:p>
        </w:tc>
        <w:tc>
          <w:tcPr>
            <w:tcW w:w="240" w:type="dxa"/>
            <w:vAlign w:val="bottom"/>
            <w:gridSpan w:val="2"/>
            <w:shd w:val="clear" w:color="auto" w:fill="E4E4E4"/>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1,334</w:t>
            </w:r>
          </w:p>
        </w:tc>
        <w:tc>
          <w:tcPr>
            <w:tcW w:w="120" w:type="dxa"/>
            <w:vAlign w:val="bottom"/>
            <w:shd w:val="clear" w:color="auto" w:fill="E4E4E4"/>
          </w:tcPr>
          <w:p>
            <w:pPr>
              <w:spacing w:after="0"/>
              <w:rPr>
                <w:sz w:val="24"/>
                <w:szCs w:val="24"/>
                <w:color w:val="auto"/>
              </w:rPr>
            </w:pP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1,271</w:t>
            </w:r>
          </w:p>
        </w:tc>
        <w:tc>
          <w:tcPr>
            <w:tcW w:w="100" w:type="dxa"/>
            <w:vAlign w:val="bottom"/>
            <w:shd w:val="clear" w:color="auto" w:fill="E4E4E4"/>
          </w:tcPr>
          <w:p>
            <w:pPr>
              <w:spacing w:after="0"/>
              <w:rPr>
                <w:sz w:val="24"/>
                <w:szCs w:val="24"/>
                <w:color w:val="auto"/>
              </w:rPr>
            </w:pPr>
          </w:p>
        </w:tc>
        <w:tc>
          <w:tcPr>
            <w:tcW w:w="22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119</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107</w:t>
            </w:r>
          </w:p>
        </w:tc>
        <w:tc>
          <w:tcPr>
            <w:tcW w:w="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Fair value of plan assets at end of year</w:t>
            </w:r>
          </w:p>
        </w:tc>
        <w:tc>
          <w:tcPr>
            <w:tcW w:w="10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1,523</w:t>
            </w:r>
          </w:p>
        </w:tc>
        <w:tc>
          <w:tcPr>
            <w:tcW w:w="120" w:type="dxa"/>
            <w:vAlign w:val="bottom"/>
            <w:tcBorders>
              <w:bottom w:val="single" w:sz="8" w:color="auto"/>
            </w:tcBorders>
            <w:shd w:val="clear" w:color="auto" w:fill="FEFEFE"/>
          </w:tcPr>
          <w:p>
            <w:pPr>
              <w:spacing w:after="0"/>
              <w:rPr>
                <w:sz w:val="24"/>
                <w:szCs w:val="24"/>
                <w:color w:val="auto"/>
              </w:rPr>
            </w:pPr>
          </w:p>
        </w:tc>
        <w:tc>
          <w:tcPr>
            <w:tcW w:w="140" w:type="dxa"/>
            <w:vAlign w:val="bottom"/>
            <w:tcBorders>
              <w:bottom w:val="single" w:sz="8" w:color="auto"/>
            </w:tcBorders>
            <w:shd w:val="clear" w:color="auto" w:fill="FEFEFE"/>
          </w:tcPr>
          <w:p>
            <w:pPr>
              <w:spacing w:after="0"/>
              <w:rPr>
                <w:sz w:val="24"/>
                <w:szCs w:val="24"/>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1,450</w:t>
            </w:r>
          </w:p>
        </w:tc>
        <w:tc>
          <w:tcPr>
            <w:tcW w:w="10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94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spacing w:after="0"/>
              <w:rPr>
                <w:sz w:val="24"/>
                <w:szCs w:val="24"/>
                <w:color w:val="auto"/>
              </w:rPr>
            </w:pPr>
          </w:p>
        </w:tc>
        <w:tc>
          <w:tcPr>
            <w:tcW w:w="2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8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Funded status  excess (asset) obligation</w:t>
            </w:r>
          </w:p>
        </w:tc>
        <w:tc>
          <w:tcPr>
            <w:tcW w:w="240" w:type="dxa"/>
            <w:vAlign w:val="bottom"/>
            <w:tcBorders>
              <w:bottom w:val="single" w:sz="8" w:color="auto"/>
            </w:tcBorders>
            <w:gridSpan w:val="2"/>
            <w:shd w:val="clear" w:color="auto" w:fill="E4E4E4"/>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189</w:t>
            </w:r>
          </w:p>
        </w:tc>
        <w:tc>
          <w:tcPr>
            <w:tcW w:w="12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(17</w:t>
            </w:r>
          </w:p>
        </w:tc>
        <w:tc>
          <w:tcPr>
            <w:tcW w:w="32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w w:val="85"/>
              </w:rPr>
              <w:t>) $</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119</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107</w:t>
            </w:r>
          </w:p>
        </w:tc>
        <w:tc>
          <w:tcPr>
            <w:tcW w:w="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80" w:type="dxa"/>
            <w:vAlign w:val="bottom"/>
            <w:gridSpan w:val="2"/>
            <w:shd w:val="clear" w:color="auto" w:fill="FEFEFE"/>
          </w:tcPr>
          <w:p>
            <w:pPr>
              <w:ind w:left="260"/>
              <w:spacing w:after="0" w:line="204" w:lineRule="exact"/>
              <w:rPr>
                <w:sz w:val="20"/>
                <w:szCs w:val="20"/>
                <w:color w:val="auto"/>
              </w:rPr>
            </w:pPr>
            <w:r>
              <w:rPr>
                <w:rFonts w:ascii="Arial" w:cs="Arial" w:eastAsia="Arial" w:hAnsi="Arial"/>
                <w:sz w:val="20"/>
                <w:szCs w:val="20"/>
                <w:color w:val="auto"/>
                <w:w w:val="95"/>
              </w:rPr>
              <w:t>Net (asset) liability recogni ed on Consolidated Balance</w:t>
            </w:r>
          </w:p>
        </w:tc>
        <w:tc>
          <w:tcPr>
            <w:tcW w:w="240" w:type="dxa"/>
            <w:vAlign w:val="bottom"/>
            <w:gridSpan w:val="2"/>
            <w:vMerge w:val="restart"/>
            <w:shd w:val="clear" w:color="auto" w:fill="FEFEFE"/>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189</w:t>
            </w:r>
          </w:p>
        </w:tc>
        <w:tc>
          <w:tcPr>
            <w:tcW w:w="120" w:type="dxa"/>
            <w:vAlign w:val="bottom"/>
            <w:shd w:val="clear" w:color="auto" w:fill="FEFEFE"/>
          </w:tcPr>
          <w:p>
            <w:pPr>
              <w:spacing w:after="0"/>
              <w:rPr>
                <w:sz w:val="17"/>
                <w:szCs w:val="17"/>
                <w:color w:val="auto"/>
              </w:rPr>
            </w:pPr>
          </w:p>
        </w:tc>
        <w:tc>
          <w:tcPr>
            <w:tcW w:w="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(17</w:t>
            </w:r>
          </w:p>
        </w:tc>
        <w:tc>
          <w:tcPr>
            <w:tcW w:w="320" w:type="dxa"/>
            <w:vAlign w:val="bottom"/>
            <w:gridSpan w:val="2"/>
            <w:vMerge w:val="restart"/>
            <w:shd w:val="clear" w:color="auto" w:fill="FEFEFE"/>
          </w:tcPr>
          <w:p>
            <w:pPr>
              <w:jc w:val="right"/>
              <w:spacing w:after="0"/>
              <w:rPr>
                <w:sz w:val="20"/>
                <w:szCs w:val="20"/>
                <w:color w:val="auto"/>
              </w:rPr>
            </w:pPr>
            <w:r>
              <w:rPr>
                <w:rFonts w:ascii="Arial" w:cs="Arial" w:eastAsia="Arial" w:hAnsi="Arial"/>
                <w:sz w:val="20"/>
                <w:szCs w:val="20"/>
                <w:color w:val="auto"/>
                <w:w w:val="85"/>
              </w:rPr>
              <w:t>) $</w:t>
            </w:r>
          </w:p>
        </w:tc>
        <w:tc>
          <w:tcPr>
            <w:tcW w:w="9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119</w:t>
            </w:r>
          </w:p>
        </w:tc>
        <w:tc>
          <w:tcPr>
            <w:tcW w:w="2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107</w:t>
            </w:r>
          </w:p>
        </w:tc>
        <w:tc>
          <w:tcPr>
            <w:tcW w:w="2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98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Sheets</w:t>
            </w:r>
          </w:p>
        </w:tc>
        <w:tc>
          <w:tcPr>
            <w:tcW w:w="240" w:type="dxa"/>
            <w:vAlign w:val="bottom"/>
            <w:tcBorders>
              <w:bottom w:val="single" w:sz="8" w:color="auto"/>
            </w:tcBorders>
            <w:gridSpan w:val="2"/>
            <w:vMerge w:val="continue"/>
            <w:shd w:val="clear" w:color="auto" w:fill="FEFEFE"/>
          </w:tcPr>
          <w:p>
            <w:pPr>
              <w:spacing w:after="0"/>
              <w:rPr>
                <w:sz w:val="23"/>
                <w:szCs w:val="23"/>
                <w:color w:val="auto"/>
              </w:rPr>
            </w:pPr>
          </w:p>
        </w:tc>
        <w:tc>
          <w:tcPr>
            <w:tcW w:w="1100" w:type="dxa"/>
            <w:vAlign w:val="bottom"/>
            <w:tcBorders>
              <w:bottom w:val="single" w:sz="8" w:color="auto"/>
            </w:tcBorders>
            <w:vMerge w:val="continue"/>
            <w:shd w:val="clear" w:color="auto" w:fill="FEFEFE"/>
          </w:tcPr>
          <w:p>
            <w:pPr>
              <w:spacing w:after="0"/>
              <w:rPr>
                <w:sz w:val="23"/>
                <w:szCs w:val="23"/>
                <w:color w:val="auto"/>
              </w:rPr>
            </w:pPr>
          </w:p>
        </w:tc>
        <w:tc>
          <w:tcPr>
            <w:tcW w:w="120" w:type="dxa"/>
            <w:vAlign w:val="bottom"/>
            <w:tcBorders>
              <w:bottom w:val="single" w:sz="8" w:color="auto"/>
            </w:tcBorders>
            <w:shd w:val="clear" w:color="auto" w:fill="FEFEFE"/>
          </w:tcPr>
          <w:p>
            <w:pPr>
              <w:spacing w:after="0"/>
              <w:rPr>
                <w:sz w:val="23"/>
                <w:szCs w:val="23"/>
                <w:color w:val="auto"/>
              </w:rPr>
            </w:pPr>
          </w:p>
        </w:tc>
        <w:tc>
          <w:tcPr>
            <w:tcW w:w="140" w:type="dxa"/>
            <w:vAlign w:val="bottom"/>
            <w:tcBorders>
              <w:bottom w:val="single" w:sz="8" w:color="auto"/>
            </w:tcBorders>
            <w:vMerge w:val="continue"/>
            <w:shd w:val="clear" w:color="auto" w:fill="FEFEFE"/>
          </w:tcPr>
          <w:p>
            <w:pPr>
              <w:spacing w:after="0"/>
              <w:rPr>
                <w:sz w:val="23"/>
                <w:szCs w:val="23"/>
                <w:color w:val="auto"/>
              </w:rPr>
            </w:pPr>
          </w:p>
        </w:tc>
        <w:tc>
          <w:tcPr>
            <w:tcW w:w="1060" w:type="dxa"/>
            <w:vAlign w:val="bottom"/>
            <w:tcBorders>
              <w:bottom w:val="single" w:sz="8" w:color="auto"/>
            </w:tcBorders>
            <w:vMerge w:val="continue"/>
            <w:shd w:val="clear" w:color="auto" w:fill="FEFEFE"/>
          </w:tcPr>
          <w:p>
            <w:pPr>
              <w:spacing w:after="0"/>
              <w:rPr>
                <w:sz w:val="23"/>
                <w:szCs w:val="23"/>
                <w:color w:val="auto"/>
              </w:rPr>
            </w:pPr>
          </w:p>
        </w:tc>
        <w:tc>
          <w:tcPr>
            <w:tcW w:w="320" w:type="dxa"/>
            <w:vAlign w:val="bottom"/>
            <w:tcBorders>
              <w:bottom w:val="single" w:sz="8" w:color="auto"/>
            </w:tcBorders>
            <w:gridSpan w:val="2"/>
            <w:vMerge w:val="continue"/>
            <w:shd w:val="clear" w:color="auto" w:fill="FEFEFE"/>
          </w:tcPr>
          <w:p>
            <w:pPr>
              <w:spacing w:after="0"/>
              <w:rPr>
                <w:sz w:val="23"/>
                <w:szCs w:val="23"/>
                <w:color w:val="auto"/>
              </w:rPr>
            </w:pPr>
          </w:p>
        </w:tc>
        <w:tc>
          <w:tcPr>
            <w:tcW w:w="940" w:type="dxa"/>
            <w:vAlign w:val="bottom"/>
            <w:tcBorders>
              <w:bottom w:val="single" w:sz="8" w:color="auto"/>
            </w:tcBorders>
            <w:vMerge w:val="continue"/>
            <w:shd w:val="clear" w:color="auto" w:fill="FEFEFE"/>
          </w:tcPr>
          <w:p>
            <w:pPr>
              <w:spacing w:after="0"/>
              <w:rPr>
                <w:sz w:val="23"/>
                <w:szCs w:val="23"/>
                <w:color w:val="auto"/>
              </w:rPr>
            </w:pPr>
          </w:p>
        </w:tc>
        <w:tc>
          <w:tcPr>
            <w:tcW w:w="200" w:type="dxa"/>
            <w:vAlign w:val="bottom"/>
            <w:tcBorders>
              <w:bottom w:val="single" w:sz="8" w:color="auto"/>
            </w:tcBorders>
            <w:vMerge w:val="continue"/>
            <w:shd w:val="clear" w:color="auto" w:fill="FEFEFE"/>
          </w:tcPr>
          <w:p>
            <w:pPr>
              <w:spacing w:after="0"/>
              <w:rPr>
                <w:sz w:val="23"/>
                <w:szCs w:val="23"/>
                <w:color w:val="auto"/>
              </w:rPr>
            </w:pPr>
          </w:p>
        </w:tc>
        <w:tc>
          <w:tcPr>
            <w:tcW w:w="1140" w:type="dxa"/>
            <w:vAlign w:val="bottom"/>
            <w:tcBorders>
              <w:bottom w:val="single" w:sz="8" w:color="auto"/>
            </w:tcBorders>
            <w:vMerge w:val="continue"/>
            <w:shd w:val="clear" w:color="auto" w:fill="FEFEFE"/>
          </w:tcPr>
          <w:p>
            <w:pPr>
              <w:spacing w:after="0"/>
              <w:rPr>
                <w:sz w:val="23"/>
                <w:szCs w:val="23"/>
                <w:color w:val="auto"/>
              </w:rPr>
            </w:pPr>
          </w:p>
        </w:tc>
        <w:tc>
          <w:tcPr>
            <w:tcW w:w="20" w:type="dxa"/>
            <w:vAlign w:val="bottom"/>
            <w:tcBorders>
              <w:bottom w:val="single" w:sz="8" w:color="auto"/>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980" w:type="dxa"/>
            <w:vAlign w:val="bottom"/>
            <w:gridSpan w:val="2"/>
            <w:shd w:val="clear" w:color="auto" w:fill="E4E4E4"/>
          </w:tcPr>
          <w:p>
            <w:pPr>
              <w:ind w:left="40"/>
              <w:spacing w:after="0" w:line="204" w:lineRule="exact"/>
              <w:rPr>
                <w:sz w:val="20"/>
                <w:szCs w:val="20"/>
                <w:color w:val="auto"/>
              </w:rPr>
            </w:pPr>
            <w:r>
              <w:rPr>
                <w:rFonts w:ascii="Arial" w:cs="Arial" w:eastAsia="Arial" w:hAnsi="Arial"/>
                <w:sz w:val="20"/>
                <w:szCs w:val="20"/>
                <w:color w:val="auto"/>
                <w:w w:val="97"/>
              </w:rPr>
              <w:t>Amounts not yet reflected in net periodic benefit cost and</w:t>
            </w: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22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1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980" w:type="dxa"/>
            <w:vAlign w:val="bottom"/>
            <w:tcBorders>
              <w:bottom w:val="single" w:sz="8" w:color="E4E4E4"/>
            </w:tcBorders>
            <w:gridSpan w:val="2"/>
            <w:shd w:val="clear" w:color="auto" w:fill="E4E4E4"/>
          </w:tcPr>
          <w:p>
            <w:pPr>
              <w:ind w:left="40"/>
              <w:spacing w:after="0"/>
              <w:rPr>
                <w:sz w:val="20"/>
                <w:szCs w:val="20"/>
                <w:color w:val="auto"/>
              </w:rPr>
            </w:pPr>
            <w:r>
              <w:rPr>
                <w:rFonts w:ascii="Arial" w:cs="Arial" w:eastAsia="Arial" w:hAnsi="Arial"/>
                <w:sz w:val="20"/>
                <w:szCs w:val="20"/>
                <w:color w:val="auto"/>
                <w:w w:val="91"/>
              </w:rPr>
              <w:t>included in Accumulated other comprehensive (loss) income:</w:t>
            </w:r>
          </w:p>
        </w:tc>
        <w:tc>
          <w:tcPr>
            <w:tcW w:w="1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98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rPr>
              <w:t>Prior service (credit)</w:t>
            </w:r>
          </w:p>
        </w:tc>
        <w:tc>
          <w:tcPr>
            <w:tcW w:w="240" w:type="dxa"/>
            <w:vAlign w:val="bottom"/>
            <w:gridSpan w:val="2"/>
            <w:shd w:val="clear" w:color="auto" w:fill="FEFEFE"/>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w:t>
            </w:r>
          </w:p>
        </w:tc>
        <w:tc>
          <w:tcPr>
            <w:tcW w:w="120" w:type="dxa"/>
            <w:vAlign w:val="bottom"/>
            <w:shd w:val="clear" w:color="auto" w:fill="FEFEFE"/>
          </w:tcPr>
          <w:p>
            <w:pPr>
              <w:spacing w:after="0"/>
              <w:rPr>
                <w:sz w:val="24"/>
                <w:szCs w:val="24"/>
                <w:color w:val="auto"/>
              </w:rPr>
            </w:pP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FEFEFE"/>
          </w:tcPr>
          <w:p>
            <w:pPr>
              <w:jc w:val="right"/>
              <w:spacing w:after="0"/>
              <w:rPr>
                <w:sz w:val="20"/>
                <w:szCs w:val="20"/>
                <w:color w:val="auto"/>
              </w:rPr>
            </w:pPr>
            <w:r>
              <w:rPr>
                <w:rFonts w:ascii="Arial" w:cs="Arial" w:eastAsia="Arial" w:hAnsi="Arial"/>
                <w:sz w:val="20"/>
                <w:szCs w:val="20"/>
                <w:color w:val="auto"/>
              </w:rPr>
              <w:t>(8)</w:t>
            </w:r>
          </w:p>
        </w:tc>
        <w:tc>
          <w:tcPr>
            <w:tcW w:w="22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FEFEFE"/>
          </w:tcPr>
          <w:p>
            <w:pPr>
              <w:spacing w:after="0"/>
              <w:rPr>
                <w:sz w:val="24"/>
                <w:szCs w:val="24"/>
                <w:color w:val="auto"/>
              </w:rPr>
            </w:pP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spacing w:after="0"/>
              <w:rPr>
                <w:sz w:val="24"/>
                <w:szCs w:val="24"/>
                <w:color w:val="auto"/>
              </w:rPr>
            </w:pPr>
          </w:p>
        </w:tc>
        <w:tc>
          <w:tcPr>
            <w:tcW w:w="2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980" w:type="dxa"/>
            <w:vAlign w:val="bottom"/>
            <w:tcBorders>
              <w:bottom w:val="single" w:sz="8" w:color="auto"/>
            </w:tcBorders>
            <w:gridSpan w:val="2"/>
            <w:shd w:val="clear" w:color="auto" w:fill="E4E4E4"/>
          </w:tcPr>
          <w:p>
            <w:pPr>
              <w:ind w:left="260"/>
              <w:spacing w:after="0"/>
              <w:rPr>
                <w:sz w:val="20"/>
                <w:szCs w:val="20"/>
                <w:color w:val="auto"/>
              </w:rPr>
            </w:pPr>
            <w:r>
              <w:rPr>
                <w:rFonts w:ascii="Arial" w:cs="Arial" w:eastAsia="Arial" w:hAnsi="Arial"/>
                <w:sz w:val="20"/>
                <w:szCs w:val="20"/>
                <w:color w:val="auto"/>
              </w:rPr>
              <w:t>Accumulated actuarial losses</w:t>
            </w:r>
          </w:p>
        </w:tc>
        <w:tc>
          <w:tcPr>
            <w:tcW w:w="10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14</w:t>
            </w:r>
          </w:p>
        </w:tc>
        <w:tc>
          <w:tcPr>
            <w:tcW w:w="12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41</w:t>
            </w:r>
          </w:p>
        </w:tc>
        <w:tc>
          <w:tcPr>
            <w:tcW w:w="100" w:type="dxa"/>
            <w:vAlign w:val="bottom"/>
            <w:tcBorders>
              <w:bottom w:val="single" w:sz="8" w:color="auto"/>
            </w:tcBorders>
            <w:shd w:val="clear" w:color="auto" w:fill="E4E4E4"/>
          </w:tcPr>
          <w:p>
            <w:pPr>
              <w:spacing w:after="0"/>
              <w:rPr>
                <w:sz w:val="24"/>
                <w:szCs w:val="24"/>
                <w:color w:val="auto"/>
              </w:rPr>
            </w:pPr>
          </w:p>
        </w:tc>
        <w:tc>
          <w:tcPr>
            <w:tcW w:w="220" w:type="dxa"/>
            <w:vAlign w:val="bottom"/>
            <w:tcBorders>
              <w:bottom w:val="single" w:sz="8" w:color="auto"/>
            </w:tcBorders>
            <w:shd w:val="clear" w:color="auto" w:fill="E4E4E4"/>
          </w:tcPr>
          <w:p>
            <w:pPr>
              <w:spacing w:after="0"/>
              <w:rPr>
                <w:sz w:val="24"/>
                <w:szCs w:val="24"/>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20</w:t>
            </w:r>
          </w:p>
        </w:tc>
        <w:tc>
          <w:tcPr>
            <w:tcW w:w="20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13</w:t>
            </w:r>
          </w:p>
        </w:tc>
        <w:tc>
          <w:tcPr>
            <w:tcW w:w="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80" w:type="dxa"/>
            <w:vAlign w:val="bottom"/>
            <w:gridSpan w:val="2"/>
            <w:shd w:val="clear" w:color="auto" w:fill="FEFEFE"/>
          </w:tcPr>
          <w:p>
            <w:pPr>
              <w:ind w:left="260"/>
              <w:spacing w:after="0" w:line="204" w:lineRule="exact"/>
              <w:rPr>
                <w:sz w:val="20"/>
                <w:szCs w:val="20"/>
                <w:color w:val="auto"/>
              </w:rPr>
            </w:pPr>
            <w:r>
              <w:rPr>
                <w:rFonts w:ascii="Arial" w:cs="Arial" w:eastAsia="Arial" w:hAnsi="Arial"/>
                <w:sz w:val="20"/>
                <w:szCs w:val="20"/>
                <w:color w:val="auto"/>
                <w:w w:val="95"/>
              </w:rPr>
              <w:t>Amounts included in Accumulated other comprehensive</w:t>
            </w:r>
          </w:p>
        </w:tc>
        <w:tc>
          <w:tcPr>
            <w:tcW w:w="240" w:type="dxa"/>
            <w:vAlign w:val="bottom"/>
            <w:gridSpan w:val="2"/>
            <w:vMerge w:val="restart"/>
            <w:shd w:val="clear" w:color="auto" w:fill="FEFEFE"/>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7</w:t>
            </w:r>
          </w:p>
        </w:tc>
        <w:tc>
          <w:tcPr>
            <w:tcW w:w="120" w:type="dxa"/>
            <w:vAlign w:val="bottom"/>
            <w:shd w:val="clear" w:color="auto" w:fill="FEFEFE"/>
          </w:tcPr>
          <w:p>
            <w:pPr>
              <w:spacing w:after="0"/>
              <w:rPr>
                <w:sz w:val="17"/>
                <w:szCs w:val="17"/>
                <w:color w:val="auto"/>
              </w:rPr>
            </w:pPr>
          </w:p>
        </w:tc>
        <w:tc>
          <w:tcPr>
            <w:tcW w:w="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33</w:t>
            </w:r>
          </w:p>
        </w:tc>
        <w:tc>
          <w:tcPr>
            <w:tcW w:w="100" w:type="dxa"/>
            <w:vAlign w:val="bottom"/>
            <w:shd w:val="clear" w:color="auto" w:fill="FEFEFE"/>
          </w:tcPr>
          <w:p>
            <w:pPr>
              <w:spacing w:after="0"/>
              <w:rPr>
                <w:sz w:val="17"/>
                <w:szCs w:val="17"/>
                <w:color w:val="auto"/>
              </w:rPr>
            </w:pPr>
          </w:p>
        </w:tc>
        <w:tc>
          <w:tcPr>
            <w:tcW w:w="22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20</w:t>
            </w:r>
          </w:p>
        </w:tc>
        <w:tc>
          <w:tcPr>
            <w:tcW w:w="2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13</w:t>
            </w:r>
          </w:p>
        </w:tc>
        <w:tc>
          <w:tcPr>
            <w:tcW w:w="2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980" w:type="dxa"/>
            <w:vAlign w:val="bottom"/>
            <w:tcBorders>
              <w:bottom w:val="single" w:sz="8" w:color="auto"/>
            </w:tcBorders>
            <w:gridSpan w:val="2"/>
            <w:shd w:val="clear" w:color="auto" w:fill="FEFEFE"/>
          </w:tcPr>
          <w:p>
            <w:pPr>
              <w:ind w:left="260"/>
              <w:spacing w:after="0"/>
              <w:rPr>
                <w:sz w:val="20"/>
                <w:szCs w:val="20"/>
                <w:color w:val="auto"/>
              </w:rPr>
            </w:pPr>
            <w:r>
              <w:rPr>
                <w:rFonts w:ascii="Arial" w:cs="Arial" w:eastAsia="Arial" w:hAnsi="Arial"/>
                <w:sz w:val="20"/>
                <w:szCs w:val="20"/>
                <w:color w:val="auto"/>
              </w:rPr>
              <w:t>(loss) income</w:t>
            </w:r>
          </w:p>
        </w:tc>
        <w:tc>
          <w:tcPr>
            <w:tcW w:w="240" w:type="dxa"/>
            <w:vAlign w:val="bottom"/>
            <w:tcBorders>
              <w:bottom w:val="single" w:sz="8" w:color="auto"/>
            </w:tcBorders>
            <w:gridSpan w:val="2"/>
            <w:vMerge w:val="continue"/>
            <w:shd w:val="clear" w:color="auto" w:fill="FEFEFE"/>
          </w:tcPr>
          <w:p>
            <w:pPr>
              <w:spacing w:after="0"/>
              <w:rPr>
                <w:sz w:val="23"/>
                <w:szCs w:val="23"/>
                <w:color w:val="auto"/>
              </w:rPr>
            </w:pPr>
          </w:p>
        </w:tc>
        <w:tc>
          <w:tcPr>
            <w:tcW w:w="1100" w:type="dxa"/>
            <w:vAlign w:val="bottom"/>
            <w:tcBorders>
              <w:bottom w:val="single" w:sz="8" w:color="auto"/>
            </w:tcBorders>
            <w:vMerge w:val="continue"/>
            <w:shd w:val="clear" w:color="auto" w:fill="FEFEFE"/>
          </w:tcPr>
          <w:p>
            <w:pPr>
              <w:spacing w:after="0"/>
              <w:rPr>
                <w:sz w:val="23"/>
                <w:szCs w:val="23"/>
                <w:color w:val="auto"/>
              </w:rPr>
            </w:pPr>
          </w:p>
        </w:tc>
        <w:tc>
          <w:tcPr>
            <w:tcW w:w="120" w:type="dxa"/>
            <w:vAlign w:val="bottom"/>
            <w:tcBorders>
              <w:bottom w:val="single" w:sz="8" w:color="auto"/>
            </w:tcBorders>
            <w:shd w:val="clear" w:color="auto" w:fill="FEFEFE"/>
          </w:tcPr>
          <w:p>
            <w:pPr>
              <w:spacing w:after="0"/>
              <w:rPr>
                <w:sz w:val="23"/>
                <w:szCs w:val="23"/>
                <w:color w:val="auto"/>
              </w:rPr>
            </w:pPr>
          </w:p>
        </w:tc>
        <w:tc>
          <w:tcPr>
            <w:tcW w:w="140" w:type="dxa"/>
            <w:vAlign w:val="bottom"/>
            <w:tcBorders>
              <w:bottom w:val="single" w:sz="8" w:color="auto"/>
            </w:tcBorders>
            <w:vMerge w:val="continue"/>
            <w:shd w:val="clear" w:color="auto" w:fill="FEFEFE"/>
          </w:tcPr>
          <w:p>
            <w:pPr>
              <w:spacing w:after="0"/>
              <w:rPr>
                <w:sz w:val="23"/>
                <w:szCs w:val="23"/>
                <w:color w:val="auto"/>
              </w:rPr>
            </w:pPr>
          </w:p>
        </w:tc>
        <w:tc>
          <w:tcPr>
            <w:tcW w:w="1060" w:type="dxa"/>
            <w:vAlign w:val="bottom"/>
            <w:tcBorders>
              <w:bottom w:val="single" w:sz="8" w:color="auto"/>
            </w:tcBorders>
            <w:vMerge w:val="continue"/>
            <w:shd w:val="clear" w:color="auto" w:fill="FEFEFE"/>
          </w:tcPr>
          <w:p>
            <w:pPr>
              <w:spacing w:after="0"/>
              <w:rPr>
                <w:sz w:val="23"/>
                <w:szCs w:val="23"/>
                <w:color w:val="auto"/>
              </w:rPr>
            </w:pPr>
          </w:p>
        </w:tc>
        <w:tc>
          <w:tcPr>
            <w:tcW w:w="100" w:type="dxa"/>
            <w:vAlign w:val="bottom"/>
            <w:tcBorders>
              <w:bottom w:val="single" w:sz="8" w:color="auto"/>
            </w:tcBorders>
            <w:shd w:val="clear" w:color="auto" w:fill="FEFEFE"/>
          </w:tcPr>
          <w:p>
            <w:pPr>
              <w:spacing w:after="0"/>
              <w:rPr>
                <w:sz w:val="23"/>
                <w:szCs w:val="23"/>
                <w:color w:val="auto"/>
              </w:rPr>
            </w:pPr>
          </w:p>
        </w:tc>
        <w:tc>
          <w:tcPr>
            <w:tcW w:w="220" w:type="dxa"/>
            <w:vAlign w:val="bottom"/>
            <w:tcBorders>
              <w:bottom w:val="single" w:sz="8" w:color="auto"/>
            </w:tcBorders>
            <w:vMerge w:val="continue"/>
            <w:shd w:val="clear" w:color="auto" w:fill="FEFEFE"/>
          </w:tcPr>
          <w:p>
            <w:pPr>
              <w:spacing w:after="0"/>
              <w:rPr>
                <w:sz w:val="23"/>
                <w:szCs w:val="23"/>
                <w:color w:val="auto"/>
              </w:rPr>
            </w:pPr>
          </w:p>
        </w:tc>
        <w:tc>
          <w:tcPr>
            <w:tcW w:w="940" w:type="dxa"/>
            <w:vAlign w:val="bottom"/>
            <w:tcBorders>
              <w:bottom w:val="single" w:sz="8" w:color="auto"/>
            </w:tcBorders>
            <w:vMerge w:val="continue"/>
            <w:shd w:val="clear" w:color="auto" w:fill="FEFEFE"/>
          </w:tcPr>
          <w:p>
            <w:pPr>
              <w:spacing w:after="0"/>
              <w:rPr>
                <w:sz w:val="23"/>
                <w:szCs w:val="23"/>
                <w:color w:val="auto"/>
              </w:rPr>
            </w:pPr>
          </w:p>
        </w:tc>
        <w:tc>
          <w:tcPr>
            <w:tcW w:w="200" w:type="dxa"/>
            <w:vAlign w:val="bottom"/>
            <w:tcBorders>
              <w:bottom w:val="single" w:sz="8" w:color="auto"/>
            </w:tcBorders>
            <w:vMerge w:val="continue"/>
            <w:shd w:val="clear" w:color="auto" w:fill="FEFEFE"/>
          </w:tcPr>
          <w:p>
            <w:pPr>
              <w:spacing w:after="0"/>
              <w:rPr>
                <w:sz w:val="23"/>
                <w:szCs w:val="23"/>
                <w:color w:val="auto"/>
              </w:rPr>
            </w:pPr>
          </w:p>
        </w:tc>
        <w:tc>
          <w:tcPr>
            <w:tcW w:w="1140" w:type="dxa"/>
            <w:vAlign w:val="bottom"/>
            <w:tcBorders>
              <w:bottom w:val="single" w:sz="8" w:color="auto"/>
            </w:tcBorders>
            <w:vMerge w:val="continue"/>
            <w:shd w:val="clear" w:color="auto" w:fill="FEFEFE"/>
          </w:tcPr>
          <w:p>
            <w:pPr>
              <w:spacing w:after="0"/>
              <w:rPr>
                <w:sz w:val="23"/>
                <w:szCs w:val="23"/>
                <w:color w:val="auto"/>
              </w:rPr>
            </w:pPr>
          </w:p>
        </w:tc>
        <w:tc>
          <w:tcPr>
            <w:tcW w:w="20" w:type="dxa"/>
            <w:vAlign w:val="bottom"/>
            <w:tcBorders>
              <w:bottom w:val="single" w:sz="8" w:color="auto"/>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right="20"/>
        <w:spacing w:after="0" w:line="294" w:lineRule="auto"/>
        <w:rPr>
          <w:sz w:val="20"/>
          <w:szCs w:val="20"/>
          <w:color w:val="auto"/>
        </w:rPr>
      </w:pPr>
      <w:r>
        <w:rPr>
          <w:rFonts w:ascii="Arial" w:cs="Arial" w:eastAsia="Arial" w:hAnsi="Arial"/>
          <w:sz w:val="18"/>
          <w:szCs w:val="18"/>
          <w:color w:val="auto"/>
        </w:rPr>
        <w:t>The Consolidated Balance Sheets reflect the funded status of the plans with any unrecogni ed prior service cost (credit) and actuarial gains and losses recorded in Accumulated other comprehensive (loss) income. The funded plan asset of $18 million and $17 million is reflected on the Consolidated Balance Sheets in ther assets as of January 31, 2026 and February 1, 2025, respectively. The unfunded plan liability is reflected on the Consolidated Balance Sheets as Current liabilities of $6 million and $7 million and a long-term liability of $113 million and $100 million as of January 31, 2026 and February 1, 2025, respectively.</w:t>
      </w:r>
    </w:p>
    <w:p>
      <w:pPr>
        <w:spacing w:after="0" w:line="52" w:lineRule="exact"/>
        <w:rPr>
          <w:sz w:val="20"/>
          <w:szCs w:val="20"/>
          <w:color w:val="auto"/>
        </w:rPr>
      </w:pPr>
    </w:p>
    <w:p>
      <w:pPr>
        <w:ind w:right="200"/>
        <w:spacing w:after="0" w:line="310" w:lineRule="auto"/>
        <w:rPr>
          <w:sz w:val="20"/>
          <w:szCs w:val="20"/>
          <w:color w:val="auto"/>
        </w:rPr>
      </w:pPr>
      <w:r>
        <w:rPr>
          <w:rFonts w:ascii="Arial" w:cs="Arial" w:eastAsia="Arial" w:hAnsi="Arial"/>
          <w:sz w:val="19"/>
          <w:szCs w:val="19"/>
          <w:color w:val="auto"/>
        </w:rPr>
        <w:t>The decrease in the actuarial losses included in Accumulated other comprehensive (loss) income for the funded plan for fiscal 2026 was driven by an increase in actual return on plan assets offset by the impact of lower discount rates.</w:t>
      </w:r>
    </w:p>
    <w:p>
      <w:pPr>
        <w:sectPr>
          <w:pgSz w:w="12240" w:h="15841" w:orient="portrait"/>
          <w:cols w:equalWidth="0" w:num="1">
            <w:col w:w="10260"/>
          </w:cols>
          <w:pgMar w:left="1000" w:top="84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F-27</w:t>
      </w:r>
    </w:p>
    <w:p>
      <w:pPr>
        <w:sectPr>
          <w:pgSz w:w="12240" w:h="15841" w:orient="portrait"/>
          <w:cols w:equalWidth="0" w:num="1">
            <w:col w:w="10260"/>
          </w:cols>
          <w:pgMar w:left="1000" w:top="847" w:right="981" w:bottom="0" w:gutter="0" w:footer="0" w:header="0"/>
          <w:type w:val="continuous"/>
        </w:sectPr>
      </w:pPr>
    </w:p>
    <w:bookmarkStart w:id="83" w:name="page84"/>
    <w:bookmarkEnd w:id="83"/>
    <w:p>
      <w:pPr>
        <w:jc w:val="both"/>
        <w:ind w:right="120"/>
        <w:spacing w:after="0" w:line="26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TJX determined the assumed discount rate using the B ND: Link model in fiscal 2026 and fiscal 2025. TJX uses the B ND: Link model as this model allows for the selection of specific bonds resulting in better matches in timing of the plans’ expected cash flows. Presented below are weighted average assumptions for measurement purposes for determining the obligation at the year-end measurement date: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620" w:type="dxa"/>
            <w:vAlign w:val="bottom"/>
            <w:gridSpan w:val="2"/>
          </w:tcPr>
          <w:p>
            <w:pPr>
              <w:jc w:val="right"/>
              <w:ind w:right="700"/>
              <w:spacing w:after="0"/>
              <w:rPr>
                <w:sz w:val="20"/>
                <w:szCs w:val="20"/>
                <w:color w:val="auto"/>
              </w:rPr>
            </w:pPr>
            <w:r>
              <w:rPr>
                <w:rFonts w:ascii="Arial" w:cs="Arial" w:eastAsia="Arial" w:hAnsi="Arial"/>
                <w:sz w:val="20"/>
                <w:szCs w:val="20"/>
                <w:color w:val="auto"/>
              </w:rPr>
              <w:t>Funded Plan</w:t>
            </w:r>
          </w:p>
        </w:tc>
        <w:tc>
          <w:tcPr>
            <w:tcW w:w="2660" w:type="dxa"/>
            <w:vAlign w:val="bottom"/>
            <w:gridSpan w:val="2"/>
          </w:tcPr>
          <w:p>
            <w:pPr>
              <w:jc w:val="right"/>
              <w:ind w:right="620"/>
              <w:spacing w:after="0"/>
              <w:rPr>
                <w:sz w:val="20"/>
                <w:szCs w:val="20"/>
                <w:color w:val="auto"/>
              </w:rPr>
            </w:pPr>
            <w:r>
              <w:rPr>
                <w:rFonts w:ascii="Arial" w:cs="Arial" w:eastAsia="Arial" w:hAnsi="Arial"/>
                <w:sz w:val="20"/>
                <w:szCs w:val="20"/>
                <w:color w:val="auto"/>
              </w:rPr>
              <w:t>nfunded Plan</w:t>
            </w:r>
          </w:p>
        </w:tc>
      </w:tr>
      <w:tr>
        <w:trPr>
          <w:trHeight w:val="263"/>
        </w:trPr>
        <w:tc>
          <w:tcPr>
            <w:tcW w:w="4960" w:type="dxa"/>
            <w:vAlign w:val="bottom"/>
          </w:tcPr>
          <w:p>
            <w:pPr>
              <w:spacing w:after="0"/>
              <w:rPr>
                <w:sz w:val="22"/>
                <w:szCs w:val="22"/>
                <w:color w:val="auto"/>
              </w:rPr>
            </w:pPr>
          </w:p>
        </w:tc>
        <w:tc>
          <w:tcPr>
            <w:tcW w:w="2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20"/>
                <w:szCs w:val="20"/>
                <w:color w:val="auto"/>
              </w:rPr>
              <w:t>Fiscal Year Ended</w:t>
            </w:r>
          </w:p>
        </w:tc>
        <w:tc>
          <w:tcPr>
            <w:tcW w:w="26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20"/>
                <w:szCs w:val="20"/>
                <w:color w:val="auto"/>
              </w:rPr>
              <w:t>Fiscal Year Ended</w:t>
            </w:r>
          </w:p>
        </w:tc>
      </w:tr>
      <w:tr>
        <w:trPr>
          <w:trHeight w:val="212"/>
        </w:trPr>
        <w:tc>
          <w:tcPr>
            <w:tcW w:w="4960" w:type="dxa"/>
            <w:vAlign w:val="bottom"/>
          </w:tcPr>
          <w:p>
            <w:pPr>
              <w:spacing w:after="0"/>
              <w:rPr>
                <w:sz w:val="18"/>
                <w:szCs w:val="18"/>
                <w:color w:val="auto"/>
              </w:rPr>
            </w:pPr>
          </w:p>
        </w:tc>
        <w:tc>
          <w:tcPr>
            <w:tcW w:w="1340" w:type="dxa"/>
            <w:vAlign w:val="bottom"/>
          </w:tcPr>
          <w:p>
            <w:pPr>
              <w:jc w:val="right"/>
              <w:ind w:right="80"/>
              <w:spacing w:after="0" w:line="212" w:lineRule="exact"/>
              <w:rPr>
                <w:sz w:val="20"/>
                <w:szCs w:val="20"/>
                <w:color w:val="auto"/>
              </w:rPr>
            </w:pPr>
            <w:r>
              <w:rPr>
                <w:rFonts w:ascii="Arial" w:cs="Arial" w:eastAsia="Arial" w:hAnsi="Arial"/>
                <w:sz w:val="20"/>
                <w:szCs w:val="20"/>
                <w:color w:val="auto"/>
              </w:rPr>
              <w:t>January 31,</w:t>
            </w:r>
          </w:p>
        </w:tc>
        <w:tc>
          <w:tcPr>
            <w:tcW w:w="1280" w:type="dxa"/>
            <w:vAlign w:val="bottom"/>
          </w:tcPr>
          <w:p>
            <w:pPr>
              <w:jc w:val="right"/>
              <w:ind w:right="80"/>
              <w:spacing w:after="0" w:line="212" w:lineRule="exact"/>
              <w:rPr>
                <w:sz w:val="20"/>
                <w:szCs w:val="20"/>
                <w:color w:val="auto"/>
              </w:rPr>
            </w:pPr>
            <w:r>
              <w:rPr>
                <w:rFonts w:ascii="Arial" w:cs="Arial" w:eastAsia="Arial" w:hAnsi="Arial"/>
                <w:sz w:val="20"/>
                <w:szCs w:val="20"/>
                <w:color w:val="auto"/>
              </w:rPr>
              <w:t>February 1,</w:t>
            </w:r>
          </w:p>
        </w:tc>
        <w:tc>
          <w:tcPr>
            <w:tcW w:w="1360" w:type="dxa"/>
            <w:vAlign w:val="bottom"/>
          </w:tcPr>
          <w:p>
            <w:pPr>
              <w:jc w:val="right"/>
              <w:ind w:right="80"/>
              <w:spacing w:after="0" w:line="212" w:lineRule="exact"/>
              <w:rPr>
                <w:sz w:val="20"/>
                <w:szCs w:val="20"/>
                <w:color w:val="auto"/>
              </w:rPr>
            </w:pPr>
            <w:r>
              <w:rPr>
                <w:rFonts w:ascii="Arial" w:cs="Arial" w:eastAsia="Arial" w:hAnsi="Arial"/>
                <w:sz w:val="20"/>
                <w:szCs w:val="20"/>
                <w:color w:val="auto"/>
              </w:rPr>
              <w:t>January 31,</w:t>
            </w:r>
          </w:p>
        </w:tc>
        <w:tc>
          <w:tcPr>
            <w:tcW w:w="1300" w:type="dxa"/>
            <w:vAlign w:val="bottom"/>
          </w:tcPr>
          <w:p>
            <w:pPr>
              <w:jc w:val="right"/>
              <w:ind w:right="100"/>
              <w:spacing w:after="0" w:line="212" w:lineRule="exact"/>
              <w:rPr>
                <w:sz w:val="20"/>
                <w:szCs w:val="20"/>
                <w:color w:val="auto"/>
              </w:rPr>
            </w:pPr>
            <w:r>
              <w:rPr>
                <w:rFonts w:ascii="Arial" w:cs="Arial" w:eastAsia="Arial" w:hAnsi="Arial"/>
                <w:sz w:val="20"/>
                <w:szCs w:val="20"/>
                <w:color w:val="auto"/>
              </w:rPr>
              <w:t>February 1,</w:t>
            </w:r>
          </w:p>
        </w:tc>
      </w:tr>
      <w:tr>
        <w:trPr>
          <w:trHeight w:val="263"/>
        </w:trPr>
        <w:tc>
          <w:tcPr>
            <w:tcW w:w="49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80"/>
              <w:spacing w:after="0"/>
              <w:rPr>
                <w:sz w:val="20"/>
                <w:szCs w:val="20"/>
                <w:color w:val="auto"/>
              </w:rPr>
            </w:pPr>
            <w:r>
              <w:rPr>
                <w:rFonts w:ascii="Arial" w:cs="Arial" w:eastAsia="Arial" w:hAnsi="Arial"/>
                <w:sz w:val="20"/>
                <w:szCs w:val="20"/>
                <w:color w:val="auto"/>
              </w:rPr>
              <w:t>2026</w:t>
            </w: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2025</w:t>
            </w: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20"/>
                <w:szCs w:val="20"/>
                <w:color w:val="auto"/>
              </w:rPr>
              <w:t>2026</w:t>
            </w: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4960" w:type="dxa"/>
            <w:vAlign w:val="bottom"/>
            <w:shd w:val="clear" w:color="auto" w:fill="E4E4E4"/>
          </w:tcPr>
          <w:p>
            <w:pPr>
              <w:ind w:left="40"/>
              <w:spacing w:after="0"/>
              <w:rPr>
                <w:sz w:val="20"/>
                <w:szCs w:val="20"/>
                <w:color w:val="auto"/>
              </w:rPr>
            </w:pPr>
            <w:r>
              <w:rPr>
                <w:rFonts w:ascii="Arial" w:cs="Arial" w:eastAsia="Arial" w:hAnsi="Arial"/>
                <w:sz w:val="20"/>
                <w:szCs w:val="20"/>
                <w:color w:val="auto"/>
              </w:rPr>
              <w:t>Discount rate</w:t>
            </w:r>
          </w:p>
        </w:tc>
        <w:tc>
          <w:tcPr>
            <w:tcW w:w="134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5.90</w:t>
            </w:r>
          </w:p>
        </w:tc>
        <w:tc>
          <w:tcPr>
            <w:tcW w:w="128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6.10</w:t>
            </w:r>
          </w:p>
        </w:tc>
        <w:tc>
          <w:tcPr>
            <w:tcW w:w="136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5.60</w:t>
            </w:r>
          </w:p>
        </w:tc>
        <w:tc>
          <w:tcPr>
            <w:tcW w:w="130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6.10</w:t>
            </w:r>
          </w:p>
        </w:tc>
      </w:tr>
      <w:tr>
        <w:trPr>
          <w:trHeight w:val="290"/>
        </w:trPr>
        <w:tc>
          <w:tcPr>
            <w:tcW w:w="496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ate of compensation increase</w:t>
            </w:r>
          </w:p>
        </w:tc>
        <w:tc>
          <w:tcPr>
            <w:tcW w:w="1340" w:type="dxa"/>
            <w:vAlign w:val="bottom"/>
            <w:tcBorders>
              <w:bottom w:val="single" w:sz="8" w:color="auto"/>
            </w:tcBorders>
            <w:shd w:val="clear" w:color="auto" w:fill="FEFEFE"/>
          </w:tcPr>
          <w:p>
            <w:pPr>
              <w:jc w:val="right"/>
              <w:ind w:right="200"/>
              <w:spacing w:after="0"/>
              <w:rPr>
                <w:sz w:val="20"/>
                <w:szCs w:val="20"/>
                <w:color w:val="auto"/>
              </w:rPr>
            </w:pPr>
            <w:r>
              <w:rPr>
                <w:rFonts w:ascii="Arial" w:cs="Arial" w:eastAsia="Arial" w:hAnsi="Arial"/>
                <w:sz w:val="20"/>
                <w:szCs w:val="20"/>
                <w:color w:val="auto"/>
              </w:rPr>
              <w:t>4.00</w:t>
            </w:r>
          </w:p>
        </w:tc>
        <w:tc>
          <w:tcPr>
            <w:tcW w:w="128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4.00</w:t>
            </w:r>
          </w:p>
        </w:tc>
        <w:tc>
          <w:tcPr>
            <w:tcW w:w="1360" w:type="dxa"/>
            <w:vAlign w:val="bottom"/>
            <w:tcBorders>
              <w:bottom w:val="single" w:sz="8" w:color="auto"/>
            </w:tcBorders>
            <w:shd w:val="clear" w:color="auto" w:fill="FEFEFE"/>
          </w:tcPr>
          <w:p>
            <w:pPr>
              <w:jc w:val="right"/>
              <w:ind w:right="200"/>
              <w:spacing w:after="0"/>
              <w:rPr>
                <w:sz w:val="20"/>
                <w:szCs w:val="20"/>
                <w:color w:val="auto"/>
              </w:rPr>
            </w:pPr>
            <w:r>
              <w:rPr>
                <w:rFonts w:ascii="Arial" w:cs="Arial" w:eastAsia="Arial" w:hAnsi="Arial"/>
                <w:sz w:val="20"/>
                <w:szCs w:val="20"/>
                <w:color w:val="auto"/>
              </w:rPr>
              <w:t>4.00</w:t>
            </w:r>
          </w:p>
        </w:tc>
        <w:tc>
          <w:tcPr>
            <w:tcW w:w="130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4.00</w:t>
            </w:r>
          </w:p>
        </w:tc>
      </w:tr>
    </w:tbl>
    <w:p>
      <w:pPr>
        <w:spacing w:after="0" w:line="14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TJX made aggregate cash contributions of $5 million in fiscal 2026 and $4 million in fiscal 2025 to the funded plan and to fund current benefit and expense payments under the unfunded plan. TJX’s policy with respect to the funded plan is to fund, at a</w:t>
      </w:r>
    </w:p>
    <w:p>
      <w:pPr>
        <w:ind w:right="60"/>
        <w:spacing w:after="0" w:line="278" w:lineRule="auto"/>
        <w:rPr>
          <w:sz w:val="20"/>
          <w:szCs w:val="20"/>
          <w:color w:val="auto"/>
        </w:rPr>
      </w:pPr>
      <w:r>
        <w:rPr>
          <w:rFonts w:ascii="Arial" w:cs="Arial" w:eastAsia="Arial" w:hAnsi="Arial"/>
          <w:sz w:val="18"/>
          <w:szCs w:val="18"/>
          <w:color w:val="auto"/>
        </w:rPr>
        <w:t>minimum, the amount re uired to maintain a funded status of 80 of the applicable pension liability (the Funding Target pursuant to the Internal evenue Code section 430) or such other amount as is sufficient to avoid restrictions with respect to the</w:t>
      </w:r>
    </w:p>
    <w:p>
      <w:pPr>
        <w:ind w:right="500"/>
        <w:spacing w:after="0" w:line="266" w:lineRule="auto"/>
        <w:rPr>
          <w:sz w:val="20"/>
          <w:szCs w:val="20"/>
          <w:color w:val="auto"/>
        </w:rPr>
      </w:pPr>
      <w:r>
        <w:rPr>
          <w:rFonts w:ascii="Arial" w:cs="Arial" w:eastAsia="Arial" w:hAnsi="Arial"/>
          <w:sz w:val="20"/>
          <w:szCs w:val="20"/>
          <w:color w:val="auto"/>
        </w:rPr>
        <w:t>funding of non ualified plans under the Internal evenue Code. The Company does not anticipate any re uired funding in fiscal 2027 for the funded plan. The Company anticipates making contributions of $6 million to provide current benefits coming due under the unfunded plan in fiscal 2027.</w:t>
      </w:r>
    </w:p>
    <w:p>
      <w:pPr>
        <w:spacing w:after="0" w:line="75" w:lineRule="exact"/>
        <w:rPr>
          <w:sz w:val="20"/>
          <w:szCs w:val="20"/>
          <w:color w:val="auto"/>
        </w:rPr>
      </w:pPr>
    </w:p>
    <w:p>
      <w:pPr>
        <w:ind w:right="320"/>
        <w:spacing w:after="0" w:line="283" w:lineRule="auto"/>
        <w:rPr>
          <w:sz w:val="20"/>
          <w:szCs w:val="20"/>
          <w:color w:val="auto"/>
        </w:rPr>
      </w:pPr>
      <w:r>
        <w:rPr>
          <w:rFonts w:ascii="Arial" w:cs="Arial" w:eastAsia="Arial" w:hAnsi="Arial"/>
          <w:sz w:val="20"/>
          <w:szCs w:val="20"/>
          <w:color w:val="auto"/>
        </w:rPr>
        <w:t>The following are the components of net periodic benefit cost and other amounts recogni ed in other comprehensive income (loss) related to the Company’s pension plans: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88"/>
              </w:rPr>
              <w:t>Funded Plan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w w:val="91"/>
              </w:rPr>
              <w:t>nfunded Plan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ind w:left="620"/>
              <w:spacing w:after="0"/>
              <w:rPr>
                <w:sz w:val="20"/>
                <w:szCs w:val="20"/>
                <w:color w:val="auto"/>
              </w:rPr>
            </w:pPr>
            <w:r>
              <w:rPr>
                <w:rFonts w:ascii="Arial" w:cs="Arial" w:eastAsia="Arial" w:hAnsi="Arial"/>
                <w:sz w:val="20"/>
                <w:szCs w:val="20"/>
                <w:color w:val="auto"/>
                <w:w w:val="94"/>
              </w:rPr>
              <w:t>Fiscal Year Ended</w:t>
            </w: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Fiscal Year Ended</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20"/>
                <w:szCs w:val="20"/>
                <w:color w:val="auto"/>
                <w:w w:val="97"/>
              </w:rPr>
              <w:t>January 31,</w:t>
            </w:r>
          </w:p>
        </w:tc>
        <w:tc>
          <w:tcPr>
            <w:tcW w:w="1080" w:type="dxa"/>
            <w:vAlign w:val="bottom"/>
            <w:gridSpan w:val="2"/>
          </w:tcPr>
          <w:p>
            <w:pPr>
              <w:ind w:left="100"/>
              <w:spacing w:after="0"/>
              <w:rPr>
                <w:sz w:val="20"/>
                <w:szCs w:val="20"/>
                <w:color w:val="auto"/>
              </w:rPr>
            </w:pPr>
            <w:r>
              <w:rPr>
                <w:rFonts w:ascii="Arial" w:cs="Arial" w:eastAsia="Arial" w:hAnsi="Arial"/>
                <w:sz w:val="20"/>
                <w:szCs w:val="20"/>
                <w:color w:val="auto"/>
                <w:w w:val="93"/>
              </w:rPr>
              <w:t>February 1,</w:t>
            </w:r>
          </w:p>
        </w:tc>
        <w:tc>
          <w:tcPr>
            <w:tcW w:w="1060" w:type="dxa"/>
            <w:vAlign w:val="bottom"/>
            <w:gridSpan w:val="2"/>
          </w:tcPr>
          <w:p>
            <w:pPr>
              <w:ind w:left="80"/>
              <w:spacing w:after="0"/>
              <w:rPr>
                <w:sz w:val="20"/>
                <w:szCs w:val="20"/>
                <w:color w:val="auto"/>
              </w:rPr>
            </w:pPr>
            <w:r>
              <w:rPr>
                <w:rFonts w:ascii="Arial" w:cs="Arial" w:eastAsia="Arial" w:hAnsi="Arial"/>
                <w:sz w:val="20"/>
                <w:szCs w:val="20"/>
                <w:color w:val="auto"/>
                <w:w w:val="93"/>
              </w:rPr>
              <w:t>February 3,</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January 31,</w:t>
            </w: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w w:val="97"/>
              </w:rPr>
              <w:t>February 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w w:val="91"/>
              </w:rPr>
              <w:t>February 3,</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2026</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color w:val="auto"/>
              </w:rPr>
              <w:t>2025</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color w:val="auto"/>
              </w:rPr>
              <w:t>2024</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2026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2025</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Net periodic pension cost:</w:t>
            </w:r>
          </w:p>
        </w:tc>
        <w:tc>
          <w:tcPr>
            <w:tcW w:w="260" w:type="dxa"/>
            <w:vAlign w:val="bottom"/>
            <w:tcBorders>
              <w:bottom w:val="single" w:sz="8" w:color="E4E4E4"/>
            </w:tcBorders>
            <w:shd w:val="clear" w:color="auto" w:fill="E4E4E4"/>
          </w:tcPr>
          <w:p>
            <w:pPr>
              <w:spacing w:after="0"/>
              <w:rPr>
                <w:sz w:val="23"/>
                <w:szCs w:val="23"/>
                <w:color w:val="auto"/>
              </w:rPr>
            </w:pPr>
          </w:p>
        </w:tc>
        <w:tc>
          <w:tcPr>
            <w:tcW w:w="84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2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6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84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700" w:type="dxa"/>
            <w:vAlign w:val="bottom"/>
            <w:shd w:val="clear" w:color="auto" w:fill="FEFEFE"/>
          </w:tcPr>
          <w:p>
            <w:pPr>
              <w:ind w:left="260"/>
              <w:spacing w:after="0"/>
              <w:rPr>
                <w:sz w:val="20"/>
                <w:szCs w:val="20"/>
                <w:color w:val="auto"/>
              </w:rPr>
            </w:pPr>
            <w:r>
              <w:rPr>
                <w:rFonts w:ascii="Arial" w:cs="Arial" w:eastAsia="Arial" w:hAnsi="Arial"/>
                <w:sz w:val="20"/>
                <w:szCs w:val="20"/>
                <w:color w:val="auto"/>
              </w:rPr>
              <w:t>Service cost</w:t>
            </w:r>
          </w:p>
        </w:tc>
        <w:tc>
          <w:tcPr>
            <w:tcW w:w="260" w:type="dxa"/>
            <w:vAlign w:val="bottom"/>
            <w:shd w:val="clear" w:color="auto" w:fill="FEFEFE"/>
          </w:tcPr>
          <w:p>
            <w:pPr>
              <w:ind w:left="40"/>
              <w:spacing w:after="0"/>
              <w:rPr>
                <w:sz w:val="20"/>
                <w:szCs w:val="20"/>
                <w:color w:val="auto"/>
              </w:rPr>
            </w:pPr>
            <w:r>
              <w:rPr>
                <w:rFonts w:ascii="Arial" w:cs="Arial" w:eastAsia="Arial" w:hAnsi="Arial"/>
                <w:sz w:val="20"/>
                <w:szCs w:val="20"/>
                <w:color w:val="auto"/>
              </w:rPr>
              <w:t>$</w:t>
            </w:r>
          </w:p>
        </w:tc>
        <w:tc>
          <w:tcPr>
            <w:tcW w:w="8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29</w:t>
            </w:r>
          </w:p>
        </w:tc>
        <w:tc>
          <w:tcPr>
            <w:tcW w:w="260" w:type="dxa"/>
            <w:vAlign w:val="bottom"/>
            <w:shd w:val="clear" w:color="auto" w:fill="FEFEFE"/>
          </w:tcPr>
          <w:p>
            <w:pPr>
              <w:ind w:lef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32</w:t>
            </w:r>
          </w:p>
        </w:tc>
        <w:tc>
          <w:tcPr>
            <w:tcW w:w="260" w:type="dxa"/>
            <w:vAlign w:val="bottom"/>
            <w:shd w:val="clear" w:color="auto" w:fill="FEFEFE"/>
          </w:tcPr>
          <w:p>
            <w:pPr>
              <w:ind w:left="60"/>
              <w:spacing w:after="0"/>
              <w:rPr>
                <w:sz w:val="20"/>
                <w:szCs w:val="20"/>
                <w:color w:val="auto"/>
              </w:rPr>
            </w:pPr>
            <w:r>
              <w:rPr>
                <w:rFonts w:ascii="Arial" w:cs="Arial" w:eastAsia="Arial" w:hAnsi="Arial"/>
                <w:sz w:val="20"/>
                <w:szCs w:val="20"/>
                <w:color w:val="auto"/>
              </w:rPr>
              <w:t>$</w:t>
            </w:r>
          </w:p>
        </w:tc>
        <w:tc>
          <w:tcPr>
            <w:tcW w:w="8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33</w:t>
            </w:r>
          </w:p>
        </w:tc>
        <w:tc>
          <w:tcPr>
            <w:tcW w:w="28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w:t>
            </w:r>
          </w:p>
        </w:tc>
        <w:tc>
          <w:tcPr>
            <w:tcW w:w="260" w:type="dxa"/>
            <w:vAlign w:val="bottom"/>
            <w:shd w:val="clear" w:color="auto" w:fill="FEFEFE"/>
          </w:tcPr>
          <w:p>
            <w:pPr>
              <w:ind w:left="80"/>
              <w:spacing w:after="0"/>
              <w:rPr>
                <w:sz w:val="20"/>
                <w:szCs w:val="20"/>
                <w:color w:val="auto"/>
              </w:rPr>
            </w:pPr>
            <w:r>
              <w:rPr>
                <w:rFonts w:ascii="Arial" w:cs="Arial" w:eastAsia="Arial" w:hAnsi="Arial"/>
                <w:sz w:val="20"/>
                <w:szCs w:val="20"/>
                <w:color w:val="auto"/>
              </w:rPr>
              <w:t>$</w:t>
            </w:r>
          </w:p>
        </w:tc>
        <w:tc>
          <w:tcPr>
            <w:tcW w:w="86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2</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06"/>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Interest cost</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76</w:t>
            </w:r>
          </w:p>
        </w:tc>
        <w:tc>
          <w:tcPr>
            <w:tcW w:w="26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71</w:t>
            </w:r>
          </w:p>
        </w:tc>
        <w:tc>
          <w:tcPr>
            <w:tcW w:w="26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72</w:t>
            </w:r>
          </w:p>
        </w:tc>
        <w:tc>
          <w:tcPr>
            <w:tcW w:w="2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7</w:t>
            </w: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jc w:val="right"/>
              <w:ind w:right="180"/>
              <w:spacing w:after="0"/>
              <w:rPr>
                <w:sz w:val="20"/>
                <w:szCs w:val="20"/>
                <w:color w:val="auto"/>
              </w:rPr>
            </w:pPr>
            <w:r>
              <w:rPr>
                <w:rFonts w:ascii="Arial" w:cs="Arial" w:eastAsia="Arial" w:hAnsi="Arial"/>
                <w:sz w:val="20"/>
                <w:szCs w:val="20"/>
                <w:color w:val="auto"/>
              </w:rPr>
              <w:t>6</w:t>
            </w:r>
          </w:p>
        </w:tc>
        <w:tc>
          <w:tcPr>
            <w:tcW w:w="20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4"/>
        </w:trPr>
        <w:tc>
          <w:tcPr>
            <w:tcW w:w="3700" w:type="dxa"/>
            <w:vAlign w:val="bottom"/>
            <w:shd w:val="clear" w:color="auto" w:fill="FEFEFE"/>
          </w:tcPr>
          <w:p>
            <w:pPr>
              <w:ind w:left="260"/>
              <w:spacing w:after="0"/>
              <w:rPr>
                <w:sz w:val="20"/>
                <w:szCs w:val="20"/>
                <w:color w:val="auto"/>
              </w:rPr>
            </w:pPr>
            <w:r>
              <w:rPr>
                <w:rFonts w:ascii="Arial" w:cs="Arial" w:eastAsia="Arial" w:hAnsi="Arial"/>
                <w:sz w:val="20"/>
                <w:szCs w:val="20"/>
                <w:color w:val="auto"/>
              </w:rPr>
              <w:t>Expected return on plan assets</w:t>
            </w:r>
          </w:p>
        </w:tc>
        <w:tc>
          <w:tcPr>
            <w:tcW w:w="26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88</w:t>
            </w:r>
          </w:p>
        </w:tc>
        <w:tc>
          <w:tcPr>
            <w:tcW w:w="26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(81)</w:t>
            </w:r>
          </w:p>
        </w:tc>
        <w:tc>
          <w:tcPr>
            <w:tcW w:w="260" w:type="dxa"/>
            <w:vAlign w:val="bottom"/>
            <w:shd w:val="clear" w:color="auto" w:fill="FEFEFE"/>
          </w:tcPr>
          <w:p>
            <w:pPr>
              <w:spacing w:after="0"/>
              <w:rPr>
                <w:sz w:val="24"/>
                <w:szCs w:val="24"/>
                <w:color w:val="auto"/>
              </w:rPr>
            </w:pPr>
          </w:p>
        </w:tc>
        <w:tc>
          <w:tcPr>
            <w:tcW w:w="80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(80)</w:t>
            </w:r>
          </w:p>
        </w:tc>
        <w:tc>
          <w:tcPr>
            <w:tcW w:w="2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6"/>
              </w:rPr>
              <w:t>Amorti ation of prior service cost (credit)</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w:t>
            </w:r>
          </w:p>
        </w:tc>
        <w:tc>
          <w:tcPr>
            <w:tcW w:w="26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(1)</w:t>
            </w:r>
          </w:p>
        </w:tc>
        <w:tc>
          <w:tcPr>
            <w:tcW w:w="26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0</w:t>
            </w:r>
          </w:p>
        </w:tc>
        <w:tc>
          <w:tcPr>
            <w:tcW w:w="28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Amorti ation of net actuarial loss</w:t>
            </w:r>
          </w:p>
        </w:tc>
        <w:tc>
          <w:tcPr>
            <w:tcW w:w="26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6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spacing w:after="0"/>
              <w:rPr>
                <w:sz w:val="24"/>
                <w:szCs w:val="24"/>
                <w:color w:val="auto"/>
              </w:rPr>
            </w:pPr>
          </w:p>
        </w:tc>
        <w:tc>
          <w:tcPr>
            <w:tcW w:w="260" w:type="dxa"/>
            <w:vAlign w:val="bottom"/>
            <w:tcBorders>
              <w:bottom w:val="single" w:sz="8" w:color="auto"/>
            </w:tcBorders>
            <w:shd w:val="clear" w:color="auto" w:fill="FEFEFE"/>
          </w:tcPr>
          <w:p>
            <w:pPr>
              <w:spacing w:after="0"/>
              <w:rPr>
                <w:sz w:val="24"/>
                <w:szCs w:val="24"/>
                <w:color w:val="auto"/>
              </w:rPr>
            </w:pPr>
          </w:p>
        </w:tc>
        <w:tc>
          <w:tcPr>
            <w:tcW w:w="80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jc w:val="right"/>
              <w:ind w:right="180"/>
              <w:spacing w:after="0"/>
              <w:rPr>
                <w:sz w:val="20"/>
                <w:szCs w:val="20"/>
                <w:color w:val="auto"/>
              </w:rPr>
            </w:pPr>
            <w:r>
              <w:rPr>
                <w:rFonts w:ascii="Arial" w:cs="Arial" w:eastAsia="Arial" w:hAnsi="Arial"/>
                <w:sz w:val="20"/>
                <w:szCs w:val="20"/>
                <w:color w:val="auto"/>
              </w:rPr>
              <w:t>2</w:t>
            </w:r>
          </w:p>
        </w:tc>
        <w:tc>
          <w:tcPr>
            <w:tcW w:w="20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0"/>
        </w:trPr>
        <w:tc>
          <w:tcPr>
            <w:tcW w:w="3700" w:type="dxa"/>
            <w:vAlign w:val="bottom"/>
            <w:tcBorders>
              <w:bottom w:val="single" w:sz="8" w:color="auto"/>
            </w:tcBorders>
            <w:shd w:val="clear" w:color="auto" w:fill="E4E4E4"/>
          </w:tcPr>
          <w:p>
            <w:pPr>
              <w:ind w:left="540"/>
              <w:spacing w:after="0"/>
              <w:rPr>
                <w:sz w:val="20"/>
                <w:szCs w:val="20"/>
                <w:color w:val="auto"/>
              </w:rPr>
            </w:pPr>
            <w:r>
              <w:rPr>
                <w:rFonts w:ascii="Arial" w:cs="Arial" w:eastAsia="Arial" w:hAnsi="Arial"/>
                <w:sz w:val="20"/>
                <w:szCs w:val="20"/>
                <w:color w:val="auto"/>
              </w:rPr>
              <w:t>Total expense</w:t>
            </w:r>
          </w:p>
        </w:tc>
        <w:tc>
          <w:tcPr>
            <w:tcW w:w="26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16</w:t>
            </w:r>
          </w:p>
        </w:tc>
        <w:tc>
          <w:tcPr>
            <w:tcW w:w="26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21</w:t>
            </w:r>
          </w:p>
        </w:tc>
        <w:tc>
          <w:tcPr>
            <w:tcW w:w="260" w:type="dxa"/>
            <w:vAlign w:val="bottom"/>
            <w:tcBorders>
              <w:bottom w:val="single" w:sz="8" w:color="auto"/>
            </w:tcBorders>
            <w:shd w:val="clear" w:color="auto" w:fill="E4E4E4"/>
          </w:tcPr>
          <w:p>
            <w:pPr>
              <w:ind w:left="6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E4E4E4"/>
          </w:tcPr>
          <w:p>
            <w:pPr>
              <w:jc w:val="right"/>
              <w:ind w:right="140"/>
              <w:spacing w:after="0"/>
              <w:rPr>
                <w:sz w:val="20"/>
                <w:szCs w:val="20"/>
                <w:color w:val="auto"/>
              </w:rPr>
            </w:pPr>
            <w:r>
              <w:rPr>
                <w:rFonts w:ascii="Arial" w:cs="Arial" w:eastAsia="Arial" w:hAnsi="Arial"/>
                <w:sz w:val="20"/>
                <w:szCs w:val="20"/>
                <w:color w:val="auto"/>
              </w:rPr>
              <w:t>25</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4E4E4"/>
          </w:tcPr>
          <w:p>
            <w:pPr>
              <w:jc w:val="right"/>
              <w:ind w:right="180"/>
              <w:spacing w:after="0"/>
              <w:rPr>
                <w:sz w:val="20"/>
                <w:szCs w:val="20"/>
                <w:color w:val="auto"/>
              </w:rPr>
            </w:pPr>
            <w:r>
              <w:rPr>
                <w:rFonts w:ascii="Arial" w:cs="Arial" w:eastAsia="Arial" w:hAnsi="Arial"/>
                <w:sz w:val="20"/>
                <w:szCs w:val="20"/>
                <w:color w:val="auto"/>
              </w:rPr>
              <w:t>10</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04"/>
        </w:trPr>
        <w:tc>
          <w:tcPr>
            <w:tcW w:w="4800" w:type="dxa"/>
            <w:vAlign w:val="bottom"/>
            <w:gridSpan w:val="3"/>
            <w:shd w:val="clear" w:color="auto" w:fill="FEFEFE"/>
          </w:tcPr>
          <w:p>
            <w:pPr>
              <w:ind w:left="180"/>
              <w:spacing w:after="0" w:line="204" w:lineRule="exact"/>
              <w:rPr>
                <w:sz w:val="20"/>
                <w:szCs w:val="20"/>
                <w:color w:val="auto"/>
              </w:rPr>
            </w:pPr>
            <w:r>
              <w:rPr>
                <w:rFonts w:ascii="Arial" w:cs="Arial" w:eastAsia="Arial" w:hAnsi="Arial"/>
                <w:sz w:val="20"/>
                <w:szCs w:val="20"/>
                <w:color w:val="auto"/>
              </w:rPr>
              <w:t>ther changes in plan assets and benefit obligations</w:t>
            </w:r>
          </w:p>
        </w:tc>
        <w:tc>
          <w:tcPr>
            <w:tcW w:w="260" w:type="dxa"/>
            <w:vAlign w:val="bottom"/>
            <w:shd w:val="clear" w:color="auto" w:fill="FEFEFE"/>
          </w:tcPr>
          <w:p>
            <w:pPr>
              <w:spacing w:after="0"/>
              <w:rPr>
                <w:sz w:val="17"/>
                <w:szCs w:val="17"/>
                <w:color w:val="auto"/>
              </w:rPr>
            </w:pPr>
          </w:p>
        </w:tc>
        <w:tc>
          <w:tcPr>
            <w:tcW w:w="8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88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86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8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7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w w:val="95"/>
              </w:rPr>
              <w:t>recogni ed in other comprehensive income:</w:t>
            </w:r>
          </w:p>
        </w:tc>
        <w:tc>
          <w:tcPr>
            <w:tcW w:w="260" w:type="dxa"/>
            <w:vAlign w:val="bottom"/>
            <w:tcBorders>
              <w:bottom w:val="single" w:sz="8" w:color="FEFEFE"/>
            </w:tcBorders>
            <w:shd w:val="clear" w:color="auto" w:fill="FEFEFE"/>
          </w:tcPr>
          <w:p>
            <w:pPr>
              <w:spacing w:after="0"/>
              <w:rPr>
                <w:sz w:val="22"/>
                <w:szCs w:val="22"/>
                <w:color w:val="auto"/>
              </w:rPr>
            </w:pPr>
          </w:p>
        </w:tc>
        <w:tc>
          <w:tcPr>
            <w:tcW w:w="840" w:type="dxa"/>
            <w:vAlign w:val="bottom"/>
            <w:tcBorders>
              <w:bottom w:val="single" w:sz="8" w:color="FEFEFE"/>
            </w:tcBorders>
            <w:shd w:val="clear" w:color="auto" w:fill="FEFEFE"/>
          </w:tcPr>
          <w:p>
            <w:pPr>
              <w:spacing w:after="0"/>
              <w:rPr>
                <w:sz w:val="22"/>
                <w:szCs w:val="22"/>
                <w:color w:val="auto"/>
              </w:rPr>
            </w:pPr>
          </w:p>
        </w:tc>
        <w:tc>
          <w:tcPr>
            <w:tcW w:w="260" w:type="dxa"/>
            <w:vAlign w:val="bottom"/>
            <w:tcBorders>
              <w:bottom w:val="single" w:sz="8" w:color="FEFEFE"/>
            </w:tcBorders>
            <w:shd w:val="clear" w:color="auto" w:fill="FEFEFE"/>
          </w:tcPr>
          <w:p>
            <w:pPr>
              <w:spacing w:after="0"/>
              <w:rPr>
                <w:sz w:val="22"/>
                <w:szCs w:val="22"/>
                <w:color w:val="auto"/>
              </w:rPr>
            </w:pPr>
          </w:p>
        </w:tc>
        <w:tc>
          <w:tcPr>
            <w:tcW w:w="820" w:type="dxa"/>
            <w:vAlign w:val="bottom"/>
            <w:tcBorders>
              <w:bottom w:val="single" w:sz="8" w:color="FEFEFE"/>
            </w:tcBorders>
            <w:shd w:val="clear" w:color="auto" w:fill="FEFEFE"/>
          </w:tcPr>
          <w:p>
            <w:pPr>
              <w:spacing w:after="0"/>
              <w:rPr>
                <w:sz w:val="22"/>
                <w:szCs w:val="22"/>
                <w:color w:val="auto"/>
              </w:rPr>
            </w:pPr>
          </w:p>
        </w:tc>
        <w:tc>
          <w:tcPr>
            <w:tcW w:w="260" w:type="dxa"/>
            <w:vAlign w:val="bottom"/>
            <w:tcBorders>
              <w:bottom w:val="single" w:sz="8" w:color="FEFEFE"/>
            </w:tcBorders>
            <w:shd w:val="clear" w:color="auto" w:fill="FEFEFE"/>
          </w:tcPr>
          <w:p>
            <w:pPr>
              <w:spacing w:after="0"/>
              <w:rPr>
                <w:sz w:val="22"/>
                <w:szCs w:val="22"/>
                <w:color w:val="auto"/>
              </w:rPr>
            </w:pPr>
          </w:p>
        </w:tc>
        <w:tc>
          <w:tcPr>
            <w:tcW w:w="800" w:type="dxa"/>
            <w:vAlign w:val="bottom"/>
            <w:tcBorders>
              <w:bottom w:val="single" w:sz="8" w:color="FEFEFE"/>
            </w:tcBorders>
            <w:shd w:val="clear" w:color="auto" w:fill="FEFEFE"/>
          </w:tcPr>
          <w:p>
            <w:pPr>
              <w:spacing w:after="0"/>
              <w:rPr>
                <w:sz w:val="22"/>
                <w:szCs w:val="22"/>
                <w:color w:val="auto"/>
              </w:rPr>
            </w:pPr>
          </w:p>
        </w:tc>
        <w:tc>
          <w:tcPr>
            <w:tcW w:w="280" w:type="dxa"/>
            <w:vAlign w:val="bottom"/>
            <w:tcBorders>
              <w:bottom w:val="single" w:sz="8" w:color="FEFEFE"/>
            </w:tcBorders>
            <w:shd w:val="clear" w:color="auto" w:fill="FEFEFE"/>
          </w:tcPr>
          <w:p>
            <w:pPr>
              <w:spacing w:after="0"/>
              <w:rPr>
                <w:sz w:val="22"/>
                <w:szCs w:val="22"/>
                <w:color w:val="auto"/>
              </w:rPr>
            </w:pPr>
          </w:p>
        </w:tc>
        <w:tc>
          <w:tcPr>
            <w:tcW w:w="880" w:type="dxa"/>
            <w:vAlign w:val="bottom"/>
            <w:tcBorders>
              <w:bottom w:val="single" w:sz="8" w:color="FEFEFE"/>
            </w:tcBorders>
            <w:shd w:val="clear" w:color="auto" w:fill="FEFEFE"/>
          </w:tcPr>
          <w:p>
            <w:pPr>
              <w:spacing w:after="0"/>
              <w:rPr>
                <w:sz w:val="22"/>
                <w:szCs w:val="22"/>
                <w:color w:val="auto"/>
              </w:rPr>
            </w:pPr>
          </w:p>
        </w:tc>
        <w:tc>
          <w:tcPr>
            <w:tcW w:w="260" w:type="dxa"/>
            <w:vAlign w:val="bottom"/>
            <w:tcBorders>
              <w:bottom w:val="single" w:sz="8" w:color="FEFEFE"/>
            </w:tcBorders>
            <w:shd w:val="clear" w:color="auto" w:fill="FEFEFE"/>
          </w:tcPr>
          <w:p>
            <w:pPr>
              <w:spacing w:after="0"/>
              <w:rPr>
                <w:sz w:val="22"/>
                <w:szCs w:val="22"/>
                <w:color w:val="auto"/>
              </w:rPr>
            </w:pPr>
          </w:p>
        </w:tc>
        <w:tc>
          <w:tcPr>
            <w:tcW w:w="860" w:type="dxa"/>
            <w:vAlign w:val="bottom"/>
            <w:tcBorders>
              <w:bottom w:val="single" w:sz="8" w:color="FEFEFE"/>
            </w:tcBorders>
            <w:shd w:val="clear" w:color="auto" w:fill="FEFEFE"/>
          </w:tcPr>
          <w:p>
            <w:pPr>
              <w:spacing w:after="0"/>
              <w:rPr>
                <w:sz w:val="22"/>
                <w:szCs w:val="22"/>
                <w:color w:val="auto"/>
              </w:rPr>
            </w:pPr>
          </w:p>
        </w:tc>
        <w:tc>
          <w:tcPr>
            <w:tcW w:w="200" w:type="dxa"/>
            <w:vAlign w:val="bottom"/>
            <w:tcBorders>
              <w:bottom w:val="single" w:sz="8" w:color="FEFEFE"/>
            </w:tcBorders>
            <w:shd w:val="clear" w:color="auto" w:fill="FEFEFE"/>
          </w:tcPr>
          <w:p>
            <w:pPr>
              <w:spacing w:after="0"/>
              <w:rPr>
                <w:sz w:val="22"/>
                <w:szCs w:val="22"/>
                <w:color w:val="auto"/>
              </w:rPr>
            </w:pPr>
          </w:p>
        </w:tc>
        <w:tc>
          <w:tcPr>
            <w:tcW w:w="840" w:type="dxa"/>
            <w:vAlign w:val="bottom"/>
            <w:tcBorders>
              <w:bottom w:val="single" w:sz="8" w:color="FEFEFE"/>
            </w:tcBorders>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Net (gain) loss</w:t>
            </w:r>
          </w:p>
        </w:tc>
        <w:tc>
          <w:tcPr>
            <w:tcW w:w="260" w:type="dxa"/>
            <w:vAlign w:val="bottom"/>
            <w:shd w:val="clear" w:color="auto" w:fill="E4E4E4"/>
          </w:tcPr>
          <w:p>
            <w:pPr>
              <w:ind w:left="40"/>
              <w:spacing w:after="0"/>
              <w:rPr>
                <w:sz w:val="20"/>
                <w:szCs w:val="20"/>
                <w:color w:val="auto"/>
              </w:rPr>
            </w:pPr>
            <w:r>
              <w:rPr>
                <w:rFonts w:ascii="Arial" w:cs="Arial" w:eastAsia="Arial" w:hAnsi="Arial"/>
                <w:sz w:val="20"/>
                <w:szCs w:val="20"/>
                <w:color w:val="auto"/>
              </w:rPr>
              <w:t>$</w:t>
            </w: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27</w:t>
            </w:r>
          </w:p>
        </w:tc>
        <w:tc>
          <w:tcPr>
            <w:tcW w:w="260" w:type="dxa"/>
            <w:vAlign w:val="bottom"/>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(37)</w:t>
            </w:r>
          </w:p>
        </w:tc>
        <w:tc>
          <w:tcPr>
            <w:tcW w:w="260" w:type="dxa"/>
            <w:vAlign w:val="bottom"/>
            <w:shd w:val="clear" w:color="auto" w:fill="E4E4E4"/>
          </w:tcPr>
          <w:p>
            <w:pPr>
              <w:ind w:left="60"/>
              <w:spacing w:after="0"/>
              <w:rPr>
                <w:sz w:val="20"/>
                <w:szCs w:val="20"/>
                <w:color w:val="auto"/>
              </w:rPr>
            </w:pPr>
            <w:r>
              <w:rPr>
                <w:rFonts w:ascii="Arial" w:cs="Arial" w:eastAsia="Arial" w:hAnsi="Arial"/>
                <w:sz w:val="20"/>
                <w:szCs w:val="20"/>
                <w:color w:val="auto"/>
              </w:rPr>
              <w:t>$</w:t>
            </w:r>
          </w:p>
        </w:tc>
        <w:tc>
          <w:tcPr>
            <w:tcW w:w="800" w:type="dxa"/>
            <w:vAlign w:val="bottom"/>
            <w:shd w:val="clear" w:color="auto" w:fill="E4E4E4"/>
          </w:tcPr>
          <w:p>
            <w:pPr>
              <w:jc w:val="right"/>
              <w:ind w:right="80"/>
              <w:spacing w:after="0"/>
              <w:rPr>
                <w:sz w:val="20"/>
                <w:szCs w:val="20"/>
                <w:color w:val="auto"/>
              </w:rPr>
            </w:pPr>
            <w:r>
              <w:rPr>
                <w:rFonts w:ascii="Arial" w:cs="Arial" w:eastAsia="Arial" w:hAnsi="Arial"/>
                <w:sz w:val="20"/>
                <w:szCs w:val="20"/>
                <w:color w:val="auto"/>
              </w:rPr>
              <w:t>(48)</w:t>
            </w:r>
          </w:p>
        </w:tc>
        <w:tc>
          <w:tcPr>
            <w:tcW w:w="28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8</w:t>
            </w:r>
          </w:p>
        </w:tc>
        <w:tc>
          <w:tcPr>
            <w:tcW w:w="260" w:type="dxa"/>
            <w:vAlign w:val="bottom"/>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6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93"/>
        </w:trPr>
        <w:tc>
          <w:tcPr>
            <w:tcW w:w="3700" w:type="dxa"/>
            <w:vAlign w:val="bottom"/>
            <w:shd w:val="clear" w:color="auto" w:fill="FEFEFE"/>
          </w:tcPr>
          <w:p>
            <w:pPr>
              <w:ind w:left="260"/>
              <w:spacing w:after="0"/>
              <w:rPr>
                <w:sz w:val="20"/>
                <w:szCs w:val="20"/>
                <w:color w:val="auto"/>
              </w:rPr>
            </w:pPr>
            <w:r>
              <w:rPr>
                <w:rFonts w:ascii="Arial" w:cs="Arial" w:eastAsia="Arial" w:hAnsi="Arial"/>
                <w:sz w:val="20"/>
                <w:szCs w:val="20"/>
                <w:color w:val="auto"/>
              </w:rPr>
              <w:t>Prior service cost (credit)</w:t>
            </w:r>
          </w:p>
        </w:tc>
        <w:tc>
          <w:tcPr>
            <w:tcW w:w="26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2</w:t>
            </w:r>
          </w:p>
        </w:tc>
        <w:tc>
          <w:tcPr>
            <w:tcW w:w="260" w:type="dxa"/>
            <w:vAlign w:val="bottom"/>
            <w:shd w:val="clear" w:color="auto" w:fill="FEFEFE"/>
          </w:tcPr>
          <w:p>
            <w:pPr>
              <w:spacing w:after="0"/>
              <w:rPr>
                <w:sz w:val="24"/>
                <w:szCs w:val="24"/>
                <w:color w:val="auto"/>
              </w:rPr>
            </w:pPr>
          </w:p>
        </w:tc>
        <w:tc>
          <w:tcPr>
            <w:tcW w:w="80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(11)</w:t>
            </w:r>
          </w:p>
        </w:tc>
        <w:tc>
          <w:tcPr>
            <w:tcW w:w="2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Amorti ation of net (loss)</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2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0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w:t>
            </w: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jc w:val="right"/>
              <w:ind w:right="120"/>
              <w:spacing w:after="0"/>
              <w:rPr>
                <w:sz w:val="20"/>
                <w:szCs w:val="20"/>
                <w:color w:val="auto"/>
              </w:rPr>
            </w:pPr>
            <w:r>
              <w:rPr>
                <w:rFonts w:ascii="Arial" w:cs="Arial" w:eastAsia="Arial" w:hAnsi="Arial"/>
                <w:sz w:val="20"/>
                <w:szCs w:val="20"/>
                <w:color w:val="auto"/>
              </w:rPr>
              <w:t>(2)</w:t>
            </w:r>
          </w:p>
        </w:tc>
        <w:tc>
          <w:tcPr>
            <w:tcW w:w="20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0"/>
        </w:trPr>
        <w:tc>
          <w:tcPr>
            <w:tcW w:w="37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Amorti ation of prior service credit</w:t>
            </w:r>
          </w:p>
        </w:tc>
        <w:tc>
          <w:tcPr>
            <w:tcW w:w="26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auto"/>
            </w:tcBorders>
            <w:shd w:val="clear" w:color="auto" w:fill="FEFEFE"/>
          </w:tcPr>
          <w:p>
            <w:pPr>
              <w:spacing w:after="0"/>
              <w:rPr>
                <w:sz w:val="24"/>
                <w:szCs w:val="24"/>
                <w:color w:val="auto"/>
              </w:rPr>
            </w:pPr>
          </w:p>
        </w:tc>
        <w:tc>
          <w:tcPr>
            <w:tcW w:w="80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0</w:t>
            </w:r>
          </w:p>
        </w:tc>
        <w:tc>
          <w:tcPr>
            <w:tcW w:w="2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spacing w:after="0"/>
              <w:rPr>
                <w:sz w:val="24"/>
                <w:szCs w:val="24"/>
                <w:color w:val="auto"/>
              </w:rPr>
            </w:pPr>
          </w:p>
        </w:tc>
        <w:tc>
          <w:tcPr>
            <w:tcW w:w="26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00" w:type="dxa"/>
            <w:vAlign w:val="bottom"/>
            <w:shd w:val="clear" w:color="auto" w:fill="E4E4E4"/>
          </w:tcPr>
          <w:p>
            <w:pPr>
              <w:ind w:left="540"/>
              <w:spacing w:after="0" w:line="204" w:lineRule="exact"/>
              <w:rPr>
                <w:sz w:val="20"/>
                <w:szCs w:val="20"/>
                <w:color w:val="auto"/>
              </w:rPr>
            </w:pPr>
            <w:r>
              <w:rPr>
                <w:rFonts w:ascii="Arial" w:cs="Arial" w:eastAsia="Arial" w:hAnsi="Arial"/>
                <w:sz w:val="20"/>
                <w:szCs w:val="20"/>
                <w:color w:val="auto"/>
              </w:rPr>
              <w:t>Total (gain) loss recogni ed in other</w:t>
            </w:r>
          </w:p>
        </w:tc>
        <w:tc>
          <w:tcPr>
            <w:tcW w:w="260" w:type="dxa"/>
            <w:vAlign w:val="bottom"/>
            <w:vMerge w:val="restart"/>
            <w:shd w:val="clear" w:color="auto" w:fill="E4E4E4"/>
          </w:tcPr>
          <w:p>
            <w:pPr>
              <w:ind w:left="40"/>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E4E4E4"/>
          </w:tcPr>
          <w:p>
            <w:pPr>
              <w:jc w:val="right"/>
              <w:ind w:right="160"/>
              <w:spacing w:after="0"/>
              <w:rPr>
                <w:sz w:val="20"/>
                <w:szCs w:val="20"/>
                <w:color w:val="auto"/>
              </w:rPr>
            </w:pPr>
            <w:r>
              <w:rPr>
                <w:rFonts w:ascii="Arial" w:cs="Arial" w:eastAsia="Arial" w:hAnsi="Arial"/>
                <w:sz w:val="20"/>
                <w:szCs w:val="20"/>
                <w:color w:val="auto"/>
              </w:rPr>
              <w:t>26</w:t>
            </w:r>
          </w:p>
        </w:tc>
        <w:tc>
          <w:tcPr>
            <w:tcW w:w="260" w:type="dxa"/>
            <w:vAlign w:val="bottom"/>
            <w:vMerge w:val="restart"/>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4E4E4"/>
          </w:tcPr>
          <w:p>
            <w:pPr>
              <w:jc w:val="right"/>
              <w:ind w:right="80"/>
              <w:spacing w:after="0"/>
              <w:rPr>
                <w:sz w:val="20"/>
                <w:szCs w:val="20"/>
                <w:color w:val="auto"/>
              </w:rPr>
            </w:pPr>
            <w:r>
              <w:rPr>
                <w:rFonts w:ascii="Arial" w:cs="Arial" w:eastAsia="Arial" w:hAnsi="Arial"/>
                <w:sz w:val="20"/>
                <w:szCs w:val="20"/>
                <w:color w:val="auto"/>
              </w:rPr>
              <w:t>(34)</w:t>
            </w:r>
          </w:p>
        </w:tc>
        <w:tc>
          <w:tcPr>
            <w:tcW w:w="260" w:type="dxa"/>
            <w:vAlign w:val="bottom"/>
            <w:vMerge w:val="restart"/>
            <w:shd w:val="clear" w:color="auto" w:fill="E4E4E4"/>
          </w:tcPr>
          <w:p>
            <w:pPr>
              <w:ind w:left="6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E4E4E4"/>
          </w:tcPr>
          <w:p>
            <w:pPr>
              <w:jc w:val="right"/>
              <w:ind w:right="80"/>
              <w:spacing w:after="0"/>
              <w:rPr>
                <w:sz w:val="20"/>
                <w:szCs w:val="20"/>
                <w:color w:val="auto"/>
              </w:rPr>
            </w:pPr>
            <w:r>
              <w:rPr>
                <w:rFonts w:ascii="Arial" w:cs="Arial" w:eastAsia="Arial" w:hAnsi="Arial"/>
                <w:sz w:val="20"/>
                <w:szCs w:val="20"/>
                <w:color w:val="auto"/>
              </w:rPr>
              <w:t>(5 )</w:t>
            </w:r>
          </w:p>
        </w:tc>
        <w:tc>
          <w:tcPr>
            <w:tcW w:w="280" w:type="dxa"/>
            <w:vAlign w:val="bottom"/>
            <w:vMerge w:val="restart"/>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E4E4E4"/>
          </w:tcPr>
          <w:p>
            <w:pPr>
              <w:jc w:val="right"/>
              <w:ind w:right="160"/>
              <w:spacing w:after="0"/>
              <w:rPr>
                <w:sz w:val="20"/>
                <w:szCs w:val="20"/>
                <w:color w:val="auto"/>
              </w:rPr>
            </w:pPr>
            <w:r>
              <w:rPr>
                <w:rFonts w:ascii="Arial" w:cs="Arial" w:eastAsia="Arial" w:hAnsi="Arial"/>
                <w:sz w:val="20"/>
                <w:szCs w:val="20"/>
                <w:color w:val="auto"/>
              </w:rPr>
              <w:t>7</w:t>
            </w:r>
          </w:p>
        </w:tc>
        <w:tc>
          <w:tcPr>
            <w:tcW w:w="260" w:type="dxa"/>
            <w:vAlign w:val="bottom"/>
            <w:vMerge w:val="restart"/>
            <w:shd w:val="clear" w:color="auto" w:fill="E4E4E4"/>
          </w:tcPr>
          <w:p>
            <w:pPr>
              <w:ind w:left="8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E4E4E4"/>
          </w:tcPr>
          <w:p>
            <w:pPr>
              <w:jc w:val="right"/>
              <w:ind w:right="120"/>
              <w:spacing w:after="0"/>
              <w:rPr>
                <w:sz w:val="20"/>
                <w:szCs w:val="20"/>
                <w:color w:val="auto"/>
              </w:rPr>
            </w:pPr>
            <w:r>
              <w:rPr>
                <w:rFonts w:ascii="Arial" w:cs="Arial" w:eastAsia="Arial" w:hAnsi="Arial"/>
                <w:sz w:val="20"/>
                <w:szCs w:val="20"/>
                <w:color w:val="auto"/>
              </w:rPr>
              <w:t>(4)</w:t>
            </w:r>
          </w:p>
        </w:tc>
        <w:tc>
          <w:tcPr>
            <w:tcW w:w="20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vMerge w:val="restart"/>
            <w:shd w:val="clear" w:color="auto" w:fill="E4E4E4"/>
          </w:tcPr>
          <w:p>
            <w:pPr>
              <w:jc w:val="right"/>
              <w:ind w:right="10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71"/>
        </w:trPr>
        <w:tc>
          <w:tcPr>
            <w:tcW w:w="3700" w:type="dxa"/>
            <w:vAlign w:val="bottom"/>
            <w:tcBorders>
              <w:bottom w:val="single" w:sz="8" w:color="auto"/>
            </w:tcBorders>
            <w:shd w:val="clear" w:color="auto" w:fill="E4E4E4"/>
          </w:tcPr>
          <w:p>
            <w:pPr>
              <w:ind w:left="540"/>
              <w:spacing w:after="0"/>
              <w:rPr>
                <w:sz w:val="20"/>
                <w:szCs w:val="20"/>
                <w:color w:val="auto"/>
              </w:rPr>
            </w:pPr>
            <w:r>
              <w:rPr>
                <w:rFonts w:ascii="Arial" w:cs="Arial" w:eastAsia="Arial" w:hAnsi="Arial"/>
                <w:sz w:val="20"/>
                <w:szCs w:val="20"/>
                <w:color w:val="auto"/>
              </w:rPr>
              <w:t>comprehensive income</w:t>
            </w:r>
          </w:p>
        </w:tc>
        <w:tc>
          <w:tcPr>
            <w:tcW w:w="260" w:type="dxa"/>
            <w:vAlign w:val="bottom"/>
            <w:tcBorders>
              <w:bottom w:val="single" w:sz="8" w:color="auto"/>
            </w:tcBorders>
            <w:vMerge w:val="continue"/>
            <w:shd w:val="clear" w:color="auto" w:fill="E4E4E4"/>
          </w:tcPr>
          <w:p>
            <w:pPr>
              <w:spacing w:after="0"/>
              <w:rPr>
                <w:sz w:val="23"/>
                <w:szCs w:val="23"/>
                <w:color w:val="auto"/>
              </w:rPr>
            </w:pPr>
          </w:p>
        </w:tc>
        <w:tc>
          <w:tcPr>
            <w:tcW w:w="840" w:type="dxa"/>
            <w:vAlign w:val="bottom"/>
            <w:tcBorders>
              <w:bottom w:val="single" w:sz="8" w:color="auto"/>
            </w:tcBorders>
            <w:vMerge w:val="continue"/>
            <w:shd w:val="clear" w:color="auto" w:fill="E4E4E4"/>
          </w:tcPr>
          <w:p>
            <w:pPr>
              <w:spacing w:after="0"/>
              <w:rPr>
                <w:sz w:val="23"/>
                <w:szCs w:val="23"/>
                <w:color w:val="auto"/>
              </w:rPr>
            </w:pPr>
          </w:p>
        </w:tc>
        <w:tc>
          <w:tcPr>
            <w:tcW w:w="260" w:type="dxa"/>
            <w:vAlign w:val="bottom"/>
            <w:tcBorders>
              <w:bottom w:val="single" w:sz="8" w:color="auto"/>
            </w:tcBorders>
            <w:vMerge w:val="continue"/>
            <w:shd w:val="clear" w:color="auto" w:fill="E4E4E4"/>
          </w:tcPr>
          <w:p>
            <w:pPr>
              <w:spacing w:after="0"/>
              <w:rPr>
                <w:sz w:val="23"/>
                <w:szCs w:val="23"/>
                <w:color w:val="auto"/>
              </w:rPr>
            </w:pPr>
          </w:p>
        </w:tc>
        <w:tc>
          <w:tcPr>
            <w:tcW w:w="820" w:type="dxa"/>
            <w:vAlign w:val="bottom"/>
            <w:tcBorders>
              <w:bottom w:val="single" w:sz="8" w:color="auto"/>
            </w:tcBorders>
            <w:vMerge w:val="continue"/>
            <w:shd w:val="clear" w:color="auto" w:fill="E4E4E4"/>
          </w:tcPr>
          <w:p>
            <w:pPr>
              <w:spacing w:after="0"/>
              <w:rPr>
                <w:sz w:val="23"/>
                <w:szCs w:val="23"/>
                <w:color w:val="auto"/>
              </w:rPr>
            </w:pPr>
          </w:p>
        </w:tc>
        <w:tc>
          <w:tcPr>
            <w:tcW w:w="260" w:type="dxa"/>
            <w:vAlign w:val="bottom"/>
            <w:tcBorders>
              <w:bottom w:val="single" w:sz="8" w:color="auto"/>
            </w:tcBorders>
            <w:vMerge w:val="continue"/>
            <w:shd w:val="clear" w:color="auto" w:fill="E4E4E4"/>
          </w:tcPr>
          <w:p>
            <w:pPr>
              <w:spacing w:after="0"/>
              <w:rPr>
                <w:sz w:val="23"/>
                <w:szCs w:val="23"/>
                <w:color w:val="auto"/>
              </w:rPr>
            </w:pPr>
          </w:p>
        </w:tc>
        <w:tc>
          <w:tcPr>
            <w:tcW w:w="800" w:type="dxa"/>
            <w:vAlign w:val="bottom"/>
            <w:tcBorders>
              <w:bottom w:val="single" w:sz="8" w:color="auto"/>
            </w:tcBorders>
            <w:vMerge w:val="continue"/>
            <w:shd w:val="clear" w:color="auto" w:fill="E4E4E4"/>
          </w:tcPr>
          <w:p>
            <w:pPr>
              <w:spacing w:after="0"/>
              <w:rPr>
                <w:sz w:val="23"/>
                <w:szCs w:val="23"/>
                <w:color w:val="auto"/>
              </w:rPr>
            </w:pPr>
          </w:p>
        </w:tc>
        <w:tc>
          <w:tcPr>
            <w:tcW w:w="280" w:type="dxa"/>
            <w:vAlign w:val="bottom"/>
            <w:tcBorders>
              <w:bottom w:val="single" w:sz="8" w:color="auto"/>
            </w:tcBorders>
            <w:vMerge w:val="continue"/>
            <w:shd w:val="clear" w:color="auto" w:fill="E4E4E4"/>
          </w:tcPr>
          <w:p>
            <w:pPr>
              <w:spacing w:after="0"/>
              <w:rPr>
                <w:sz w:val="23"/>
                <w:szCs w:val="23"/>
                <w:color w:val="auto"/>
              </w:rPr>
            </w:pPr>
          </w:p>
        </w:tc>
        <w:tc>
          <w:tcPr>
            <w:tcW w:w="880" w:type="dxa"/>
            <w:vAlign w:val="bottom"/>
            <w:tcBorders>
              <w:bottom w:val="single" w:sz="8" w:color="auto"/>
            </w:tcBorders>
            <w:vMerge w:val="continue"/>
            <w:shd w:val="clear" w:color="auto" w:fill="E4E4E4"/>
          </w:tcPr>
          <w:p>
            <w:pPr>
              <w:spacing w:after="0"/>
              <w:rPr>
                <w:sz w:val="23"/>
                <w:szCs w:val="23"/>
                <w:color w:val="auto"/>
              </w:rPr>
            </w:pPr>
          </w:p>
        </w:tc>
        <w:tc>
          <w:tcPr>
            <w:tcW w:w="260" w:type="dxa"/>
            <w:vAlign w:val="bottom"/>
            <w:tcBorders>
              <w:bottom w:val="single" w:sz="8" w:color="auto"/>
            </w:tcBorders>
            <w:vMerge w:val="continue"/>
            <w:shd w:val="clear" w:color="auto" w:fill="E4E4E4"/>
          </w:tcPr>
          <w:p>
            <w:pPr>
              <w:spacing w:after="0"/>
              <w:rPr>
                <w:sz w:val="23"/>
                <w:szCs w:val="23"/>
                <w:color w:val="auto"/>
              </w:rPr>
            </w:pPr>
          </w:p>
        </w:tc>
        <w:tc>
          <w:tcPr>
            <w:tcW w:w="860" w:type="dxa"/>
            <w:vAlign w:val="bottom"/>
            <w:tcBorders>
              <w:bottom w:val="single" w:sz="8" w:color="auto"/>
            </w:tcBorders>
            <w:vMerge w:val="continue"/>
            <w:shd w:val="clear" w:color="auto" w:fill="E4E4E4"/>
          </w:tcPr>
          <w:p>
            <w:pPr>
              <w:spacing w:after="0"/>
              <w:rPr>
                <w:sz w:val="23"/>
                <w:szCs w:val="23"/>
                <w:color w:val="auto"/>
              </w:rPr>
            </w:pPr>
          </w:p>
        </w:tc>
        <w:tc>
          <w:tcPr>
            <w:tcW w:w="200" w:type="dxa"/>
            <w:vAlign w:val="bottom"/>
            <w:tcBorders>
              <w:bottom w:val="single" w:sz="8" w:color="auto"/>
            </w:tcBorders>
            <w:vMerge w:val="continue"/>
            <w:shd w:val="clear" w:color="auto" w:fill="E4E4E4"/>
          </w:tcPr>
          <w:p>
            <w:pPr>
              <w:spacing w:after="0"/>
              <w:rPr>
                <w:sz w:val="23"/>
                <w:szCs w:val="23"/>
                <w:color w:val="auto"/>
              </w:rPr>
            </w:pPr>
          </w:p>
        </w:tc>
        <w:tc>
          <w:tcPr>
            <w:tcW w:w="840" w:type="dxa"/>
            <w:vAlign w:val="bottom"/>
            <w:tcBorders>
              <w:bottom w:val="single" w:sz="8" w:color="auto"/>
            </w:tcBorders>
            <w:vMerge w:val="continue"/>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700" w:type="dxa"/>
            <w:vAlign w:val="bottom"/>
            <w:shd w:val="clear" w:color="auto" w:fill="FEFEFE"/>
          </w:tcPr>
          <w:p>
            <w:pPr>
              <w:ind w:left="40"/>
              <w:spacing w:after="0" w:line="204" w:lineRule="exact"/>
              <w:rPr>
                <w:sz w:val="20"/>
                <w:szCs w:val="20"/>
                <w:color w:val="auto"/>
              </w:rPr>
            </w:pPr>
            <w:r>
              <w:rPr>
                <w:rFonts w:ascii="Arial" w:cs="Arial" w:eastAsia="Arial" w:hAnsi="Arial"/>
                <w:sz w:val="20"/>
                <w:szCs w:val="20"/>
                <w:color w:val="auto"/>
                <w:w w:val="95"/>
              </w:rPr>
              <w:t>Total recogni ed in net periodic benefit cost</w:t>
            </w:r>
          </w:p>
        </w:tc>
        <w:tc>
          <w:tcPr>
            <w:tcW w:w="260" w:type="dxa"/>
            <w:vAlign w:val="bottom"/>
            <w:vMerge w:val="restart"/>
            <w:shd w:val="clear" w:color="auto" w:fill="FEFEFE"/>
          </w:tcPr>
          <w:p>
            <w:pPr>
              <w:ind w:left="40"/>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FEFEFE"/>
          </w:tcPr>
          <w:p>
            <w:pPr>
              <w:jc w:val="right"/>
              <w:ind w:right="160"/>
              <w:spacing w:after="0"/>
              <w:rPr>
                <w:sz w:val="20"/>
                <w:szCs w:val="20"/>
                <w:color w:val="auto"/>
              </w:rPr>
            </w:pPr>
            <w:r>
              <w:rPr>
                <w:rFonts w:ascii="Arial" w:cs="Arial" w:eastAsia="Arial" w:hAnsi="Arial"/>
                <w:sz w:val="20"/>
                <w:szCs w:val="20"/>
                <w:color w:val="auto"/>
              </w:rPr>
              <w:t>10</w:t>
            </w:r>
          </w:p>
        </w:tc>
        <w:tc>
          <w:tcPr>
            <w:tcW w:w="260" w:type="dxa"/>
            <w:vAlign w:val="bottom"/>
            <w:vMerge w:val="restart"/>
            <w:shd w:val="clear" w:color="auto" w:fill="FEFEFE"/>
          </w:tcPr>
          <w:p>
            <w:pPr>
              <w:ind w:lef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FEFEFE"/>
          </w:tcPr>
          <w:p>
            <w:pPr>
              <w:jc w:val="right"/>
              <w:ind w:right="80"/>
              <w:spacing w:after="0"/>
              <w:rPr>
                <w:sz w:val="20"/>
                <w:szCs w:val="20"/>
                <w:color w:val="auto"/>
              </w:rPr>
            </w:pPr>
            <w:r>
              <w:rPr>
                <w:rFonts w:ascii="Arial" w:cs="Arial" w:eastAsia="Arial" w:hAnsi="Arial"/>
                <w:sz w:val="20"/>
                <w:szCs w:val="20"/>
                <w:color w:val="auto"/>
              </w:rPr>
              <w:t>(13)</w:t>
            </w:r>
          </w:p>
        </w:tc>
        <w:tc>
          <w:tcPr>
            <w:tcW w:w="260" w:type="dxa"/>
            <w:vAlign w:val="bottom"/>
            <w:vMerge w:val="restart"/>
            <w:shd w:val="clear" w:color="auto" w:fill="FEFEFE"/>
          </w:tcPr>
          <w:p>
            <w:pPr>
              <w:ind w:left="6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FEFEFE"/>
          </w:tcPr>
          <w:p>
            <w:pPr>
              <w:jc w:val="right"/>
              <w:ind w:right="80"/>
              <w:spacing w:after="0"/>
              <w:rPr>
                <w:sz w:val="20"/>
                <w:szCs w:val="20"/>
                <w:color w:val="auto"/>
              </w:rPr>
            </w:pPr>
            <w:r>
              <w:rPr>
                <w:rFonts w:ascii="Arial" w:cs="Arial" w:eastAsia="Arial" w:hAnsi="Arial"/>
                <w:sz w:val="20"/>
                <w:szCs w:val="20"/>
                <w:color w:val="auto"/>
              </w:rPr>
              <w:t>(34)</w:t>
            </w:r>
          </w:p>
        </w:tc>
        <w:tc>
          <w:tcPr>
            <w:tcW w:w="280" w:type="dxa"/>
            <w:vAlign w:val="bottom"/>
            <w:vMerge w:val="restart"/>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FEFEFE"/>
          </w:tcPr>
          <w:p>
            <w:pPr>
              <w:jc w:val="right"/>
              <w:ind w:right="160"/>
              <w:spacing w:after="0"/>
              <w:rPr>
                <w:sz w:val="20"/>
                <w:szCs w:val="20"/>
                <w:color w:val="auto"/>
              </w:rPr>
            </w:pPr>
            <w:r>
              <w:rPr>
                <w:rFonts w:ascii="Arial" w:cs="Arial" w:eastAsia="Arial" w:hAnsi="Arial"/>
                <w:sz w:val="20"/>
                <w:szCs w:val="20"/>
                <w:color w:val="auto"/>
              </w:rPr>
              <w:t>17</w:t>
            </w:r>
          </w:p>
        </w:tc>
        <w:tc>
          <w:tcPr>
            <w:tcW w:w="260" w:type="dxa"/>
            <w:vAlign w:val="bottom"/>
            <w:vMerge w:val="restart"/>
            <w:shd w:val="clear" w:color="auto" w:fill="FEFEFE"/>
          </w:tcPr>
          <w:p>
            <w:pPr>
              <w:ind w:left="8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FEFEFE"/>
          </w:tcPr>
          <w:p>
            <w:pPr>
              <w:jc w:val="right"/>
              <w:ind w:right="180"/>
              <w:spacing w:after="0"/>
              <w:rPr>
                <w:sz w:val="20"/>
                <w:szCs w:val="20"/>
                <w:color w:val="auto"/>
              </w:rPr>
            </w:pPr>
            <w:r>
              <w:rPr>
                <w:rFonts w:ascii="Arial" w:cs="Arial" w:eastAsia="Arial" w:hAnsi="Arial"/>
                <w:sz w:val="20"/>
                <w:szCs w:val="20"/>
                <w:color w:val="auto"/>
              </w:rPr>
              <w:t>6</w:t>
            </w:r>
          </w:p>
        </w:tc>
        <w:tc>
          <w:tcPr>
            <w:tcW w:w="20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w w:val="89"/>
              </w:rPr>
              <w:t>$</w:t>
            </w:r>
          </w:p>
        </w:tc>
        <w:tc>
          <w:tcPr>
            <w:tcW w:w="840" w:type="dxa"/>
            <w:vAlign w:val="bottom"/>
            <w:vMerge w:val="restart"/>
            <w:shd w:val="clear" w:color="auto" w:fill="FEFEFE"/>
          </w:tcPr>
          <w:p>
            <w:pPr>
              <w:jc w:val="right"/>
              <w:ind w:right="16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71"/>
        </w:trPr>
        <w:tc>
          <w:tcPr>
            <w:tcW w:w="37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and other comprehensive income (loss)</w:t>
            </w:r>
          </w:p>
        </w:tc>
        <w:tc>
          <w:tcPr>
            <w:tcW w:w="260" w:type="dxa"/>
            <w:vAlign w:val="bottom"/>
            <w:tcBorders>
              <w:bottom w:val="single" w:sz="8" w:color="auto"/>
            </w:tcBorders>
            <w:vMerge w:val="continue"/>
            <w:shd w:val="clear" w:color="auto" w:fill="FEFEFE"/>
          </w:tcPr>
          <w:p>
            <w:pPr>
              <w:spacing w:after="0"/>
              <w:rPr>
                <w:sz w:val="23"/>
                <w:szCs w:val="23"/>
                <w:color w:val="auto"/>
              </w:rPr>
            </w:pPr>
          </w:p>
        </w:tc>
        <w:tc>
          <w:tcPr>
            <w:tcW w:w="840" w:type="dxa"/>
            <w:vAlign w:val="bottom"/>
            <w:tcBorders>
              <w:bottom w:val="single" w:sz="8" w:color="auto"/>
            </w:tcBorders>
            <w:vMerge w:val="continue"/>
            <w:shd w:val="clear" w:color="auto" w:fill="FEFEFE"/>
          </w:tcPr>
          <w:p>
            <w:pPr>
              <w:spacing w:after="0"/>
              <w:rPr>
                <w:sz w:val="23"/>
                <w:szCs w:val="23"/>
                <w:color w:val="auto"/>
              </w:rPr>
            </w:pPr>
          </w:p>
        </w:tc>
        <w:tc>
          <w:tcPr>
            <w:tcW w:w="260" w:type="dxa"/>
            <w:vAlign w:val="bottom"/>
            <w:tcBorders>
              <w:bottom w:val="single" w:sz="8" w:color="auto"/>
            </w:tcBorders>
            <w:vMerge w:val="continue"/>
            <w:shd w:val="clear" w:color="auto" w:fill="FEFEFE"/>
          </w:tcPr>
          <w:p>
            <w:pPr>
              <w:spacing w:after="0"/>
              <w:rPr>
                <w:sz w:val="23"/>
                <w:szCs w:val="23"/>
                <w:color w:val="auto"/>
              </w:rPr>
            </w:pPr>
          </w:p>
        </w:tc>
        <w:tc>
          <w:tcPr>
            <w:tcW w:w="820" w:type="dxa"/>
            <w:vAlign w:val="bottom"/>
            <w:tcBorders>
              <w:bottom w:val="single" w:sz="8" w:color="auto"/>
            </w:tcBorders>
            <w:vMerge w:val="continue"/>
            <w:shd w:val="clear" w:color="auto" w:fill="FEFEFE"/>
          </w:tcPr>
          <w:p>
            <w:pPr>
              <w:spacing w:after="0"/>
              <w:rPr>
                <w:sz w:val="23"/>
                <w:szCs w:val="23"/>
                <w:color w:val="auto"/>
              </w:rPr>
            </w:pPr>
          </w:p>
        </w:tc>
        <w:tc>
          <w:tcPr>
            <w:tcW w:w="260" w:type="dxa"/>
            <w:vAlign w:val="bottom"/>
            <w:tcBorders>
              <w:bottom w:val="single" w:sz="8" w:color="auto"/>
            </w:tcBorders>
            <w:vMerge w:val="continue"/>
            <w:shd w:val="clear" w:color="auto" w:fill="FEFEFE"/>
          </w:tcPr>
          <w:p>
            <w:pPr>
              <w:spacing w:after="0"/>
              <w:rPr>
                <w:sz w:val="23"/>
                <w:szCs w:val="23"/>
                <w:color w:val="auto"/>
              </w:rPr>
            </w:pPr>
          </w:p>
        </w:tc>
        <w:tc>
          <w:tcPr>
            <w:tcW w:w="800" w:type="dxa"/>
            <w:vAlign w:val="bottom"/>
            <w:tcBorders>
              <w:bottom w:val="single" w:sz="8" w:color="auto"/>
            </w:tcBorders>
            <w:vMerge w:val="continue"/>
            <w:shd w:val="clear" w:color="auto" w:fill="FEFEFE"/>
          </w:tcPr>
          <w:p>
            <w:pPr>
              <w:spacing w:after="0"/>
              <w:rPr>
                <w:sz w:val="23"/>
                <w:szCs w:val="23"/>
                <w:color w:val="auto"/>
              </w:rPr>
            </w:pPr>
          </w:p>
        </w:tc>
        <w:tc>
          <w:tcPr>
            <w:tcW w:w="280" w:type="dxa"/>
            <w:vAlign w:val="bottom"/>
            <w:tcBorders>
              <w:bottom w:val="single" w:sz="8" w:color="auto"/>
            </w:tcBorders>
            <w:vMerge w:val="continue"/>
            <w:shd w:val="clear" w:color="auto" w:fill="FEFEFE"/>
          </w:tcPr>
          <w:p>
            <w:pPr>
              <w:spacing w:after="0"/>
              <w:rPr>
                <w:sz w:val="23"/>
                <w:szCs w:val="23"/>
                <w:color w:val="auto"/>
              </w:rPr>
            </w:pPr>
          </w:p>
        </w:tc>
        <w:tc>
          <w:tcPr>
            <w:tcW w:w="880" w:type="dxa"/>
            <w:vAlign w:val="bottom"/>
            <w:tcBorders>
              <w:bottom w:val="single" w:sz="8" w:color="auto"/>
            </w:tcBorders>
            <w:vMerge w:val="continue"/>
            <w:shd w:val="clear" w:color="auto" w:fill="FEFEFE"/>
          </w:tcPr>
          <w:p>
            <w:pPr>
              <w:spacing w:after="0"/>
              <w:rPr>
                <w:sz w:val="23"/>
                <w:szCs w:val="23"/>
                <w:color w:val="auto"/>
              </w:rPr>
            </w:pPr>
          </w:p>
        </w:tc>
        <w:tc>
          <w:tcPr>
            <w:tcW w:w="260" w:type="dxa"/>
            <w:vAlign w:val="bottom"/>
            <w:tcBorders>
              <w:bottom w:val="single" w:sz="8" w:color="auto"/>
            </w:tcBorders>
            <w:vMerge w:val="continue"/>
            <w:shd w:val="clear" w:color="auto" w:fill="FEFEFE"/>
          </w:tcPr>
          <w:p>
            <w:pPr>
              <w:spacing w:after="0"/>
              <w:rPr>
                <w:sz w:val="23"/>
                <w:szCs w:val="23"/>
                <w:color w:val="auto"/>
              </w:rPr>
            </w:pPr>
          </w:p>
        </w:tc>
        <w:tc>
          <w:tcPr>
            <w:tcW w:w="860" w:type="dxa"/>
            <w:vAlign w:val="bottom"/>
            <w:tcBorders>
              <w:bottom w:val="single" w:sz="8" w:color="auto"/>
            </w:tcBorders>
            <w:vMerge w:val="continue"/>
            <w:shd w:val="clear" w:color="auto" w:fill="FEFEFE"/>
          </w:tcPr>
          <w:p>
            <w:pPr>
              <w:spacing w:after="0"/>
              <w:rPr>
                <w:sz w:val="23"/>
                <w:szCs w:val="23"/>
                <w:color w:val="auto"/>
              </w:rPr>
            </w:pPr>
          </w:p>
        </w:tc>
        <w:tc>
          <w:tcPr>
            <w:tcW w:w="200" w:type="dxa"/>
            <w:vAlign w:val="bottom"/>
            <w:tcBorders>
              <w:bottom w:val="single" w:sz="8" w:color="auto"/>
            </w:tcBorders>
            <w:vMerge w:val="continue"/>
            <w:shd w:val="clear" w:color="auto" w:fill="FEFEFE"/>
          </w:tcPr>
          <w:p>
            <w:pPr>
              <w:spacing w:after="0"/>
              <w:rPr>
                <w:sz w:val="23"/>
                <w:szCs w:val="23"/>
                <w:color w:val="auto"/>
              </w:rPr>
            </w:pPr>
          </w:p>
        </w:tc>
        <w:tc>
          <w:tcPr>
            <w:tcW w:w="840" w:type="dxa"/>
            <w:vAlign w:val="bottom"/>
            <w:tcBorders>
              <w:bottom w:val="single" w:sz="8" w:color="auto"/>
            </w:tcBorders>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tcBorders>
              <w:bottom w:val="single" w:sz="8" w:color="E4E4E4"/>
            </w:tcBorders>
            <w:gridSpan w:val="3"/>
            <w:shd w:val="clear" w:color="auto" w:fill="E4E4E4"/>
          </w:tcPr>
          <w:p>
            <w:pPr>
              <w:ind w:left="240"/>
              <w:spacing w:after="0"/>
              <w:rPr>
                <w:sz w:val="20"/>
                <w:szCs w:val="20"/>
                <w:color w:val="auto"/>
              </w:rPr>
            </w:pPr>
            <w:r>
              <w:rPr>
                <w:rFonts w:ascii="Arial" w:cs="Arial" w:eastAsia="Arial" w:hAnsi="Arial"/>
                <w:sz w:val="20"/>
                <w:szCs w:val="20"/>
                <w:color w:val="auto"/>
                <w:w w:val="97"/>
              </w:rPr>
              <w:t>eighted average assumptions for expense purposes:</w:t>
            </w:r>
          </w:p>
        </w:tc>
        <w:tc>
          <w:tcPr>
            <w:tcW w:w="260" w:type="dxa"/>
            <w:vAlign w:val="bottom"/>
            <w:tcBorders>
              <w:bottom w:val="single" w:sz="8" w:color="E4E4E4"/>
            </w:tcBorders>
            <w:shd w:val="clear" w:color="auto" w:fill="E4E4E4"/>
          </w:tcPr>
          <w:p>
            <w:pPr>
              <w:spacing w:after="0"/>
              <w:rPr>
                <w:sz w:val="23"/>
                <w:szCs w:val="23"/>
                <w:color w:val="auto"/>
              </w:rPr>
            </w:pPr>
          </w:p>
        </w:tc>
        <w:tc>
          <w:tcPr>
            <w:tcW w:w="82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6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spacing w:after="0"/>
              <w:rPr>
                <w:sz w:val="23"/>
                <w:szCs w:val="23"/>
                <w:color w:val="auto"/>
              </w:rPr>
            </w:pPr>
          </w:p>
        </w:tc>
        <w:tc>
          <w:tcPr>
            <w:tcW w:w="84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700" w:type="dxa"/>
            <w:vAlign w:val="bottom"/>
            <w:shd w:val="clear" w:color="auto" w:fill="FEFEFE"/>
          </w:tcPr>
          <w:p>
            <w:pPr>
              <w:ind w:left="260"/>
              <w:spacing w:after="0"/>
              <w:rPr>
                <w:sz w:val="20"/>
                <w:szCs w:val="20"/>
                <w:color w:val="auto"/>
              </w:rPr>
            </w:pPr>
            <w:r>
              <w:rPr>
                <w:rFonts w:ascii="Arial" w:cs="Arial" w:eastAsia="Arial" w:hAnsi="Arial"/>
                <w:sz w:val="20"/>
                <w:szCs w:val="20"/>
                <w:color w:val="auto"/>
              </w:rPr>
              <w:t>Discount rate</w:t>
            </w:r>
          </w:p>
        </w:tc>
        <w:tc>
          <w:tcPr>
            <w:tcW w:w="26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6.10</w:t>
            </w:r>
          </w:p>
        </w:tc>
        <w:tc>
          <w:tcPr>
            <w:tcW w:w="260" w:type="dxa"/>
            <w:vAlign w:val="bottom"/>
            <w:shd w:val="clear" w:color="auto" w:fill="FEFEFE"/>
          </w:tcPr>
          <w:p>
            <w:pPr>
              <w:spacing w:after="0"/>
              <w:rPr>
                <w:sz w:val="24"/>
                <w:szCs w:val="24"/>
                <w:color w:val="auto"/>
              </w:rPr>
            </w:pPr>
          </w:p>
        </w:tc>
        <w:tc>
          <w:tcPr>
            <w:tcW w:w="82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5.70</w:t>
            </w:r>
          </w:p>
        </w:tc>
        <w:tc>
          <w:tcPr>
            <w:tcW w:w="260" w:type="dxa"/>
            <w:vAlign w:val="bottom"/>
            <w:shd w:val="clear" w:color="auto" w:fill="FEFEFE"/>
          </w:tcPr>
          <w:p>
            <w:pPr>
              <w:spacing w:after="0"/>
              <w:rPr>
                <w:sz w:val="24"/>
                <w:szCs w:val="24"/>
                <w:color w:val="auto"/>
              </w:rPr>
            </w:pPr>
          </w:p>
        </w:tc>
        <w:tc>
          <w:tcPr>
            <w:tcW w:w="800" w:type="dxa"/>
            <w:vAlign w:val="bottom"/>
            <w:shd w:val="clear" w:color="auto" w:fill="FEFEFE"/>
          </w:tcPr>
          <w:p>
            <w:pPr>
              <w:jc w:val="right"/>
              <w:ind w:right="140"/>
              <w:spacing w:after="0"/>
              <w:rPr>
                <w:sz w:val="20"/>
                <w:szCs w:val="20"/>
                <w:color w:val="auto"/>
              </w:rPr>
            </w:pPr>
            <w:r>
              <w:rPr>
                <w:rFonts w:ascii="Arial" w:cs="Arial" w:eastAsia="Arial" w:hAnsi="Arial"/>
                <w:sz w:val="20"/>
                <w:szCs w:val="20"/>
                <w:color w:val="auto"/>
              </w:rPr>
              <w:t>5.40</w:t>
            </w:r>
          </w:p>
        </w:tc>
        <w:tc>
          <w:tcPr>
            <w:tcW w:w="280" w:type="dxa"/>
            <w:vAlign w:val="bottom"/>
            <w:shd w:val="clear" w:color="auto" w:fill="FEFEFE"/>
          </w:tcPr>
          <w:p>
            <w:pPr>
              <w:spacing w:after="0"/>
              <w:rPr>
                <w:sz w:val="24"/>
                <w:szCs w:val="24"/>
                <w:color w:val="auto"/>
              </w:rPr>
            </w:pPr>
          </w:p>
        </w:tc>
        <w:tc>
          <w:tcPr>
            <w:tcW w:w="88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6.10</w:t>
            </w:r>
          </w:p>
        </w:tc>
        <w:tc>
          <w:tcPr>
            <w:tcW w:w="260" w:type="dxa"/>
            <w:vAlign w:val="bottom"/>
            <w:shd w:val="clear" w:color="auto" w:fill="FEFEFE"/>
          </w:tcPr>
          <w:p>
            <w:pPr>
              <w:spacing w:after="0"/>
              <w:rPr>
                <w:sz w:val="24"/>
                <w:szCs w:val="24"/>
                <w:color w:val="auto"/>
              </w:rPr>
            </w:pPr>
          </w:p>
        </w:tc>
        <w:tc>
          <w:tcPr>
            <w:tcW w:w="860" w:type="dxa"/>
            <w:vAlign w:val="bottom"/>
            <w:shd w:val="clear" w:color="auto" w:fill="FEFEFE"/>
          </w:tcPr>
          <w:p>
            <w:pPr>
              <w:jc w:val="right"/>
              <w:ind w:right="180"/>
              <w:spacing w:after="0"/>
              <w:rPr>
                <w:sz w:val="20"/>
                <w:szCs w:val="20"/>
                <w:color w:val="auto"/>
              </w:rPr>
            </w:pPr>
            <w:r>
              <w:rPr>
                <w:rFonts w:ascii="Arial" w:cs="Arial" w:eastAsia="Arial" w:hAnsi="Arial"/>
                <w:sz w:val="20"/>
                <w:szCs w:val="20"/>
                <w:color w:val="auto"/>
              </w:rPr>
              <w:t>5.80</w:t>
            </w:r>
          </w:p>
        </w:tc>
        <w:tc>
          <w:tcPr>
            <w:tcW w:w="200" w:type="dxa"/>
            <w:vAlign w:val="bottom"/>
            <w:shd w:val="clear" w:color="auto" w:fill="FEFEFE"/>
          </w:tcPr>
          <w:p>
            <w:pPr>
              <w:spacing w:after="0"/>
              <w:rPr>
                <w:sz w:val="24"/>
                <w:szCs w:val="24"/>
                <w:color w:val="auto"/>
              </w:rPr>
            </w:pPr>
          </w:p>
        </w:tc>
        <w:tc>
          <w:tcPr>
            <w:tcW w:w="84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5.60</w:t>
            </w:r>
          </w:p>
        </w:tc>
        <w:tc>
          <w:tcPr>
            <w:tcW w:w="0" w:type="dxa"/>
            <w:vAlign w:val="bottom"/>
          </w:tcPr>
          <w:p>
            <w:pPr>
              <w:spacing w:after="0"/>
              <w:rPr>
                <w:sz w:val="1"/>
                <w:szCs w:val="1"/>
                <w:color w:val="auto"/>
              </w:rPr>
            </w:pPr>
          </w:p>
        </w:tc>
      </w:tr>
      <w:tr>
        <w:trPr>
          <w:trHeight w:val="303"/>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rPr>
              <w:t>Expected rate of return on plan assets</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6.25</w:t>
            </w:r>
          </w:p>
        </w:tc>
        <w:tc>
          <w:tcPr>
            <w:tcW w:w="260" w:type="dxa"/>
            <w:vAlign w:val="bottom"/>
            <w:shd w:val="clear" w:color="auto" w:fill="E4E4E4"/>
          </w:tcPr>
          <w:p>
            <w:pPr>
              <w:spacing w:after="0"/>
              <w:rPr>
                <w:sz w:val="24"/>
                <w:szCs w:val="24"/>
                <w:color w:val="auto"/>
              </w:rPr>
            </w:pPr>
          </w:p>
        </w:tc>
        <w:tc>
          <w:tcPr>
            <w:tcW w:w="82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5.75</w:t>
            </w:r>
          </w:p>
        </w:tc>
        <w:tc>
          <w:tcPr>
            <w:tcW w:w="26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5.50</w:t>
            </w:r>
          </w:p>
        </w:tc>
        <w:tc>
          <w:tcPr>
            <w:tcW w:w="280" w:type="dxa"/>
            <w:vAlign w:val="bottom"/>
            <w:shd w:val="clear" w:color="auto" w:fill="E4E4E4"/>
          </w:tcPr>
          <w:p>
            <w:pPr>
              <w:spacing w:after="0"/>
              <w:rPr>
                <w:sz w:val="24"/>
                <w:szCs w:val="24"/>
                <w:color w:val="auto"/>
              </w:rPr>
            </w:pPr>
          </w:p>
        </w:tc>
        <w:tc>
          <w:tcPr>
            <w:tcW w:w="880" w:type="dxa"/>
            <w:vAlign w:val="bottom"/>
            <w:shd w:val="clear" w:color="auto" w:fill="E4E4E4"/>
          </w:tcPr>
          <w:p>
            <w:pPr>
              <w:jc w:val="right"/>
              <w:ind w:right="140"/>
              <w:spacing w:after="0"/>
              <w:rPr>
                <w:sz w:val="20"/>
                <w:szCs w:val="20"/>
                <w:color w:val="auto"/>
              </w:rPr>
            </w:pPr>
            <w:r>
              <w:rPr>
                <w:rFonts w:ascii="Arial" w:cs="Arial" w:eastAsia="Arial" w:hAnsi="Arial"/>
                <w:sz w:val="20"/>
                <w:szCs w:val="20"/>
                <w:color w:val="auto"/>
              </w:rPr>
              <w:t>N</w:t>
            </w: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N A</w:t>
            </w:r>
          </w:p>
        </w:tc>
        <w:tc>
          <w:tcPr>
            <w:tcW w:w="20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N A</w:t>
            </w:r>
          </w:p>
        </w:tc>
        <w:tc>
          <w:tcPr>
            <w:tcW w:w="0" w:type="dxa"/>
            <w:vAlign w:val="bottom"/>
          </w:tcPr>
          <w:p>
            <w:pPr>
              <w:spacing w:after="0"/>
              <w:rPr>
                <w:sz w:val="1"/>
                <w:szCs w:val="1"/>
                <w:color w:val="auto"/>
              </w:rPr>
            </w:pPr>
          </w:p>
        </w:tc>
      </w:tr>
      <w:tr>
        <w:trPr>
          <w:trHeight w:val="293"/>
        </w:trPr>
        <w:tc>
          <w:tcPr>
            <w:tcW w:w="3700" w:type="dxa"/>
            <w:vAlign w:val="bottom"/>
            <w:tcBorders>
              <w:bottom w:val="single" w:sz="8" w:color="auto"/>
            </w:tcBorders>
            <w:shd w:val="clear" w:color="auto" w:fill="FEFEFE"/>
          </w:tcPr>
          <w:p>
            <w:pPr>
              <w:ind w:left="400"/>
              <w:spacing w:after="0"/>
              <w:rPr>
                <w:sz w:val="20"/>
                <w:szCs w:val="20"/>
                <w:color w:val="auto"/>
              </w:rPr>
            </w:pPr>
            <w:r>
              <w:rPr>
                <w:rFonts w:ascii="Arial" w:cs="Arial" w:eastAsia="Arial" w:hAnsi="Arial"/>
                <w:sz w:val="20"/>
                <w:szCs w:val="20"/>
                <w:color w:val="auto"/>
              </w:rPr>
              <w:t>ate of compensation increase</w:t>
            </w:r>
          </w:p>
        </w:tc>
        <w:tc>
          <w:tcPr>
            <w:tcW w:w="26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4.00</w:t>
            </w:r>
          </w:p>
        </w:tc>
        <w:tc>
          <w:tcPr>
            <w:tcW w:w="26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4.00</w:t>
            </w:r>
          </w:p>
        </w:tc>
        <w:tc>
          <w:tcPr>
            <w:tcW w:w="260" w:type="dxa"/>
            <w:vAlign w:val="bottom"/>
            <w:tcBorders>
              <w:bottom w:val="single" w:sz="8" w:color="auto"/>
            </w:tcBorders>
            <w:shd w:val="clear" w:color="auto" w:fill="FEFEFE"/>
          </w:tcPr>
          <w:p>
            <w:pPr>
              <w:spacing w:after="0"/>
              <w:rPr>
                <w:sz w:val="24"/>
                <w:szCs w:val="24"/>
                <w:color w:val="auto"/>
              </w:rPr>
            </w:pPr>
          </w:p>
        </w:tc>
        <w:tc>
          <w:tcPr>
            <w:tcW w:w="800" w:type="dxa"/>
            <w:vAlign w:val="bottom"/>
            <w:tcBorders>
              <w:bottom w:val="single" w:sz="8" w:color="auto"/>
            </w:tcBorders>
            <w:shd w:val="clear" w:color="auto" w:fill="FEFEFE"/>
          </w:tcPr>
          <w:p>
            <w:pPr>
              <w:jc w:val="right"/>
              <w:ind w:right="140"/>
              <w:spacing w:after="0"/>
              <w:rPr>
                <w:sz w:val="20"/>
                <w:szCs w:val="20"/>
                <w:color w:val="auto"/>
              </w:rPr>
            </w:pPr>
            <w:r>
              <w:rPr>
                <w:rFonts w:ascii="Arial" w:cs="Arial" w:eastAsia="Arial" w:hAnsi="Arial"/>
                <w:sz w:val="20"/>
                <w:szCs w:val="20"/>
                <w:color w:val="auto"/>
              </w:rPr>
              <w:t>4.00</w:t>
            </w:r>
          </w:p>
        </w:tc>
        <w:tc>
          <w:tcPr>
            <w:tcW w:w="280" w:type="dxa"/>
            <w:vAlign w:val="bottom"/>
            <w:tcBorders>
              <w:bottom w:val="single" w:sz="8" w:color="auto"/>
            </w:tcBorders>
            <w:shd w:val="clear" w:color="auto" w:fill="FEFEFE"/>
          </w:tcPr>
          <w:p>
            <w:pPr>
              <w:spacing w:after="0"/>
              <w:rPr>
                <w:sz w:val="24"/>
                <w:szCs w:val="24"/>
                <w:color w:val="auto"/>
              </w:rPr>
            </w:pPr>
          </w:p>
        </w:tc>
        <w:tc>
          <w:tcPr>
            <w:tcW w:w="88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4.00</w:t>
            </w:r>
          </w:p>
        </w:tc>
        <w:tc>
          <w:tcPr>
            <w:tcW w:w="260" w:type="dxa"/>
            <w:vAlign w:val="bottom"/>
            <w:tcBorders>
              <w:bottom w:val="single" w:sz="8" w:color="auto"/>
            </w:tcBorders>
            <w:shd w:val="clear" w:color="auto" w:fill="FEFEFE"/>
          </w:tcPr>
          <w:p>
            <w:pPr>
              <w:spacing w:after="0"/>
              <w:rPr>
                <w:sz w:val="24"/>
                <w:szCs w:val="24"/>
                <w:color w:val="auto"/>
              </w:rPr>
            </w:pPr>
          </w:p>
        </w:tc>
        <w:tc>
          <w:tcPr>
            <w:tcW w:w="860" w:type="dxa"/>
            <w:vAlign w:val="bottom"/>
            <w:tcBorders>
              <w:bottom w:val="single" w:sz="8" w:color="auto"/>
            </w:tcBorders>
            <w:shd w:val="clear" w:color="auto" w:fill="FEFEFE"/>
          </w:tcPr>
          <w:p>
            <w:pPr>
              <w:jc w:val="right"/>
              <w:ind w:right="180"/>
              <w:spacing w:after="0"/>
              <w:rPr>
                <w:sz w:val="20"/>
                <w:szCs w:val="20"/>
                <w:color w:val="auto"/>
              </w:rPr>
            </w:pPr>
            <w:r>
              <w:rPr>
                <w:rFonts w:ascii="Arial" w:cs="Arial" w:eastAsia="Arial" w:hAnsi="Arial"/>
                <w:sz w:val="20"/>
                <w:szCs w:val="20"/>
                <w:color w:val="auto"/>
              </w:rPr>
              <w:t>4.00</w:t>
            </w:r>
          </w:p>
        </w:tc>
        <w:tc>
          <w:tcPr>
            <w:tcW w:w="20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spacing w:after="0" w:line="341" w:lineRule="auto"/>
        <w:rPr>
          <w:sz w:val="20"/>
          <w:szCs w:val="20"/>
          <w:color w:val="auto"/>
        </w:rPr>
      </w:pPr>
      <w:r>
        <w:rPr>
          <w:rFonts w:ascii="Arial" w:cs="Arial" w:eastAsia="Arial" w:hAnsi="Arial"/>
          <w:sz w:val="18"/>
          <w:szCs w:val="18"/>
          <w:color w:val="auto"/>
        </w:rPr>
        <w:t>TJX develops its long-term rate of return assumption by evaluating input from professional advisors taking into account the asset allocation of the portfolio and long-term asset class return expectations, as well as long-term inflation assumptions.</w:t>
      </w:r>
    </w:p>
    <w:p>
      <w:pPr>
        <w:spacing w:after="0" w:line="12" w:lineRule="exact"/>
        <w:rPr>
          <w:sz w:val="20"/>
          <w:szCs w:val="20"/>
          <w:color w:val="auto"/>
        </w:rPr>
      </w:pPr>
    </w:p>
    <w:p>
      <w:pPr>
        <w:ind w:right="800"/>
        <w:spacing w:after="0" w:line="283" w:lineRule="auto"/>
        <w:rPr>
          <w:sz w:val="20"/>
          <w:szCs w:val="20"/>
          <w:color w:val="auto"/>
        </w:rPr>
      </w:pPr>
      <w:r>
        <w:rPr>
          <w:rFonts w:ascii="Arial" w:cs="Arial" w:eastAsia="Arial" w:hAnsi="Arial"/>
          <w:sz w:val="20"/>
          <w:szCs w:val="20"/>
          <w:color w:val="auto"/>
        </w:rPr>
        <w:t>The unrecogni ed gains and losses in excess of 10 of the projected benefit obligation are amorti ed over the average remaining service life of participants.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F-28</w:t>
      </w:r>
    </w:p>
    <w:p>
      <w:pPr>
        <w:sectPr>
          <w:pgSz w:w="12240" w:h="15841" w:orient="portrait"/>
          <w:cols w:equalWidth="0" w:num="1">
            <w:col w:w="10260"/>
          </w:cols>
          <w:pgMar w:left="1000" w:top="792" w:right="981" w:bottom="0" w:gutter="0" w:footer="0" w:header="0"/>
          <w:type w:val="continuous"/>
        </w:sectPr>
      </w:pPr>
    </w:p>
    <w:bookmarkStart w:id="84" w:name="page85"/>
    <w:bookmarkEnd w:id="84"/>
    <w:p>
      <w:pPr>
        <w:ind w:left="10" w:right="160"/>
        <w:spacing w:after="0" w:line="28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 following is a schedule of the benefits expected to be paid in each of the next five fiscal years and in the aggregate for the five fiscal years thereafter:</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20" w:type="dxa"/>
            <w:vAlign w:val="bottom"/>
          </w:tcPr>
          <w:p>
            <w:pPr>
              <w:jc w:val="center"/>
              <w:ind w:right="100"/>
              <w:spacing w:after="0"/>
              <w:rPr>
                <w:sz w:val="20"/>
                <w:szCs w:val="20"/>
                <w:color w:val="auto"/>
              </w:rPr>
            </w:pPr>
            <w:r>
              <w:rPr>
                <w:rFonts w:ascii="Arial" w:cs="Arial" w:eastAsia="Arial" w:hAnsi="Arial"/>
                <w:sz w:val="20"/>
                <w:szCs w:val="20"/>
                <w:color w:val="auto"/>
                <w:w w:val="88"/>
              </w:rPr>
              <w:t>Funded Plan</w:t>
            </w:r>
          </w:p>
        </w:tc>
        <w:tc>
          <w:tcPr>
            <w:tcW w:w="26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20"/>
                <w:szCs w:val="20"/>
                <w:color w:val="auto"/>
                <w:w w:val="94"/>
              </w:rPr>
              <w:t>nfunded Plan</w:t>
            </w:r>
          </w:p>
        </w:tc>
      </w:tr>
      <w:tr>
        <w:trPr>
          <w:trHeight w:val="200"/>
        </w:trPr>
        <w:tc>
          <w:tcPr>
            <w:tcW w:w="4480" w:type="dxa"/>
            <w:vAlign w:val="bottom"/>
          </w:tcPr>
          <w:p>
            <w:pPr>
              <w:spacing w:after="0"/>
              <w:rPr>
                <w:sz w:val="17"/>
                <w:szCs w:val="17"/>
                <w:color w:val="auto"/>
              </w:rPr>
            </w:pPr>
          </w:p>
        </w:tc>
        <w:tc>
          <w:tcPr>
            <w:tcW w:w="4180" w:type="dxa"/>
            <w:vAlign w:val="bottom"/>
            <w:gridSpan w:val="2"/>
          </w:tcPr>
          <w:p>
            <w:pPr>
              <w:jc w:val="center"/>
              <w:ind w:left="2500"/>
              <w:spacing w:after="0" w:line="200" w:lineRule="exact"/>
              <w:rPr>
                <w:sz w:val="20"/>
                <w:szCs w:val="20"/>
                <w:color w:val="auto"/>
              </w:rPr>
            </w:pPr>
            <w:r>
              <w:rPr>
                <w:rFonts w:ascii="Arial" w:cs="Arial" w:eastAsia="Arial" w:hAnsi="Arial"/>
                <w:sz w:val="20"/>
                <w:szCs w:val="20"/>
                <w:color w:val="auto"/>
                <w:w w:val="91"/>
              </w:rPr>
              <w:t>Expected Benefit</w:t>
            </w:r>
          </w:p>
        </w:tc>
        <w:tc>
          <w:tcPr>
            <w:tcW w:w="1580" w:type="dxa"/>
            <w:vAlign w:val="bottom"/>
            <w:gridSpan w:val="2"/>
          </w:tcPr>
          <w:p>
            <w:pPr>
              <w:ind w:left="80"/>
              <w:spacing w:after="0" w:line="200" w:lineRule="exact"/>
              <w:rPr>
                <w:sz w:val="20"/>
                <w:szCs w:val="20"/>
                <w:color w:val="auto"/>
              </w:rPr>
            </w:pPr>
            <w:r>
              <w:rPr>
                <w:rFonts w:ascii="Arial" w:cs="Arial" w:eastAsia="Arial" w:hAnsi="Arial"/>
                <w:sz w:val="20"/>
                <w:szCs w:val="20"/>
                <w:color w:val="auto"/>
                <w:w w:val="97"/>
              </w:rPr>
              <w:t>Expected Benefit</w:t>
            </w:r>
          </w:p>
        </w:tc>
      </w:tr>
      <w:tr>
        <w:trPr>
          <w:trHeight w:val="263"/>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8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20"/>
                <w:szCs w:val="20"/>
                <w:color w:val="auto"/>
                <w:w w:val="87"/>
              </w:rPr>
              <w:t>Payments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color w:val="auto"/>
              </w:rPr>
              <w:t>Payments</w:t>
            </w:r>
          </w:p>
        </w:tc>
      </w:tr>
      <w:tr>
        <w:trPr>
          <w:trHeight w:val="275"/>
        </w:trPr>
        <w:tc>
          <w:tcPr>
            <w:tcW w:w="4480" w:type="dxa"/>
            <w:vAlign w:val="bottom"/>
            <w:shd w:val="clear" w:color="auto" w:fill="E4E4E4"/>
          </w:tcPr>
          <w:p>
            <w:pPr>
              <w:ind w:left="40"/>
              <w:spacing w:after="0"/>
              <w:rPr>
                <w:sz w:val="20"/>
                <w:szCs w:val="20"/>
                <w:color w:val="auto"/>
              </w:rPr>
            </w:pPr>
            <w:r>
              <w:rPr>
                <w:rFonts w:ascii="Arial" w:cs="Arial" w:eastAsia="Arial" w:hAnsi="Arial"/>
                <w:sz w:val="20"/>
                <w:szCs w:val="20"/>
                <w:color w:val="auto"/>
              </w:rPr>
              <w:t>Fiscal Year:</w:t>
            </w:r>
          </w:p>
        </w:tc>
        <w:tc>
          <w:tcPr>
            <w:tcW w:w="2860" w:type="dxa"/>
            <w:vAlign w:val="bottom"/>
            <w:shd w:val="clear" w:color="auto" w:fill="E4E4E4"/>
          </w:tcPr>
          <w:p>
            <w:pPr>
              <w:spacing w:after="0"/>
              <w:rPr>
                <w:sz w:val="23"/>
                <w:szCs w:val="23"/>
                <w:color w:val="auto"/>
              </w:rPr>
            </w:pPr>
          </w:p>
        </w:tc>
        <w:tc>
          <w:tcPr>
            <w:tcW w:w="1320" w:type="dxa"/>
            <w:vAlign w:val="bottom"/>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1320" w:type="dxa"/>
            <w:vAlign w:val="bottom"/>
            <w:shd w:val="clear" w:color="auto" w:fill="E4E4E4"/>
          </w:tcPr>
          <w:p>
            <w:pPr>
              <w:spacing w:after="0"/>
              <w:rPr>
                <w:sz w:val="23"/>
                <w:szCs w:val="23"/>
                <w:color w:val="auto"/>
              </w:rPr>
            </w:pPr>
          </w:p>
        </w:tc>
      </w:tr>
      <w:tr>
        <w:trPr>
          <w:trHeight w:val="279"/>
        </w:trPr>
        <w:tc>
          <w:tcPr>
            <w:tcW w:w="448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2027</w:t>
            </w:r>
          </w:p>
        </w:tc>
        <w:tc>
          <w:tcPr>
            <w:tcW w:w="28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260" w:type="dxa"/>
            <w:vAlign w:val="bottom"/>
            <w:shd w:val="clear" w:color="auto" w:fill="FEFEFE"/>
          </w:tcPr>
          <w:p>
            <w:pPr>
              <w:ind w:lef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w:t>
            </w:r>
          </w:p>
        </w:tc>
      </w:tr>
      <w:tr>
        <w:trPr>
          <w:trHeight w:val="291"/>
        </w:trPr>
        <w:tc>
          <w:tcPr>
            <w:tcW w:w="448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2028</w:t>
            </w:r>
          </w:p>
        </w:tc>
        <w:tc>
          <w:tcPr>
            <w:tcW w:w="2860" w:type="dxa"/>
            <w:vAlign w:val="bottom"/>
            <w:shd w:val="clear" w:color="auto" w:fill="E4E4E4"/>
          </w:tcPr>
          <w:p>
            <w:pPr>
              <w:spacing w:after="0"/>
              <w:rPr>
                <w:sz w:val="24"/>
                <w:szCs w:val="24"/>
                <w:color w:val="auto"/>
              </w:rPr>
            </w:pPr>
          </w:p>
        </w:tc>
        <w:tc>
          <w:tcPr>
            <w:tcW w:w="13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w:t>
            </w:r>
          </w:p>
        </w:tc>
        <w:tc>
          <w:tcPr>
            <w:tcW w:w="260" w:type="dxa"/>
            <w:vAlign w:val="bottom"/>
            <w:shd w:val="clear" w:color="auto" w:fill="E4E4E4"/>
          </w:tcPr>
          <w:p>
            <w:pPr>
              <w:spacing w:after="0"/>
              <w:rPr>
                <w:sz w:val="24"/>
                <w:szCs w:val="24"/>
                <w:color w:val="auto"/>
              </w:rPr>
            </w:pPr>
          </w:p>
        </w:tc>
        <w:tc>
          <w:tcPr>
            <w:tcW w:w="13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w:t>
            </w:r>
          </w:p>
        </w:tc>
      </w:tr>
      <w:tr>
        <w:trPr>
          <w:trHeight w:val="279"/>
        </w:trPr>
        <w:tc>
          <w:tcPr>
            <w:tcW w:w="448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w:t>
            </w:r>
          </w:p>
        </w:tc>
        <w:tc>
          <w:tcPr>
            <w:tcW w:w="286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100</w:t>
            </w:r>
          </w:p>
        </w:tc>
        <w:tc>
          <w:tcPr>
            <w:tcW w:w="26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54</w:t>
            </w:r>
          </w:p>
        </w:tc>
      </w:tr>
      <w:tr>
        <w:trPr>
          <w:trHeight w:val="291"/>
        </w:trPr>
        <w:tc>
          <w:tcPr>
            <w:tcW w:w="448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2030</w:t>
            </w:r>
          </w:p>
        </w:tc>
        <w:tc>
          <w:tcPr>
            <w:tcW w:w="2860" w:type="dxa"/>
            <w:vAlign w:val="bottom"/>
            <w:shd w:val="clear" w:color="auto" w:fill="E4E4E4"/>
          </w:tcPr>
          <w:p>
            <w:pPr>
              <w:spacing w:after="0"/>
              <w:rPr>
                <w:sz w:val="24"/>
                <w:szCs w:val="24"/>
                <w:color w:val="auto"/>
              </w:rPr>
            </w:pPr>
          </w:p>
        </w:tc>
        <w:tc>
          <w:tcPr>
            <w:tcW w:w="13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103</w:t>
            </w:r>
          </w:p>
        </w:tc>
        <w:tc>
          <w:tcPr>
            <w:tcW w:w="260" w:type="dxa"/>
            <w:vAlign w:val="bottom"/>
            <w:shd w:val="clear" w:color="auto" w:fill="E4E4E4"/>
          </w:tcPr>
          <w:p>
            <w:pPr>
              <w:spacing w:after="0"/>
              <w:rPr>
                <w:sz w:val="24"/>
                <w:szCs w:val="24"/>
                <w:color w:val="auto"/>
              </w:rPr>
            </w:pPr>
          </w:p>
        </w:tc>
        <w:tc>
          <w:tcPr>
            <w:tcW w:w="1320" w:type="dxa"/>
            <w:vAlign w:val="bottom"/>
            <w:shd w:val="clear" w:color="auto" w:fill="E4E4E4"/>
          </w:tcPr>
          <w:p>
            <w:pPr>
              <w:spacing w:after="0"/>
              <w:rPr>
                <w:sz w:val="24"/>
                <w:szCs w:val="24"/>
                <w:color w:val="auto"/>
              </w:rPr>
            </w:pPr>
          </w:p>
        </w:tc>
      </w:tr>
      <w:tr>
        <w:trPr>
          <w:trHeight w:val="279"/>
        </w:trPr>
        <w:tc>
          <w:tcPr>
            <w:tcW w:w="448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2031</w:t>
            </w:r>
          </w:p>
        </w:tc>
        <w:tc>
          <w:tcPr>
            <w:tcW w:w="286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105</w:t>
            </w:r>
          </w:p>
        </w:tc>
        <w:tc>
          <w:tcPr>
            <w:tcW w:w="260" w:type="dxa"/>
            <w:vAlign w:val="bottom"/>
            <w:shd w:val="clear" w:color="auto" w:fill="FEFEFE"/>
          </w:tcPr>
          <w:p>
            <w:pPr>
              <w:spacing w:after="0"/>
              <w:rPr>
                <w:sz w:val="24"/>
                <w:szCs w:val="24"/>
                <w:color w:val="auto"/>
              </w:rPr>
            </w:pPr>
          </w:p>
        </w:tc>
        <w:tc>
          <w:tcPr>
            <w:tcW w:w="13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4480" w:type="dxa"/>
            <w:vAlign w:val="bottom"/>
            <w:tcBorders>
              <w:bottom w:val="single" w:sz="8" w:color="auto"/>
            </w:tcBorders>
            <w:shd w:val="clear" w:color="auto" w:fill="E4E4E4"/>
          </w:tcPr>
          <w:p>
            <w:pPr>
              <w:ind w:left="280"/>
              <w:spacing w:after="0"/>
              <w:rPr>
                <w:sz w:val="20"/>
                <w:szCs w:val="20"/>
                <w:color w:val="auto"/>
              </w:rPr>
            </w:pPr>
            <w:r>
              <w:rPr>
                <w:rFonts w:ascii="Arial" w:cs="Arial" w:eastAsia="Arial" w:hAnsi="Arial"/>
                <w:sz w:val="20"/>
                <w:szCs w:val="20"/>
                <w:color w:val="auto"/>
              </w:rPr>
              <w:t>2032 through 2036</w:t>
            </w:r>
          </w:p>
        </w:tc>
        <w:tc>
          <w:tcPr>
            <w:tcW w:w="2860" w:type="dxa"/>
            <w:vAlign w:val="bottom"/>
            <w:tcBorders>
              <w:bottom w:val="single" w:sz="8" w:color="auto"/>
            </w:tcBorders>
            <w:shd w:val="clear" w:color="auto" w:fill="E4E4E4"/>
          </w:tcPr>
          <w:p>
            <w:pPr>
              <w:spacing w:after="0"/>
              <w:rPr>
                <w:sz w:val="24"/>
                <w:szCs w:val="24"/>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548</w:t>
            </w:r>
          </w:p>
        </w:tc>
        <w:tc>
          <w:tcPr>
            <w:tcW w:w="260" w:type="dxa"/>
            <w:vAlign w:val="bottom"/>
            <w:tcBorders>
              <w:bottom w:val="single" w:sz="8" w:color="auto"/>
            </w:tcBorders>
            <w:shd w:val="clear" w:color="auto" w:fill="E4E4E4"/>
          </w:tcPr>
          <w:p>
            <w:pPr>
              <w:spacing w:after="0"/>
              <w:rPr>
                <w:sz w:val="24"/>
                <w:szCs w:val="24"/>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45</w:t>
            </w:r>
          </w:p>
        </w:tc>
      </w:tr>
    </w:tbl>
    <w:p>
      <w:pPr>
        <w:spacing w:after="0" w:line="147"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following tables present the fair value hierarchy for pension assets measured at fair value on a recurring basis: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20"/>
                <w:szCs w:val="20"/>
                <w:color w:val="auto"/>
                <w:w w:val="88"/>
              </w:rPr>
              <w:t>Funded Plan at January 31, 2026</w:t>
            </w:r>
          </w:p>
        </w:tc>
      </w:tr>
      <w:tr>
        <w:trPr>
          <w:trHeight w:val="28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Level 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Level 2</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Total</w:t>
            </w:r>
          </w:p>
        </w:tc>
      </w:tr>
      <w:tr>
        <w:trPr>
          <w:trHeight w:val="270"/>
        </w:trPr>
        <w:tc>
          <w:tcPr>
            <w:tcW w:w="6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Asset category:</w:t>
            </w:r>
          </w:p>
        </w:tc>
        <w:tc>
          <w:tcPr>
            <w:tcW w:w="260" w:type="dxa"/>
            <w:vAlign w:val="bottom"/>
            <w:tcBorders>
              <w:bottom w:val="single" w:sz="8" w:color="E4E4E4"/>
            </w:tcBorders>
            <w:shd w:val="clear" w:color="auto" w:fill="E4E4E4"/>
          </w:tcPr>
          <w:p>
            <w:pPr>
              <w:spacing w:after="0"/>
              <w:rPr>
                <w:sz w:val="23"/>
                <w:szCs w:val="23"/>
                <w:color w:val="auto"/>
              </w:rPr>
            </w:pPr>
          </w:p>
        </w:tc>
        <w:tc>
          <w:tcPr>
            <w:tcW w:w="104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82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spacing w:after="0"/>
              <w:rPr>
                <w:sz w:val="23"/>
                <w:szCs w:val="23"/>
                <w:color w:val="auto"/>
              </w:rPr>
            </w:pPr>
          </w:p>
        </w:tc>
        <w:tc>
          <w:tcPr>
            <w:tcW w:w="320" w:type="dxa"/>
            <w:vAlign w:val="bottom"/>
            <w:tcBorders>
              <w:bottom w:val="single" w:sz="8" w:color="E4E4E4"/>
            </w:tcBorders>
            <w:shd w:val="clear" w:color="auto" w:fill="E4E4E4"/>
          </w:tcPr>
          <w:p>
            <w:pPr>
              <w:spacing w:after="0"/>
              <w:rPr>
                <w:sz w:val="23"/>
                <w:szCs w:val="23"/>
                <w:color w:val="auto"/>
              </w:rPr>
            </w:pPr>
          </w:p>
        </w:tc>
        <w:tc>
          <w:tcPr>
            <w:tcW w:w="1020" w:type="dxa"/>
            <w:vAlign w:val="bottom"/>
            <w:tcBorders>
              <w:bottom w:val="single" w:sz="8" w:color="E4E4E4"/>
            </w:tcBorders>
            <w:shd w:val="clear" w:color="auto" w:fill="E4E4E4"/>
          </w:tcPr>
          <w:p>
            <w:pPr>
              <w:spacing w:after="0"/>
              <w:rPr>
                <w:sz w:val="23"/>
                <w:szCs w:val="23"/>
                <w:color w:val="auto"/>
              </w:rPr>
            </w:pPr>
          </w:p>
        </w:tc>
      </w:tr>
      <w:tr>
        <w:trPr>
          <w:trHeight w:val="293"/>
        </w:trPr>
        <w:tc>
          <w:tcPr>
            <w:tcW w:w="6280" w:type="dxa"/>
            <w:vAlign w:val="bottom"/>
            <w:shd w:val="clear" w:color="auto" w:fill="FEFEFE"/>
          </w:tcPr>
          <w:p>
            <w:pPr>
              <w:ind w:left="260"/>
              <w:spacing w:after="0"/>
              <w:rPr>
                <w:sz w:val="20"/>
                <w:szCs w:val="20"/>
                <w:color w:val="auto"/>
              </w:rPr>
            </w:pPr>
            <w:r>
              <w:rPr>
                <w:rFonts w:ascii="Arial" w:cs="Arial" w:eastAsia="Arial" w:hAnsi="Arial"/>
                <w:sz w:val="20"/>
                <w:szCs w:val="20"/>
                <w:color w:val="auto"/>
              </w:rPr>
              <w:t>Short-term investments</w:t>
            </w:r>
          </w:p>
        </w:tc>
        <w:tc>
          <w:tcPr>
            <w:tcW w:w="26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w:t>
            </w:r>
          </w:p>
        </w:tc>
        <w:tc>
          <w:tcPr>
            <w:tcW w:w="28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32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w:t>
            </w:r>
          </w:p>
        </w:tc>
      </w:tr>
      <w:tr>
        <w:trPr>
          <w:trHeight w:val="307"/>
        </w:trPr>
        <w:tc>
          <w:tcPr>
            <w:tcW w:w="6280" w:type="dxa"/>
            <w:vAlign w:val="bottom"/>
            <w:shd w:val="clear" w:color="auto" w:fill="E4E4E4"/>
          </w:tcPr>
          <w:p>
            <w:pPr>
              <w:ind w:left="260"/>
              <w:spacing w:after="0"/>
              <w:rPr>
                <w:sz w:val="20"/>
                <w:szCs w:val="20"/>
                <w:color w:val="auto"/>
              </w:rPr>
            </w:pPr>
            <w:r>
              <w:rPr>
                <w:rFonts w:ascii="Arial" w:cs="Arial" w:eastAsia="Arial" w:hAnsi="Arial"/>
                <w:sz w:val="20"/>
                <w:szCs w:val="20"/>
                <w:color w:val="auto"/>
              </w:rPr>
              <w:t>E uity Securities</w:t>
            </w:r>
          </w:p>
        </w:tc>
        <w:tc>
          <w:tcPr>
            <w:tcW w:w="260" w:type="dxa"/>
            <w:vAlign w:val="bottom"/>
            <w:shd w:val="clear" w:color="auto" w:fill="E4E4E4"/>
          </w:tcPr>
          <w:p>
            <w:pPr>
              <w:spacing w:after="0"/>
              <w:rPr>
                <w:sz w:val="24"/>
                <w:szCs w:val="24"/>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41</w:t>
            </w:r>
          </w:p>
        </w:tc>
        <w:tc>
          <w:tcPr>
            <w:tcW w:w="280" w:type="dxa"/>
            <w:vAlign w:val="bottom"/>
            <w:shd w:val="clear" w:color="auto" w:fill="E4E4E4"/>
          </w:tcPr>
          <w:p>
            <w:pPr>
              <w:spacing w:after="0"/>
              <w:rPr>
                <w:sz w:val="24"/>
                <w:szCs w:val="24"/>
                <w:color w:val="auto"/>
              </w:rPr>
            </w:pPr>
          </w:p>
        </w:tc>
        <w:tc>
          <w:tcPr>
            <w:tcW w:w="82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320" w:type="dxa"/>
            <w:vAlign w:val="bottom"/>
            <w:shd w:val="clear" w:color="auto" w:fill="E4E4E4"/>
          </w:tcPr>
          <w:p>
            <w:pPr>
              <w:spacing w:after="0"/>
              <w:rPr>
                <w:sz w:val="24"/>
                <w:szCs w:val="24"/>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6280" w:type="dxa"/>
            <w:vAlign w:val="bottom"/>
            <w:tcBorders>
              <w:bottom w:val="single" w:sz="8" w:color="FEFEFE"/>
            </w:tcBorders>
            <w:shd w:val="clear" w:color="auto" w:fill="FEFEFE"/>
          </w:tcPr>
          <w:p>
            <w:pPr>
              <w:ind w:left="260"/>
              <w:spacing w:after="0"/>
              <w:rPr>
                <w:sz w:val="20"/>
                <w:szCs w:val="20"/>
                <w:color w:val="auto"/>
              </w:rPr>
            </w:pPr>
            <w:r>
              <w:rPr>
                <w:rFonts w:ascii="Arial" w:cs="Arial" w:eastAsia="Arial" w:hAnsi="Arial"/>
                <w:sz w:val="20"/>
                <w:szCs w:val="20"/>
                <w:color w:val="auto"/>
              </w:rPr>
              <w:t>Fixed Income Securities:</w:t>
            </w:r>
          </w:p>
        </w:tc>
        <w:tc>
          <w:tcPr>
            <w:tcW w:w="260" w:type="dxa"/>
            <w:vAlign w:val="bottom"/>
            <w:tcBorders>
              <w:bottom w:val="single" w:sz="8" w:color="FEFEFE"/>
            </w:tcBorders>
            <w:shd w:val="clear" w:color="auto" w:fill="FEFEFE"/>
          </w:tcPr>
          <w:p>
            <w:pPr>
              <w:spacing w:after="0"/>
              <w:rPr>
                <w:sz w:val="24"/>
                <w:szCs w:val="24"/>
                <w:color w:val="auto"/>
              </w:rPr>
            </w:pPr>
          </w:p>
        </w:tc>
        <w:tc>
          <w:tcPr>
            <w:tcW w:w="1040" w:type="dxa"/>
            <w:vAlign w:val="bottom"/>
            <w:tcBorders>
              <w:bottom w:val="single" w:sz="8" w:color="FEFEFE"/>
            </w:tcBorders>
            <w:shd w:val="clear" w:color="auto" w:fill="FEFEFE"/>
          </w:tcPr>
          <w:p>
            <w:pPr>
              <w:spacing w:after="0"/>
              <w:rPr>
                <w:sz w:val="24"/>
                <w:szCs w:val="24"/>
                <w:color w:val="auto"/>
              </w:rPr>
            </w:pPr>
          </w:p>
        </w:tc>
        <w:tc>
          <w:tcPr>
            <w:tcW w:w="280" w:type="dxa"/>
            <w:vAlign w:val="bottom"/>
            <w:tcBorders>
              <w:bottom w:val="single" w:sz="8" w:color="FEFEFE"/>
            </w:tcBorders>
            <w:shd w:val="clear" w:color="auto" w:fill="FEFEFE"/>
          </w:tcPr>
          <w:p>
            <w:pPr>
              <w:spacing w:after="0"/>
              <w:rPr>
                <w:sz w:val="24"/>
                <w:szCs w:val="24"/>
                <w:color w:val="auto"/>
              </w:rPr>
            </w:pPr>
          </w:p>
        </w:tc>
        <w:tc>
          <w:tcPr>
            <w:tcW w:w="820" w:type="dxa"/>
            <w:vAlign w:val="bottom"/>
            <w:tcBorders>
              <w:bottom w:val="single" w:sz="8" w:color="FEFEFE"/>
            </w:tcBorders>
            <w:shd w:val="clear" w:color="auto" w:fill="FEFEFE"/>
          </w:tcPr>
          <w:p>
            <w:pPr>
              <w:spacing w:after="0"/>
              <w:rPr>
                <w:sz w:val="24"/>
                <w:szCs w:val="24"/>
                <w:color w:val="auto"/>
              </w:rPr>
            </w:pPr>
          </w:p>
        </w:tc>
        <w:tc>
          <w:tcPr>
            <w:tcW w:w="220" w:type="dxa"/>
            <w:vAlign w:val="bottom"/>
            <w:tcBorders>
              <w:bottom w:val="single" w:sz="8" w:color="FEFEFE"/>
            </w:tcBorders>
            <w:shd w:val="clear" w:color="auto" w:fill="FEFEFE"/>
          </w:tcPr>
          <w:p>
            <w:pPr>
              <w:spacing w:after="0"/>
              <w:rPr>
                <w:sz w:val="24"/>
                <w:szCs w:val="24"/>
                <w:color w:val="auto"/>
              </w:rPr>
            </w:pPr>
          </w:p>
        </w:tc>
        <w:tc>
          <w:tcPr>
            <w:tcW w:w="320" w:type="dxa"/>
            <w:vAlign w:val="bottom"/>
            <w:tcBorders>
              <w:bottom w:val="single" w:sz="8" w:color="FEFEFE"/>
            </w:tcBorders>
            <w:shd w:val="clear" w:color="auto" w:fill="FEFEFE"/>
          </w:tcPr>
          <w:p>
            <w:pPr>
              <w:spacing w:after="0"/>
              <w:rPr>
                <w:sz w:val="24"/>
                <w:szCs w:val="24"/>
                <w:color w:val="auto"/>
              </w:rPr>
            </w:pPr>
          </w:p>
        </w:tc>
        <w:tc>
          <w:tcPr>
            <w:tcW w:w="1020" w:type="dxa"/>
            <w:vAlign w:val="bottom"/>
            <w:tcBorders>
              <w:bottom w:val="single" w:sz="8" w:color="FEFEFE"/>
            </w:tcBorders>
            <w:shd w:val="clear" w:color="auto" w:fill="FEFEFE"/>
          </w:tcPr>
          <w:p>
            <w:pPr>
              <w:spacing w:after="0"/>
              <w:rPr>
                <w:sz w:val="24"/>
                <w:szCs w:val="24"/>
                <w:color w:val="auto"/>
              </w:rPr>
            </w:pPr>
          </w:p>
        </w:tc>
      </w:tr>
      <w:tr>
        <w:trPr>
          <w:trHeight w:val="300"/>
        </w:trPr>
        <w:tc>
          <w:tcPr>
            <w:tcW w:w="6280" w:type="dxa"/>
            <w:vAlign w:val="bottom"/>
            <w:shd w:val="clear" w:color="auto" w:fill="E4E4E4"/>
          </w:tcPr>
          <w:p>
            <w:pPr>
              <w:ind w:left="400"/>
              <w:spacing w:after="0"/>
              <w:rPr>
                <w:sz w:val="20"/>
                <w:szCs w:val="20"/>
                <w:color w:val="auto"/>
              </w:rPr>
            </w:pPr>
            <w:r>
              <w:rPr>
                <w:rFonts w:ascii="Arial" w:cs="Arial" w:eastAsia="Arial" w:hAnsi="Arial"/>
                <w:sz w:val="20"/>
                <w:szCs w:val="20"/>
                <w:color w:val="auto"/>
              </w:rPr>
              <w:t>Corporate and government bond funds</w:t>
            </w:r>
          </w:p>
        </w:tc>
        <w:tc>
          <w:tcPr>
            <w:tcW w:w="260" w:type="dxa"/>
            <w:vAlign w:val="bottom"/>
            <w:shd w:val="clear" w:color="auto" w:fill="E4E4E4"/>
          </w:tcPr>
          <w:p>
            <w:pPr>
              <w:spacing w:after="0"/>
              <w:rPr>
                <w:sz w:val="24"/>
                <w:szCs w:val="24"/>
                <w:color w:val="auto"/>
              </w:rPr>
            </w:pPr>
          </w:p>
        </w:tc>
        <w:tc>
          <w:tcPr>
            <w:tcW w:w="10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1,134</w:t>
            </w:r>
          </w:p>
        </w:tc>
        <w:tc>
          <w:tcPr>
            <w:tcW w:w="320" w:type="dxa"/>
            <w:vAlign w:val="bottom"/>
            <w:shd w:val="clear" w:color="auto" w:fill="E4E4E4"/>
          </w:tcPr>
          <w:p>
            <w:pPr>
              <w:spacing w:after="0"/>
              <w:rPr>
                <w:sz w:val="24"/>
                <w:szCs w:val="24"/>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1,134</w:t>
            </w:r>
          </w:p>
        </w:tc>
      </w:tr>
      <w:tr>
        <w:trPr>
          <w:trHeight w:val="290"/>
        </w:trPr>
        <w:tc>
          <w:tcPr>
            <w:tcW w:w="628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Futures Contracts</w:t>
            </w:r>
          </w:p>
        </w:tc>
        <w:tc>
          <w:tcPr>
            <w:tcW w:w="260" w:type="dxa"/>
            <w:vAlign w:val="bottom"/>
            <w:tcBorders>
              <w:bottom w:val="single" w:sz="8" w:color="auto"/>
            </w:tcBorders>
            <w:shd w:val="clear" w:color="auto" w:fill="FEFEFE"/>
          </w:tcPr>
          <w:p>
            <w:pPr>
              <w:spacing w:after="0"/>
              <w:rPr>
                <w:sz w:val="24"/>
                <w:szCs w:val="24"/>
                <w:color w:val="auto"/>
              </w:rPr>
            </w:pPr>
          </w:p>
        </w:tc>
        <w:tc>
          <w:tcPr>
            <w:tcW w:w="104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c>
          <w:tcPr>
            <w:tcW w:w="320" w:type="dxa"/>
            <w:vAlign w:val="bottom"/>
            <w:tcBorders>
              <w:bottom w:val="single" w:sz="8" w:color="auto"/>
            </w:tcBorders>
            <w:shd w:val="clear" w:color="auto" w:fill="FEFEFE"/>
          </w:tcPr>
          <w:p>
            <w:pPr>
              <w:spacing w:after="0"/>
              <w:rPr>
                <w:sz w:val="24"/>
                <w:szCs w:val="24"/>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6280" w:type="dxa"/>
            <w:vAlign w:val="bottom"/>
            <w:tcBorders>
              <w:bottom w:val="single" w:sz="8" w:color="auto"/>
            </w:tcBorders>
            <w:shd w:val="clear" w:color="auto" w:fill="E4E4E4"/>
          </w:tcPr>
          <w:p>
            <w:pPr>
              <w:ind w:left="400"/>
              <w:spacing w:after="0"/>
              <w:rPr>
                <w:sz w:val="20"/>
                <w:szCs w:val="20"/>
                <w:color w:val="auto"/>
              </w:rPr>
            </w:pPr>
            <w:r>
              <w:rPr>
                <w:rFonts w:ascii="Arial" w:cs="Arial" w:eastAsia="Arial" w:hAnsi="Arial"/>
                <w:sz w:val="20"/>
                <w:szCs w:val="20"/>
                <w:color w:val="auto"/>
              </w:rPr>
              <w:t>Total assets in the fair value hierarchy</w:t>
            </w:r>
          </w:p>
        </w:tc>
        <w:tc>
          <w:tcPr>
            <w:tcW w:w="2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58</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1,135</w:t>
            </w:r>
          </w:p>
        </w:tc>
        <w:tc>
          <w:tcPr>
            <w:tcW w:w="32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1,193</w:t>
            </w:r>
          </w:p>
        </w:tc>
      </w:tr>
      <w:tr>
        <w:trPr>
          <w:trHeight w:val="280"/>
        </w:trPr>
        <w:tc>
          <w:tcPr>
            <w:tcW w:w="628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Assets measured at net asset value</w:t>
            </w:r>
            <w:r>
              <w:rPr>
                <w:rFonts w:ascii="Arial" w:cs="Arial" w:eastAsia="Arial" w:hAnsi="Arial"/>
                <w:sz w:val="13"/>
                <w:szCs w:val="13"/>
                <w:color w:val="auto"/>
              </w:rPr>
              <w:t>(a)</w:t>
            </w:r>
          </w:p>
        </w:tc>
        <w:tc>
          <w:tcPr>
            <w:tcW w:w="260" w:type="dxa"/>
            <w:vAlign w:val="bottom"/>
            <w:tcBorders>
              <w:bottom w:val="single" w:sz="8" w:color="auto"/>
            </w:tcBorders>
            <w:shd w:val="clear" w:color="auto" w:fill="FEFEFE"/>
          </w:tcPr>
          <w:p>
            <w:pPr>
              <w:spacing w:after="0"/>
              <w:rPr>
                <w:sz w:val="24"/>
                <w:szCs w:val="24"/>
                <w:color w:val="auto"/>
              </w:rPr>
            </w:pPr>
          </w:p>
        </w:tc>
        <w:tc>
          <w:tcPr>
            <w:tcW w:w="104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320" w:type="dxa"/>
            <w:vAlign w:val="bottom"/>
            <w:tcBorders>
              <w:bottom w:val="single" w:sz="8" w:color="auto"/>
            </w:tcBorders>
            <w:shd w:val="clear" w:color="auto" w:fill="FEFEFE"/>
          </w:tcPr>
          <w:p>
            <w:pPr>
              <w:spacing w:after="0"/>
              <w:rPr>
                <w:sz w:val="24"/>
                <w:szCs w:val="24"/>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330</w:t>
            </w:r>
          </w:p>
        </w:tc>
      </w:tr>
      <w:tr>
        <w:trPr>
          <w:trHeight w:val="280"/>
        </w:trPr>
        <w:tc>
          <w:tcPr>
            <w:tcW w:w="628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Fair value of assets</w:t>
            </w:r>
          </w:p>
        </w:tc>
        <w:tc>
          <w:tcPr>
            <w:tcW w:w="2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58</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20"/>
                <w:szCs w:val="20"/>
                <w:color w:val="auto"/>
              </w:rPr>
              <w:t>1,135</w:t>
            </w:r>
          </w:p>
        </w:tc>
        <w:tc>
          <w:tcPr>
            <w:tcW w:w="32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1,523</w:t>
            </w:r>
          </w:p>
        </w:tc>
      </w:tr>
      <w:tr>
        <w:trPr>
          <w:trHeight w:val="455"/>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20"/>
                <w:szCs w:val="20"/>
                <w:color w:val="auto"/>
                <w:w w:val="89"/>
              </w:rPr>
              <w:t>Funded Plan at February 1, 2025</w:t>
            </w:r>
          </w:p>
        </w:tc>
      </w:tr>
      <w:tr>
        <w:trPr>
          <w:trHeight w:val="28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color w:val="auto"/>
              </w:rPr>
              <w:t>Level 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Level 2</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Total</w:t>
            </w:r>
          </w:p>
        </w:tc>
      </w:tr>
      <w:tr>
        <w:trPr>
          <w:trHeight w:val="270"/>
        </w:trPr>
        <w:tc>
          <w:tcPr>
            <w:tcW w:w="6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Asset category:</w:t>
            </w:r>
          </w:p>
        </w:tc>
        <w:tc>
          <w:tcPr>
            <w:tcW w:w="260" w:type="dxa"/>
            <w:vAlign w:val="bottom"/>
            <w:tcBorders>
              <w:bottom w:val="single" w:sz="8" w:color="E4E4E4"/>
            </w:tcBorders>
            <w:shd w:val="clear" w:color="auto" w:fill="E4E4E4"/>
          </w:tcPr>
          <w:p>
            <w:pPr>
              <w:spacing w:after="0"/>
              <w:rPr>
                <w:sz w:val="23"/>
                <w:szCs w:val="23"/>
                <w:color w:val="auto"/>
              </w:rPr>
            </w:pPr>
          </w:p>
        </w:tc>
        <w:tc>
          <w:tcPr>
            <w:tcW w:w="1040" w:type="dxa"/>
            <w:vAlign w:val="bottom"/>
            <w:tcBorders>
              <w:bottom w:val="single" w:sz="8" w:color="E4E4E4"/>
            </w:tcBorders>
            <w:shd w:val="clear" w:color="auto" w:fill="E4E4E4"/>
          </w:tcPr>
          <w:p>
            <w:pPr>
              <w:spacing w:after="0"/>
              <w:rPr>
                <w:sz w:val="23"/>
                <w:szCs w:val="23"/>
                <w:color w:val="auto"/>
              </w:rPr>
            </w:pPr>
          </w:p>
        </w:tc>
        <w:tc>
          <w:tcPr>
            <w:tcW w:w="280" w:type="dxa"/>
            <w:vAlign w:val="bottom"/>
            <w:tcBorders>
              <w:bottom w:val="single" w:sz="8" w:color="E4E4E4"/>
            </w:tcBorders>
            <w:shd w:val="clear" w:color="auto" w:fill="E4E4E4"/>
          </w:tcPr>
          <w:p>
            <w:pPr>
              <w:spacing w:after="0"/>
              <w:rPr>
                <w:sz w:val="23"/>
                <w:szCs w:val="23"/>
                <w:color w:val="auto"/>
              </w:rPr>
            </w:pPr>
          </w:p>
        </w:tc>
        <w:tc>
          <w:tcPr>
            <w:tcW w:w="82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spacing w:after="0"/>
              <w:rPr>
                <w:sz w:val="23"/>
                <w:szCs w:val="23"/>
                <w:color w:val="auto"/>
              </w:rPr>
            </w:pPr>
          </w:p>
        </w:tc>
        <w:tc>
          <w:tcPr>
            <w:tcW w:w="320" w:type="dxa"/>
            <w:vAlign w:val="bottom"/>
            <w:tcBorders>
              <w:bottom w:val="single" w:sz="8" w:color="E4E4E4"/>
            </w:tcBorders>
            <w:shd w:val="clear" w:color="auto" w:fill="E4E4E4"/>
          </w:tcPr>
          <w:p>
            <w:pPr>
              <w:spacing w:after="0"/>
              <w:rPr>
                <w:sz w:val="23"/>
                <w:szCs w:val="23"/>
                <w:color w:val="auto"/>
              </w:rPr>
            </w:pPr>
          </w:p>
        </w:tc>
        <w:tc>
          <w:tcPr>
            <w:tcW w:w="1020" w:type="dxa"/>
            <w:vAlign w:val="bottom"/>
            <w:tcBorders>
              <w:bottom w:val="single" w:sz="8" w:color="E4E4E4"/>
            </w:tcBorders>
            <w:shd w:val="clear" w:color="auto" w:fill="E4E4E4"/>
          </w:tcPr>
          <w:p>
            <w:pPr>
              <w:spacing w:after="0"/>
              <w:rPr>
                <w:sz w:val="23"/>
                <w:szCs w:val="23"/>
                <w:color w:val="auto"/>
              </w:rPr>
            </w:pPr>
          </w:p>
        </w:tc>
      </w:tr>
      <w:tr>
        <w:trPr>
          <w:trHeight w:val="297"/>
        </w:trPr>
        <w:tc>
          <w:tcPr>
            <w:tcW w:w="6280" w:type="dxa"/>
            <w:vAlign w:val="bottom"/>
            <w:shd w:val="clear" w:color="auto" w:fill="FEFEFE"/>
          </w:tcPr>
          <w:p>
            <w:pPr>
              <w:ind w:left="260"/>
              <w:spacing w:after="0"/>
              <w:rPr>
                <w:sz w:val="20"/>
                <w:szCs w:val="20"/>
                <w:color w:val="auto"/>
              </w:rPr>
            </w:pPr>
            <w:r>
              <w:rPr>
                <w:rFonts w:ascii="Arial" w:cs="Arial" w:eastAsia="Arial" w:hAnsi="Arial"/>
                <w:sz w:val="20"/>
                <w:szCs w:val="20"/>
                <w:color w:val="auto"/>
              </w:rPr>
              <w:t>Short-term investments</w:t>
            </w:r>
          </w:p>
        </w:tc>
        <w:tc>
          <w:tcPr>
            <w:tcW w:w="26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w:t>
            </w:r>
          </w:p>
        </w:tc>
        <w:tc>
          <w:tcPr>
            <w:tcW w:w="280" w:type="dxa"/>
            <w:vAlign w:val="bottom"/>
            <w:shd w:val="clear" w:color="auto" w:fill="FEFEFE"/>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32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27</w:t>
            </w:r>
          </w:p>
        </w:tc>
      </w:tr>
      <w:tr>
        <w:trPr>
          <w:trHeight w:val="303"/>
        </w:trPr>
        <w:tc>
          <w:tcPr>
            <w:tcW w:w="6280" w:type="dxa"/>
            <w:vAlign w:val="bottom"/>
            <w:shd w:val="clear" w:color="auto" w:fill="E4E4E4"/>
          </w:tcPr>
          <w:p>
            <w:pPr>
              <w:ind w:left="260"/>
              <w:spacing w:after="0"/>
              <w:rPr>
                <w:sz w:val="20"/>
                <w:szCs w:val="20"/>
                <w:color w:val="auto"/>
              </w:rPr>
            </w:pPr>
            <w:r>
              <w:rPr>
                <w:rFonts w:ascii="Arial" w:cs="Arial" w:eastAsia="Arial" w:hAnsi="Arial"/>
                <w:sz w:val="20"/>
                <w:szCs w:val="20"/>
                <w:color w:val="auto"/>
              </w:rPr>
              <w:t>E uity Securities</w:t>
            </w:r>
          </w:p>
        </w:tc>
        <w:tc>
          <w:tcPr>
            <w:tcW w:w="260" w:type="dxa"/>
            <w:vAlign w:val="bottom"/>
            <w:shd w:val="clear" w:color="auto" w:fill="E4E4E4"/>
          </w:tcPr>
          <w:p>
            <w:pPr>
              <w:spacing w:after="0"/>
              <w:rPr>
                <w:sz w:val="24"/>
                <w:szCs w:val="24"/>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38</w:t>
            </w:r>
          </w:p>
        </w:tc>
        <w:tc>
          <w:tcPr>
            <w:tcW w:w="280" w:type="dxa"/>
            <w:vAlign w:val="bottom"/>
            <w:shd w:val="clear" w:color="auto" w:fill="E4E4E4"/>
          </w:tcPr>
          <w:p>
            <w:pPr>
              <w:spacing w:after="0"/>
              <w:rPr>
                <w:sz w:val="24"/>
                <w:szCs w:val="24"/>
                <w:color w:val="auto"/>
              </w:rPr>
            </w:pPr>
          </w:p>
        </w:tc>
        <w:tc>
          <w:tcPr>
            <w:tcW w:w="82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320" w:type="dxa"/>
            <w:vAlign w:val="bottom"/>
            <w:shd w:val="clear" w:color="auto" w:fill="E4E4E4"/>
          </w:tcPr>
          <w:p>
            <w:pPr>
              <w:spacing w:after="0"/>
              <w:rPr>
                <w:sz w:val="24"/>
                <w:szCs w:val="24"/>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38</w:t>
            </w:r>
          </w:p>
        </w:tc>
      </w:tr>
      <w:tr>
        <w:trPr>
          <w:trHeight w:val="280"/>
        </w:trPr>
        <w:tc>
          <w:tcPr>
            <w:tcW w:w="6280" w:type="dxa"/>
            <w:vAlign w:val="bottom"/>
            <w:tcBorders>
              <w:bottom w:val="single" w:sz="8" w:color="FEFEFE"/>
            </w:tcBorders>
            <w:shd w:val="clear" w:color="auto" w:fill="FEFEFE"/>
          </w:tcPr>
          <w:p>
            <w:pPr>
              <w:ind w:left="260"/>
              <w:spacing w:after="0"/>
              <w:rPr>
                <w:sz w:val="20"/>
                <w:szCs w:val="20"/>
                <w:color w:val="auto"/>
              </w:rPr>
            </w:pPr>
            <w:r>
              <w:rPr>
                <w:rFonts w:ascii="Arial" w:cs="Arial" w:eastAsia="Arial" w:hAnsi="Arial"/>
                <w:sz w:val="20"/>
                <w:szCs w:val="20"/>
                <w:color w:val="auto"/>
              </w:rPr>
              <w:t>Fixed Income Securities:</w:t>
            </w:r>
          </w:p>
        </w:tc>
        <w:tc>
          <w:tcPr>
            <w:tcW w:w="260" w:type="dxa"/>
            <w:vAlign w:val="bottom"/>
            <w:tcBorders>
              <w:bottom w:val="single" w:sz="8" w:color="FEFEFE"/>
            </w:tcBorders>
            <w:shd w:val="clear" w:color="auto" w:fill="FEFEFE"/>
          </w:tcPr>
          <w:p>
            <w:pPr>
              <w:spacing w:after="0"/>
              <w:rPr>
                <w:sz w:val="24"/>
                <w:szCs w:val="24"/>
                <w:color w:val="auto"/>
              </w:rPr>
            </w:pPr>
          </w:p>
        </w:tc>
        <w:tc>
          <w:tcPr>
            <w:tcW w:w="1040" w:type="dxa"/>
            <w:vAlign w:val="bottom"/>
            <w:tcBorders>
              <w:bottom w:val="single" w:sz="8" w:color="FEFEFE"/>
            </w:tcBorders>
            <w:shd w:val="clear" w:color="auto" w:fill="FEFEFE"/>
          </w:tcPr>
          <w:p>
            <w:pPr>
              <w:spacing w:after="0"/>
              <w:rPr>
                <w:sz w:val="24"/>
                <w:szCs w:val="24"/>
                <w:color w:val="auto"/>
              </w:rPr>
            </w:pPr>
          </w:p>
        </w:tc>
        <w:tc>
          <w:tcPr>
            <w:tcW w:w="280" w:type="dxa"/>
            <w:vAlign w:val="bottom"/>
            <w:tcBorders>
              <w:bottom w:val="single" w:sz="8" w:color="FEFEFE"/>
            </w:tcBorders>
            <w:shd w:val="clear" w:color="auto" w:fill="FEFEFE"/>
          </w:tcPr>
          <w:p>
            <w:pPr>
              <w:spacing w:after="0"/>
              <w:rPr>
                <w:sz w:val="24"/>
                <w:szCs w:val="24"/>
                <w:color w:val="auto"/>
              </w:rPr>
            </w:pPr>
          </w:p>
        </w:tc>
        <w:tc>
          <w:tcPr>
            <w:tcW w:w="820" w:type="dxa"/>
            <w:vAlign w:val="bottom"/>
            <w:tcBorders>
              <w:bottom w:val="single" w:sz="8" w:color="FEFEFE"/>
            </w:tcBorders>
            <w:shd w:val="clear" w:color="auto" w:fill="FEFEFE"/>
          </w:tcPr>
          <w:p>
            <w:pPr>
              <w:spacing w:after="0"/>
              <w:rPr>
                <w:sz w:val="24"/>
                <w:szCs w:val="24"/>
                <w:color w:val="auto"/>
              </w:rPr>
            </w:pPr>
          </w:p>
        </w:tc>
        <w:tc>
          <w:tcPr>
            <w:tcW w:w="220" w:type="dxa"/>
            <w:vAlign w:val="bottom"/>
            <w:tcBorders>
              <w:bottom w:val="single" w:sz="8" w:color="FEFEFE"/>
            </w:tcBorders>
            <w:shd w:val="clear" w:color="auto" w:fill="FEFEFE"/>
          </w:tcPr>
          <w:p>
            <w:pPr>
              <w:spacing w:after="0"/>
              <w:rPr>
                <w:sz w:val="24"/>
                <w:szCs w:val="24"/>
                <w:color w:val="auto"/>
              </w:rPr>
            </w:pPr>
          </w:p>
        </w:tc>
        <w:tc>
          <w:tcPr>
            <w:tcW w:w="320" w:type="dxa"/>
            <w:vAlign w:val="bottom"/>
            <w:tcBorders>
              <w:bottom w:val="single" w:sz="8" w:color="FEFEFE"/>
            </w:tcBorders>
            <w:shd w:val="clear" w:color="auto" w:fill="FEFEFE"/>
          </w:tcPr>
          <w:p>
            <w:pPr>
              <w:spacing w:after="0"/>
              <w:rPr>
                <w:sz w:val="24"/>
                <w:szCs w:val="24"/>
                <w:color w:val="auto"/>
              </w:rPr>
            </w:pPr>
          </w:p>
        </w:tc>
        <w:tc>
          <w:tcPr>
            <w:tcW w:w="1020" w:type="dxa"/>
            <w:vAlign w:val="bottom"/>
            <w:tcBorders>
              <w:bottom w:val="single" w:sz="8" w:color="FEFEFE"/>
            </w:tcBorders>
            <w:shd w:val="clear" w:color="auto" w:fill="FEFEFE"/>
          </w:tcPr>
          <w:p>
            <w:pPr>
              <w:spacing w:after="0"/>
              <w:rPr>
                <w:sz w:val="24"/>
                <w:szCs w:val="24"/>
                <w:color w:val="auto"/>
              </w:rPr>
            </w:pPr>
          </w:p>
        </w:tc>
      </w:tr>
      <w:tr>
        <w:trPr>
          <w:trHeight w:val="297"/>
        </w:trPr>
        <w:tc>
          <w:tcPr>
            <w:tcW w:w="6280" w:type="dxa"/>
            <w:vAlign w:val="bottom"/>
            <w:shd w:val="clear" w:color="auto" w:fill="E4E4E4"/>
          </w:tcPr>
          <w:p>
            <w:pPr>
              <w:ind w:left="400"/>
              <w:spacing w:after="0"/>
              <w:rPr>
                <w:sz w:val="20"/>
                <w:szCs w:val="20"/>
                <w:color w:val="auto"/>
              </w:rPr>
            </w:pPr>
            <w:r>
              <w:rPr>
                <w:rFonts w:ascii="Arial" w:cs="Arial" w:eastAsia="Arial" w:hAnsi="Arial"/>
                <w:sz w:val="20"/>
                <w:szCs w:val="20"/>
                <w:color w:val="auto"/>
              </w:rPr>
              <w:t>Corporate and government bond funds</w:t>
            </w:r>
          </w:p>
        </w:tc>
        <w:tc>
          <w:tcPr>
            <w:tcW w:w="260" w:type="dxa"/>
            <w:vAlign w:val="bottom"/>
            <w:shd w:val="clear" w:color="auto" w:fill="E4E4E4"/>
          </w:tcPr>
          <w:p>
            <w:pPr>
              <w:spacing w:after="0"/>
              <w:rPr>
                <w:sz w:val="24"/>
                <w:szCs w:val="24"/>
                <w:color w:val="auto"/>
              </w:rPr>
            </w:pPr>
          </w:p>
        </w:tc>
        <w:tc>
          <w:tcPr>
            <w:tcW w:w="1040" w:type="dxa"/>
            <w:vAlign w:val="bottom"/>
            <w:shd w:val="clear" w:color="auto" w:fill="E4E4E4"/>
          </w:tcPr>
          <w:p>
            <w:pPr>
              <w:spacing w:after="0"/>
              <w:rPr>
                <w:sz w:val="24"/>
                <w:szCs w:val="24"/>
                <w:color w:val="auto"/>
              </w:rPr>
            </w:pPr>
          </w:p>
        </w:tc>
        <w:tc>
          <w:tcPr>
            <w:tcW w:w="280" w:type="dxa"/>
            <w:vAlign w:val="bottom"/>
            <w:shd w:val="clear" w:color="auto" w:fill="E4E4E4"/>
          </w:tcPr>
          <w:p>
            <w:pPr>
              <w:spacing w:after="0"/>
              <w:rPr>
                <w:sz w:val="24"/>
                <w:szCs w:val="24"/>
                <w:color w:val="auto"/>
              </w:rPr>
            </w:pPr>
          </w:p>
        </w:tc>
        <w:tc>
          <w:tcPr>
            <w:tcW w:w="10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auto"/>
              </w:rPr>
              <w:t>1,0 0</w:t>
            </w:r>
          </w:p>
        </w:tc>
        <w:tc>
          <w:tcPr>
            <w:tcW w:w="320" w:type="dxa"/>
            <w:vAlign w:val="bottom"/>
            <w:shd w:val="clear" w:color="auto" w:fill="E4E4E4"/>
          </w:tcPr>
          <w:p>
            <w:pPr>
              <w:spacing w:after="0"/>
              <w:rPr>
                <w:sz w:val="24"/>
                <w:szCs w:val="24"/>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1,0 0</w:t>
            </w:r>
          </w:p>
        </w:tc>
      </w:tr>
      <w:tr>
        <w:trPr>
          <w:trHeight w:val="293"/>
        </w:trPr>
        <w:tc>
          <w:tcPr>
            <w:tcW w:w="628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Futures Contracts</w:t>
            </w:r>
          </w:p>
        </w:tc>
        <w:tc>
          <w:tcPr>
            <w:tcW w:w="260" w:type="dxa"/>
            <w:vAlign w:val="bottom"/>
            <w:tcBorders>
              <w:bottom w:val="single" w:sz="8" w:color="auto"/>
            </w:tcBorders>
            <w:shd w:val="clear" w:color="auto" w:fill="FEFEFE"/>
          </w:tcPr>
          <w:p>
            <w:pPr>
              <w:spacing w:after="0"/>
              <w:rPr>
                <w:sz w:val="24"/>
                <w:szCs w:val="24"/>
                <w:color w:val="auto"/>
              </w:rPr>
            </w:pPr>
          </w:p>
        </w:tc>
        <w:tc>
          <w:tcPr>
            <w:tcW w:w="104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auto"/>
            </w:tcBorders>
            <w:shd w:val="clear" w:color="auto" w:fill="FEFEFE"/>
          </w:tcPr>
          <w:p>
            <w:pPr>
              <w:spacing w:after="0"/>
              <w:rPr>
                <w:sz w:val="24"/>
                <w:szCs w:val="24"/>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6280" w:type="dxa"/>
            <w:vAlign w:val="bottom"/>
            <w:tcBorders>
              <w:bottom w:val="single" w:sz="8" w:color="auto"/>
            </w:tcBorders>
            <w:shd w:val="clear" w:color="auto" w:fill="E4E4E4"/>
          </w:tcPr>
          <w:p>
            <w:pPr>
              <w:ind w:left="400"/>
              <w:spacing w:after="0"/>
              <w:rPr>
                <w:sz w:val="20"/>
                <w:szCs w:val="20"/>
                <w:color w:val="auto"/>
              </w:rPr>
            </w:pPr>
            <w:r>
              <w:rPr>
                <w:rFonts w:ascii="Arial" w:cs="Arial" w:eastAsia="Arial" w:hAnsi="Arial"/>
                <w:sz w:val="20"/>
                <w:szCs w:val="20"/>
                <w:color w:val="auto"/>
              </w:rPr>
              <w:t>Total assets in the fair value hierarchy</w:t>
            </w:r>
          </w:p>
        </w:tc>
        <w:tc>
          <w:tcPr>
            <w:tcW w:w="2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65</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1,157</w:t>
            </w:r>
          </w:p>
        </w:tc>
      </w:tr>
      <w:tr>
        <w:trPr>
          <w:trHeight w:val="280"/>
        </w:trPr>
        <w:tc>
          <w:tcPr>
            <w:tcW w:w="628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Assets measured at net asset value</w:t>
            </w:r>
            <w:r>
              <w:rPr>
                <w:rFonts w:ascii="Arial" w:cs="Arial" w:eastAsia="Arial" w:hAnsi="Arial"/>
                <w:sz w:val="13"/>
                <w:szCs w:val="13"/>
                <w:color w:val="auto"/>
              </w:rPr>
              <w:t>(a)</w:t>
            </w:r>
          </w:p>
        </w:tc>
        <w:tc>
          <w:tcPr>
            <w:tcW w:w="260" w:type="dxa"/>
            <w:vAlign w:val="bottom"/>
            <w:tcBorders>
              <w:bottom w:val="single" w:sz="8" w:color="auto"/>
            </w:tcBorders>
            <w:shd w:val="clear" w:color="auto" w:fill="FEFEFE"/>
          </w:tcPr>
          <w:p>
            <w:pPr>
              <w:spacing w:after="0"/>
              <w:rPr>
                <w:sz w:val="24"/>
                <w:szCs w:val="24"/>
                <w:color w:val="auto"/>
              </w:rPr>
            </w:pPr>
          </w:p>
        </w:tc>
        <w:tc>
          <w:tcPr>
            <w:tcW w:w="1040" w:type="dxa"/>
            <w:vAlign w:val="bottom"/>
            <w:tcBorders>
              <w:bottom w:val="single" w:sz="8" w:color="auto"/>
            </w:tcBorders>
            <w:shd w:val="clear" w:color="auto" w:fill="FEFEFE"/>
          </w:tcPr>
          <w:p>
            <w:pPr>
              <w:spacing w:after="0"/>
              <w:rPr>
                <w:sz w:val="24"/>
                <w:szCs w:val="24"/>
                <w:color w:val="auto"/>
              </w:rPr>
            </w:pPr>
          </w:p>
        </w:tc>
        <w:tc>
          <w:tcPr>
            <w:tcW w:w="280" w:type="dxa"/>
            <w:vAlign w:val="bottom"/>
            <w:tcBorders>
              <w:bottom w:val="single" w:sz="8" w:color="auto"/>
            </w:tcBorders>
            <w:shd w:val="clear" w:color="auto" w:fill="FEFEFE"/>
          </w:tcPr>
          <w:p>
            <w:pPr>
              <w:spacing w:after="0"/>
              <w:rPr>
                <w:sz w:val="24"/>
                <w:szCs w:val="24"/>
                <w:color w:val="auto"/>
              </w:rPr>
            </w:pPr>
          </w:p>
        </w:tc>
        <w:tc>
          <w:tcPr>
            <w:tcW w:w="820" w:type="dxa"/>
            <w:vAlign w:val="bottom"/>
            <w:tcBorders>
              <w:bottom w:val="single" w:sz="8" w:color="auto"/>
            </w:tcBorders>
            <w:shd w:val="clear" w:color="auto" w:fill="FEFEFE"/>
          </w:tcPr>
          <w:p>
            <w:pPr>
              <w:spacing w:after="0"/>
              <w:rPr>
                <w:sz w:val="24"/>
                <w:szCs w:val="24"/>
                <w:color w:val="auto"/>
              </w:rPr>
            </w:pPr>
          </w:p>
        </w:tc>
        <w:tc>
          <w:tcPr>
            <w:tcW w:w="220" w:type="dxa"/>
            <w:vAlign w:val="bottom"/>
            <w:tcBorders>
              <w:bottom w:val="single" w:sz="8" w:color="auto"/>
            </w:tcBorders>
            <w:shd w:val="clear" w:color="auto" w:fill="FEFEFE"/>
          </w:tcPr>
          <w:p>
            <w:pPr>
              <w:spacing w:after="0"/>
              <w:rPr>
                <w:sz w:val="24"/>
                <w:szCs w:val="24"/>
                <w:color w:val="auto"/>
              </w:rPr>
            </w:pPr>
          </w:p>
        </w:tc>
        <w:tc>
          <w:tcPr>
            <w:tcW w:w="320" w:type="dxa"/>
            <w:vAlign w:val="bottom"/>
            <w:tcBorders>
              <w:bottom w:val="single" w:sz="8" w:color="auto"/>
            </w:tcBorders>
            <w:shd w:val="clear" w:color="auto" w:fill="FEFEFE"/>
          </w:tcPr>
          <w:p>
            <w:pPr>
              <w:spacing w:after="0"/>
              <w:rPr>
                <w:sz w:val="24"/>
                <w:szCs w:val="24"/>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2 3</w:t>
            </w:r>
          </w:p>
        </w:tc>
      </w:tr>
      <w:tr>
        <w:trPr>
          <w:trHeight w:val="280"/>
        </w:trPr>
        <w:tc>
          <w:tcPr>
            <w:tcW w:w="628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Fair value of assets</w:t>
            </w:r>
          </w:p>
        </w:tc>
        <w:tc>
          <w:tcPr>
            <w:tcW w:w="26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65</w:t>
            </w:r>
          </w:p>
        </w:tc>
        <w:tc>
          <w:tcPr>
            <w:tcW w:w="280" w:type="dxa"/>
            <w:vAlign w:val="bottom"/>
            <w:tcBorders>
              <w:bottom w:val="single" w:sz="8" w:color="auto"/>
            </w:tcBorders>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w:t>
            </w:r>
          </w:p>
        </w:tc>
        <w:tc>
          <w:tcPr>
            <w:tcW w:w="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1,450</w:t>
            </w:r>
          </w:p>
        </w:tc>
      </w:tr>
    </w:tbl>
    <w:p>
      <w:pPr>
        <w:spacing w:after="0" w:line="100" w:lineRule="exact"/>
        <w:rPr>
          <w:sz w:val="20"/>
          <w:szCs w:val="20"/>
          <w:color w:val="auto"/>
        </w:rPr>
      </w:pPr>
    </w:p>
    <w:p>
      <w:pPr>
        <w:jc w:val="both"/>
        <w:ind w:left="370" w:right="240" w:hanging="370"/>
        <w:spacing w:after="0" w:line="266" w:lineRule="auto"/>
        <w:tabs>
          <w:tab w:leader="none" w:pos="3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accordance with Subtopic 820-10, certain investments that were measured using net asset value per share (or its e uivalent) as a practical expedient have not been classified in the fair value hierarchy. The fair value amounts presented in this table are intended to permit reconciliation of the fair value hierarchy to the fair value of assets presented above.</w:t>
      </w:r>
    </w:p>
    <w:p>
      <w:pPr>
        <w:spacing w:after="0" w:line="72" w:lineRule="exact"/>
        <w:rPr>
          <w:sz w:val="20"/>
          <w:szCs w:val="20"/>
          <w:color w:val="auto"/>
        </w:rPr>
      </w:pPr>
    </w:p>
    <w:p>
      <w:pPr>
        <w:ind w:left="10" w:right="340"/>
        <w:spacing w:after="0" w:line="287" w:lineRule="auto"/>
        <w:rPr>
          <w:sz w:val="20"/>
          <w:szCs w:val="20"/>
          <w:color w:val="auto"/>
        </w:rPr>
      </w:pPr>
      <w:r>
        <w:rPr>
          <w:rFonts w:ascii="Arial" w:cs="Arial" w:eastAsia="Arial" w:hAnsi="Arial"/>
          <w:sz w:val="19"/>
          <w:szCs w:val="19"/>
          <w:color w:val="auto"/>
        </w:rPr>
        <w:t>Pension plan assets are reported at fair value. efer to Note F Fair alue easurements for further information on the fair value hierarchy. Investments in e uity securities traded on a national securities exchange are valued at the composite close price, as of the financial statement date. This information is provided by independent pricing sources.</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8"/>
          <w:szCs w:val="18"/>
          <w:color w:val="auto"/>
        </w:rPr>
        <w:t>Short-term investments are primarily cash related to funding of the plan which had yet to be invested as of balance sheet dates.</w:t>
      </w:r>
    </w:p>
    <w:p>
      <w:pPr>
        <w:spacing w:after="0" w:line="153" w:lineRule="exact"/>
        <w:rPr>
          <w:sz w:val="20"/>
          <w:szCs w:val="20"/>
          <w:color w:val="auto"/>
        </w:rPr>
      </w:pPr>
    </w:p>
    <w:p>
      <w:pPr>
        <w:ind w:left="10" w:right="220"/>
        <w:spacing w:after="0" w:line="294" w:lineRule="auto"/>
        <w:rPr>
          <w:sz w:val="20"/>
          <w:szCs w:val="20"/>
          <w:color w:val="auto"/>
        </w:rPr>
      </w:pPr>
      <w:r>
        <w:rPr>
          <w:rFonts w:ascii="Arial" w:cs="Arial" w:eastAsia="Arial" w:hAnsi="Arial"/>
          <w:sz w:val="18"/>
          <w:szCs w:val="18"/>
          <w:color w:val="auto"/>
        </w:rPr>
        <w:t>Certain corporate and government bonds are valued at the closing price reported in the active market in which the bond is traded. ther bonds are valued based on yields currently available on comparable securities of issuers with similar credit ratings. hen uoted prices are not available for identical or similar bonds, the bond is valued under a discounted cash flow approach that maximi es observable inputs, such as current yields of similar instruments, but includes adjustments for certain risks that may not be observable, such as credit and li uidity risks. All bonds are priced by independent pricing sources.</w:t>
      </w:r>
    </w:p>
    <w:p>
      <w:pPr>
        <w:sectPr>
          <w:pgSz w:w="12240" w:h="15841" w:orient="portrait"/>
          <w:cols w:equalWidth="0" w:num="1">
            <w:col w:w="10250"/>
          </w:cols>
          <w:pgMar w:left="990" w:top="79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0"/>
        <w:spacing w:after="0"/>
        <w:rPr>
          <w:sz w:val="20"/>
          <w:szCs w:val="20"/>
          <w:color w:val="auto"/>
        </w:rPr>
      </w:pPr>
      <w:r>
        <w:rPr>
          <w:rFonts w:ascii="Arial" w:cs="Arial" w:eastAsia="Arial" w:hAnsi="Arial"/>
          <w:sz w:val="17"/>
          <w:szCs w:val="17"/>
          <w:color w:val="auto"/>
        </w:rPr>
        <w:t>F-2</w:t>
      </w:r>
    </w:p>
    <w:p>
      <w:pPr>
        <w:sectPr>
          <w:pgSz w:w="12240" w:h="15841" w:orient="portrait"/>
          <w:cols w:equalWidth="0" w:num="1">
            <w:col w:w="10250"/>
          </w:cols>
          <w:pgMar w:left="990" w:top="792" w:right="1001" w:bottom="0" w:gutter="0" w:footer="0" w:header="0"/>
          <w:type w:val="continuous"/>
        </w:sectPr>
      </w:pPr>
    </w:p>
    <w:bookmarkStart w:id="85" w:name="page86"/>
    <w:bookmarkEnd w:id="85"/>
    <w:p>
      <w:pPr>
        <w:ind w:left="10" w:right="40"/>
        <w:spacing w:after="0" w:line="25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Assets measured at net asset value include investments in limited partnerships, which are stated at the fair value of the plan’s partnership interest based on information supplied by the partnerships as compared to financial statements of the limited partnership or other fair value information as determined by management. Cash e uivalents or short-term investments are stated at cost which approximates fair value, and the fair value of common collective trusts is determined based on net asset value as reported by their fund managers.</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19"/>
          <w:szCs w:val="19"/>
          <w:color w:val="auto"/>
        </w:rPr>
        <w:t>Following is the asset allocation under the  ualified pension plan as of the valuation date for the fiscal years presented:</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1340" w:type="dxa"/>
            <w:vAlign w:val="bottom"/>
          </w:tcPr>
          <w:p>
            <w:pPr>
              <w:jc w:val="right"/>
              <w:ind w:right="80"/>
              <w:spacing w:after="0"/>
              <w:rPr>
                <w:sz w:val="20"/>
                <w:szCs w:val="20"/>
                <w:color w:val="auto"/>
              </w:rPr>
            </w:pPr>
            <w:r>
              <w:rPr>
                <w:rFonts w:ascii="Arial" w:cs="Arial" w:eastAsia="Arial" w:hAnsi="Arial"/>
                <w:sz w:val="20"/>
                <w:szCs w:val="20"/>
                <w:color w:val="auto"/>
              </w:rPr>
              <w:t>January 31,</w:t>
            </w:r>
          </w:p>
        </w:tc>
        <w:tc>
          <w:tcPr>
            <w:tcW w:w="1300" w:type="dxa"/>
            <w:vAlign w:val="bottom"/>
          </w:tcPr>
          <w:p>
            <w:pPr>
              <w:jc w:val="right"/>
              <w:ind w:right="100"/>
              <w:spacing w:after="0"/>
              <w:rPr>
                <w:sz w:val="20"/>
                <w:szCs w:val="20"/>
                <w:color w:val="auto"/>
              </w:rPr>
            </w:pPr>
            <w:r>
              <w:rPr>
                <w:rFonts w:ascii="Arial" w:cs="Arial" w:eastAsia="Arial" w:hAnsi="Arial"/>
                <w:sz w:val="20"/>
                <w:szCs w:val="20"/>
                <w:color w:val="auto"/>
              </w:rPr>
              <w:t>February 1,</w:t>
            </w:r>
          </w:p>
        </w:tc>
      </w:tr>
      <w:tr>
        <w:trPr>
          <w:trHeight w:val="263"/>
        </w:trPr>
        <w:tc>
          <w:tcPr>
            <w:tcW w:w="7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80"/>
              <w:spacing w:after="0"/>
              <w:rPr>
                <w:sz w:val="20"/>
                <w:szCs w:val="20"/>
                <w:color w:val="auto"/>
              </w:rPr>
            </w:pPr>
            <w:r>
              <w:rPr>
                <w:rFonts w:ascii="Arial" w:cs="Arial" w:eastAsia="Arial" w:hAnsi="Arial"/>
                <w:sz w:val="20"/>
                <w:szCs w:val="20"/>
                <w:color w:val="auto"/>
              </w:rPr>
              <w:t>2026</w:t>
            </w: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75"/>
        </w:trPr>
        <w:tc>
          <w:tcPr>
            <w:tcW w:w="7620" w:type="dxa"/>
            <w:vAlign w:val="bottom"/>
            <w:shd w:val="clear" w:color="auto" w:fill="E4E4E4"/>
          </w:tcPr>
          <w:p>
            <w:pPr>
              <w:ind w:left="180"/>
              <w:spacing w:after="0"/>
              <w:rPr>
                <w:sz w:val="20"/>
                <w:szCs w:val="20"/>
                <w:color w:val="auto"/>
              </w:rPr>
            </w:pPr>
            <w:r>
              <w:rPr>
                <w:rFonts w:ascii="Arial" w:cs="Arial" w:eastAsia="Arial" w:hAnsi="Arial"/>
                <w:sz w:val="20"/>
                <w:szCs w:val="20"/>
                <w:color w:val="auto"/>
              </w:rPr>
              <w:t>eturn-seeking assets</w:t>
            </w:r>
          </w:p>
        </w:tc>
        <w:tc>
          <w:tcPr>
            <w:tcW w:w="1340" w:type="dxa"/>
            <w:vAlign w:val="bottom"/>
            <w:shd w:val="clear" w:color="auto" w:fill="E4E4E4"/>
          </w:tcPr>
          <w:p>
            <w:pPr>
              <w:jc w:val="right"/>
              <w:ind w:right="220"/>
              <w:spacing w:after="0"/>
              <w:rPr>
                <w:sz w:val="20"/>
                <w:szCs w:val="20"/>
                <w:color w:val="auto"/>
              </w:rPr>
            </w:pPr>
            <w:r>
              <w:rPr>
                <w:rFonts w:ascii="Arial" w:cs="Arial" w:eastAsia="Arial" w:hAnsi="Arial"/>
                <w:sz w:val="20"/>
                <w:szCs w:val="20"/>
                <w:color w:val="auto"/>
              </w:rPr>
              <w:t>28</w:t>
            </w:r>
          </w:p>
        </w:tc>
        <w:tc>
          <w:tcPr>
            <w:tcW w:w="130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27</w:t>
            </w:r>
          </w:p>
        </w:tc>
      </w:tr>
      <w:tr>
        <w:trPr>
          <w:trHeight w:val="279"/>
        </w:trPr>
        <w:tc>
          <w:tcPr>
            <w:tcW w:w="7620" w:type="dxa"/>
            <w:vAlign w:val="bottom"/>
          </w:tcPr>
          <w:p>
            <w:pPr>
              <w:ind w:left="40"/>
              <w:spacing w:after="0"/>
              <w:rPr>
                <w:sz w:val="20"/>
                <w:szCs w:val="20"/>
                <w:color w:val="auto"/>
              </w:rPr>
            </w:pPr>
            <w:r>
              <w:rPr>
                <w:rFonts w:ascii="Arial" w:cs="Arial" w:eastAsia="Arial" w:hAnsi="Arial"/>
                <w:sz w:val="20"/>
                <w:szCs w:val="20"/>
                <w:color w:val="auto"/>
              </w:rPr>
              <w:t>Liability-hedging assets</w:t>
            </w:r>
          </w:p>
        </w:tc>
        <w:tc>
          <w:tcPr>
            <w:tcW w:w="1340" w:type="dxa"/>
            <w:vAlign w:val="bottom"/>
          </w:tcPr>
          <w:p>
            <w:pPr>
              <w:jc w:val="right"/>
              <w:ind w:right="220"/>
              <w:spacing w:after="0"/>
              <w:rPr>
                <w:sz w:val="20"/>
                <w:szCs w:val="20"/>
                <w:color w:val="auto"/>
              </w:rPr>
            </w:pPr>
            <w:r>
              <w:rPr>
                <w:rFonts w:ascii="Arial" w:cs="Arial" w:eastAsia="Arial" w:hAnsi="Arial"/>
                <w:sz w:val="20"/>
                <w:szCs w:val="20"/>
                <w:color w:val="auto"/>
              </w:rPr>
              <w:t>71</w:t>
            </w:r>
          </w:p>
        </w:tc>
        <w:tc>
          <w:tcPr>
            <w:tcW w:w="1300" w:type="dxa"/>
            <w:vAlign w:val="bottom"/>
          </w:tcPr>
          <w:p>
            <w:pPr>
              <w:jc w:val="right"/>
              <w:ind w:right="160"/>
              <w:spacing w:after="0"/>
              <w:rPr>
                <w:sz w:val="20"/>
                <w:szCs w:val="20"/>
                <w:color w:val="auto"/>
              </w:rPr>
            </w:pPr>
            <w:r>
              <w:rPr>
                <w:rFonts w:ascii="Arial" w:cs="Arial" w:eastAsia="Arial" w:hAnsi="Arial"/>
                <w:sz w:val="20"/>
                <w:szCs w:val="20"/>
                <w:color w:val="auto"/>
              </w:rPr>
              <w:t>71</w:t>
            </w:r>
          </w:p>
        </w:tc>
      </w:tr>
      <w:tr>
        <w:trPr>
          <w:trHeight w:val="281"/>
        </w:trPr>
        <w:tc>
          <w:tcPr>
            <w:tcW w:w="762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All other  primarily cash</w:t>
            </w:r>
          </w:p>
        </w:tc>
        <w:tc>
          <w:tcPr>
            <w:tcW w:w="1340" w:type="dxa"/>
            <w:vAlign w:val="bottom"/>
            <w:tcBorders>
              <w:bottom w:val="single" w:sz="8" w:color="auto"/>
            </w:tcBorders>
            <w:shd w:val="clear" w:color="auto" w:fill="E4E4E4"/>
          </w:tcPr>
          <w:p>
            <w:pPr>
              <w:jc w:val="right"/>
              <w:ind w:right="220"/>
              <w:spacing w:after="0"/>
              <w:rPr>
                <w:sz w:val="20"/>
                <w:szCs w:val="20"/>
                <w:color w:val="auto"/>
              </w:rPr>
            </w:pPr>
            <w:r>
              <w:rPr>
                <w:rFonts w:ascii="Arial" w:cs="Arial" w:eastAsia="Arial" w:hAnsi="Arial"/>
                <w:sz w:val="20"/>
                <w:szCs w:val="20"/>
                <w:color w:val="auto"/>
              </w:rPr>
              <w:t>1</w:t>
            </w:r>
          </w:p>
        </w:tc>
        <w:tc>
          <w:tcPr>
            <w:tcW w:w="1300" w:type="dxa"/>
            <w:vAlign w:val="bottom"/>
            <w:tcBorders>
              <w:bottom w:val="single" w:sz="8" w:color="auto"/>
            </w:tcBorders>
            <w:shd w:val="clear" w:color="auto" w:fill="E4E4E4"/>
          </w:tcPr>
          <w:p>
            <w:pPr>
              <w:jc w:val="right"/>
              <w:ind w:right="160"/>
              <w:spacing w:after="0"/>
              <w:rPr>
                <w:sz w:val="20"/>
                <w:szCs w:val="20"/>
                <w:color w:val="auto"/>
              </w:rPr>
            </w:pPr>
            <w:r>
              <w:rPr>
                <w:rFonts w:ascii="Arial" w:cs="Arial" w:eastAsia="Arial" w:hAnsi="Arial"/>
                <w:sz w:val="20"/>
                <w:szCs w:val="20"/>
                <w:color w:val="auto"/>
              </w:rPr>
              <w:t>2</w:t>
            </w:r>
          </w:p>
        </w:tc>
      </w:tr>
    </w:tbl>
    <w:p>
      <w:pPr>
        <w:spacing w:after="0" w:line="147" w:lineRule="exact"/>
        <w:rPr>
          <w:sz w:val="20"/>
          <w:szCs w:val="20"/>
          <w:color w:val="auto"/>
        </w:rPr>
      </w:pPr>
    </w:p>
    <w:p>
      <w:pPr>
        <w:ind w:left="10" w:right="200" w:firstLine="145"/>
        <w:spacing w:after="0" w:line="278" w:lineRule="auto"/>
        <w:rPr>
          <w:sz w:val="20"/>
          <w:szCs w:val="20"/>
          <w:color w:val="auto"/>
        </w:rPr>
      </w:pPr>
      <w:r>
        <w:rPr>
          <w:rFonts w:ascii="Arial" w:cs="Arial" w:eastAsia="Arial" w:hAnsi="Arial"/>
          <w:sz w:val="18"/>
          <w:szCs w:val="18"/>
          <w:color w:val="auto"/>
        </w:rPr>
        <w:t>nder TJX’s investment policy, ualified pension plan assets are to be invested with the objective of generating investment returns that, in combination with funding contributions, provide ade uate assets to meet all current and reasonably anticipated future benefit obligations under the plan. The investment policy includes a dynamic asset allocation strategy, whereby, over time, in connection with improvements in the plan’s funded status, the target allocation of return-seeking assets (generally,</w:t>
      </w:r>
    </w:p>
    <w:p>
      <w:pPr>
        <w:spacing w:after="0" w:line="1" w:lineRule="exact"/>
        <w:rPr>
          <w:sz w:val="20"/>
          <w:szCs w:val="20"/>
          <w:color w:val="auto"/>
        </w:rPr>
      </w:pPr>
    </w:p>
    <w:p>
      <w:pPr>
        <w:ind w:left="10" w:right="600" w:hanging="10"/>
        <w:spacing w:after="0" w:line="278" w:lineRule="auto"/>
        <w:tabs>
          <w:tab w:leader="none" w:pos="1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uities and other instruments with a similar risk profile) may decline and the target allocation of liability-hedging assets (generally, fixed income and other instruments with a similar risk profile) may increase. nder the investment policy</w:t>
      </w:r>
    </w:p>
    <w:p>
      <w:pPr>
        <w:ind w:left="10" w:right="80"/>
        <w:spacing w:after="0" w:line="261" w:lineRule="auto"/>
        <w:rPr>
          <w:sz w:val="20"/>
          <w:szCs w:val="20"/>
          <w:color w:val="auto"/>
        </w:rPr>
      </w:pPr>
      <w:r>
        <w:rPr>
          <w:rFonts w:ascii="Arial" w:cs="Arial" w:eastAsia="Arial" w:hAnsi="Arial"/>
          <w:sz w:val="20"/>
          <w:szCs w:val="20"/>
          <w:color w:val="auto"/>
        </w:rPr>
        <w:t>guidelines, the target asset allocation of return-seeking assets and liability-hedging assets was 30 and 70 , respectively, as of January 31, 2026. isks are sought to be mitigated through asset diversification and the use of multiple investment managers. Investment risk is measured and monitored on an ongoing basis through investment portfolio reviews, annual liability measurements and periodic asset liability studies.</w:t>
      </w:r>
    </w:p>
    <w:p>
      <w:pPr>
        <w:spacing w:after="0" w:line="64" w:lineRule="exact"/>
        <w:rPr>
          <w:sz w:val="20"/>
          <w:szCs w:val="20"/>
          <w:color w:val="auto"/>
        </w:rPr>
      </w:pPr>
    </w:p>
    <w:p>
      <w:pPr>
        <w:ind w:left="10"/>
        <w:spacing w:after="0"/>
        <w:tabs>
          <w:tab w:leader="none" w:pos="709" w:val="left"/>
          <w:tab w:leader="none" w:pos="1289" w:val="left"/>
          <w:tab w:leader="none" w:pos="1769" w:val="left"/>
        </w:tabs>
        <w:rPr>
          <w:sz w:val="20"/>
          <w:szCs w:val="20"/>
          <w:color w:val="auto"/>
        </w:rPr>
      </w:pPr>
      <w:r>
        <w:rPr>
          <w:rFonts w:ascii="Arial" w:cs="Arial" w:eastAsia="Arial" w:hAnsi="Arial"/>
          <w:sz w:val="22"/>
          <w:szCs w:val="22"/>
          <w:i w:val="1"/>
          <w:iCs w:val="1"/>
          <w:color w:val="auto"/>
        </w:rPr>
        <w:t>Ot er</w:t>
        <w:tab/>
        <w:t>etire</w:t>
        <w:tab/>
        <w:t>ent</w:t>
      </w:r>
      <w:r>
        <w:rPr>
          <w:sz w:val="20"/>
          <w:szCs w:val="20"/>
          <w:color w:val="auto"/>
        </w:rPr>
        <w:tab/>
      </w:r>
      <w:r>
        <w:rPr>
          <w:rFonts w:ascii="Arial" w:cs="Arial" w:eastAsia="Arial" w:hAnsi="Arial"/>
          <w:sz w:val="20"/>
          <w:szCs w:val="20"/>
          <w:i w:val="1"/>
          <w:iCs w:val="1"/>
          <w:color w:val="auto"/>
        </w:rPr>
        <w:t>enefits</w:t>
      </w:r>
    </w:p>
    <w:p>
      <w:pPr>
        <w:spacing w:after="0" w:line="146" w:lineRule="exact"/>
        <w:rPr>
          <w:sz w:val="20"/>
          <w:szCs w:val="20"/>
          <w:color w:val="auto"/>
        </w:rPr>
      </w:pPr>
    </w:p>
    <w:p>
      <w:pPr>
        <w:ind w:left="10" w:right="200"/>
        <w:spacing w:after="0" w:line="270" w:lineRule="auto"/>
        <w:rPr>
          <w:sz w:val="20"/>
          <w:szCs w:val="20"/>
          <w:color w:val="auto"/>
        </w:rPr>
      </w:pPr>
      <w:r>
        <w:rPr>
          <w:rFonts w:ascii="Arial" w:cs="Arial" w:eastAsia="Arial" w:hAnsi="Arial"/>
          <w:sz w:val="19"/>
          <w:szCs w:val="19"/>
          <w:color w:val="auto"/>
        </w:rPr>
        <w:t>TJX also sponsors an employee savings plan under Section 401(k) of the Internal evenue Code for eligible .S. employees and a similar type of plan for eligible employees in Puerto ico. Employees may contribute up to 50 of eligible pay, subject to limitations. For eligible employees who have completed the applicable service re uirement, TJX matches a portion of employee contributions at rates that vary based on certain eligibility criteria under the plan, and may make additional discretionary year-end contributions based on TJX’s performance. TJX may also make additional discretionary non-matching contributions. Certain eligible employees are automatically enrolled in the 401(k) savings plan and the Puerto ico savings plan, unless the employee elects otherwise. The total cost of TJX contributions to these plans was $130 million in fiscal 2026, $113 million in fiscal 2025 and $103 million in fiscal 2024.</w:t>
      </w:r>
    </w:p>
    <w:p>
      <w:pPr>
        <w:spacing w:after="0" w:line="74" w:lineRule="exact"/>
        <w:rPr>
          <w:sz w:val="20"/>
          <w:szCs w:val="20"/>
          <w:color w:val="auto"/>
        </w:rPr>
      </w:pPr>
    </w:p>
    <w:p>
      <w:pPr>
        <w:ind w:left="10" w:right="40"/>
        <w:spacing w:after="0" w:line="258" w:lineRule="auto"/>
        <w:rPr>
          <w:sz w:val="20"/>
          <w:szCs w:val="20"/>
          <w:color w:val="auto"/>
        </w:rPr>
      </w:pPr>
      <w:r>
        <w:rPr>
          <w:rFonts w:ascii="Arial" w:cs="Arial" w:eastAsia="Arial" w:hAnsi="Arial"/>
          <w:sz w:val="20"/>
          <w:szCs w:val="20"/>
          <w:color w:val="auto"/>
        </w:rPr>
        <w:t>TJX also has a non ualified savings plan (the Executive Savings Plan) for certain .S. employees. TJX matches employee deferrals at various rates which amounted to $11 million in fiscal 2026, $10 million in fiscal 2025 and $ million in fiscal 2024. Although the plan is unfunded, in order to help meet its future obligations TJX transfers an amount generally e ual to employee deferrals and the related company match to a separate rabbi trust. The trust assets, which are invested in a variety of mutual funds, are included in other assets on the balance sheets.</w:t>
      </w:r>
    </w:p>
    <w:p>
      <w:pPr>
        <w:spacing w:after="0" w:line="84" w:lineRule="exact"/>
        <w:rPr>
          <w:sz w:val="20"/>
          <w:szCs w:val="20"/>
          <w:color w:val="auto"/>
        </w:rPr>
      </w:pPr>
    </w:p>
    <w:p>
      <w:pPr>
        <w:jc w:val="both"/>
        <w:ind w:left="10" w:right="40"/>
        <w:spacing w:after="0" w:line="266" w:lineRule="auto"/>
        <w:rPr>
          <w:sz w:val="20"/>
          <w:szCs w:val="20"/>
          <w:color w:val="auto"/>
        </w:rPr>
      </w:pPr>
      <w:r>
        <w:rPr>
          <w:rFonts w:ascii="Arial" w:cs="Arial" w:eastAsia="Arial" w:hAnsi="Arial"/>
          <w:sz w:val="20"/>
          <w:szCs w:val="20"/>
          <w:color w:val="auto"/>
        </w:rPr>
        <w:t>In addition to the plans described above, TJX also contributes to retirement deferred savings programs for eligible Associates at certain of its foreign subsidiaries. The Company contributed $37 million for these programs in fiscal 2026, $3 million in fiscal 2025 and $32 million in fiscal 2024.</w:t>
      </w:r>
    </w:p>
    <w:p>
      <w:pPr>
        <w:spacing w:after="0" w:line="60" w:lineRule="exact"/>
        <w:rPr>
          <w:sz w:val="20"/>
          <w:szCs w:val="20"/>
          <w:color w:val="auto"/>
        </w:rPr>
      </w:pPr>
    </w:p>
    <w:p>
      <w:pPr>
        <w:ind w:left="190"/>
        <w:spacing w:after="0"/>
        <w:tabs>
          <w:tab w:leader="none" w:pos="869" w:val="left"/>
          <w:tab w:leader="none" w:pos="1509" w:val="left"/>
          <w:tab w:leader="none" w:pos="2289" w:val="left"/>
        </w:tabs>
        <w:rPr>
          <w:sz w:val="20"/>
          <w:szCs w:val="20"/>
          <w:color w:val="auto"/>
        </w:rPr>
      </w:pPr>
      <w:r>
        <w:rPr>
          <w:rFonts w:ascii="Arial" w:cs="Arial" w:eastAsia="Arial" w:hAnsi="Arial"/>
          <w:sz w:val="22"/>
          <w:szCs w:val="22"/>
          <w:i w:val="1"/>
          <w:iCs w:val="1"/>
          <w:color w:val="auto"/>
        </w:rPr>
        <w:t>ultie</w:t>
        <w:tab/>
        <w:t>lo er</w:t>
        <w:tab/>
        <w:t>ension</w:t>
      </w:r>
      <w:r>
        <w:rPr>
          <w:sz w:val="20"/>
          <w:szCs w:val="20"/>
          <w:color w:val="auto"/>
        </w:rPr>
        <w:tab/>
      </w:r>
      <w:r>
        <w:rPr>
          <w:rFonts w:ascii="Arial" w:cs="Arial" w:eastAsia="Arial" w:hAnsi="Arial"/>
          <w:sz w:val="20"/>
          <w:szCs w:val="20"/>
          <w:i w:val="1"/>
          <w:iCs w:val="1"/>
          <w:color w:val="auto"/>
        </w:rPr>
        <w:t>lans</w:t>
      </w:r>
    </w:p>
    <w:p>
      <w:pPr>
        <w:spacing w:after="0" w:line="146" w:lineRule="exact"/>
        <w:rPr>
          <w:sz w:val="20"/>
          <w:szCs w:val="20"/>
          <w:color w:val="auto"/>
        </w:rPr>
      </w:pPr>
    </w:p>
    <w:p>
      <w:pPr>
        <w:ind w:left="10" w:right="80"/>
        <w:spacing w:after="0" w:line="278" w:lineRule="auto"/>
        <w:rPr>
          <w:sz w:val="20"/>
          <w:szCs w:val="20"/>
          <w:color w:val="auto"/>
        </w:rPr>
      </w:pPr>
      <w:r>
        <w:rPr>
          <w:rFonts w:ascii="Arial" w:cs="Arial" w:eastAsia="Arial" w:hAnsi="Arial"/>
          <w:sz w:val="18"/>
          <w:szCs w:val="18"/>
          <w:color w:val="auto"/>
        </w:rPr>
        <w:t>TJX contributes to certain multiemployer defined benefit pension plans under the terms of collective-bargaining agreements that cover union-represented employees. TJX contributed $27 million in fiscal 2026, $27 million in fiscal 2025 and $27 million in fiscal 2024 to the Legacy Plan of the National etirement Fund (EIN 13-6130178, plan 1), the Adjustable Plan of the</w:t>
      </w:r>
    </w:p>
    <w:p>
      <w:pPr>
        <w:spacing w:after="0" w:line="1" w:lineRule="exact"/>
        <w:rPr>
          <w:sz w:val="20"/>
          <w:szCs w:val="20"/>
          <w:color w:val="auto"/>
        </w:rPr>
      </w:pPr>
    </w:p>
    <w:p>
      <w:pPr>
        <w:ind w:left="10"/>
        <w:spacing w:after="0"/>
        <w:tabs>
          <w:tab w:leader="none" w:pos="849" w:val="left"/>
          <w:tab w:leader="none" w:pos="6489" w:val="left"/>
          <w:tab w:leader="none" w:pos="7129" w:val="left"/>
          <w:tab w:leader="none" w:pos="7689" w:val="left"/>
        </w:tabs>
        <w:rPr>
          <w:sz w:val="20"/>
          <w:szCs w:val="20"/>
          <w:color w:val="auto"/>
        </w:rPr>
      </w:pPr>
      <w:r>
        <w:rPr>
          <w:rFonts w:ascii="Arial" w:cs="Arial" w:eastAsia="Arial" w:hAnsi="Arial"/>
          <w:sz w:val="20"/>
          <w:szCs w:val="20"/>
          <w:color w:val="auto"/>
        </w:rPr>
        <w:t>National</w:t>
        <w:tab/>
        <w:t>etirement Fund (EIN  13-6130178, plan  2), the Legacy Plan of the</w:t>
        <w:tab/>
        <w:t>NITE</w:t>
        <w:tab/>
        <w:t>E  E</w:t>
      </w:r>
      <w:r>
        <w:rPr>
          <w:sz w:val="20"/>
          <w:szCs w:val="20"/>
          <w:color w:val="auto"/>
        </w:rPr>
        <w:tab/>
      </w:r>
      <w:r>
        <w:rPr>
          <w:rFonts w:ascii="Arial" w:cs="Arial" w:eastAsia="Arial" w:hAnsi="Arial"/>
          <w:sz w:val="18"/>
          <w:szCs w:val="18"/>
          <w:color w:val="auto"/>
        </w:rPr>
        <w:t>etirement Fund (EIN</w:t>
      </w:r>
    </w:p>
    <w:p>
      <w:pPr>
        <w:spacing w:after="0" w:line="10" w:lineRule="exact"/>
        <w:rPr>
          <w:sz w:val="20"/>
          <w:szCs w:val="20"/>
          <w:color w:val="auto"/>
        </w:rPr>
      </w:pPr>
    </w:p>
    <w:p>
      <w:pPr>
        <w:ind w:left="110"/>
        <w:spacing w:after="0"/>
        <w:tabs>
          <w:tab w:leader="none" w:pos="649" w:val="left"/>
          <w:tab w:leader="none" w:pos="4469" w:val="left"/>
          <w:tab w:leader="none" w:pos="5109" w:val="left"/>
          <w:tab w:leader="none" w:pos="5669" w:val="left"/>
          <w:tab w:leader="none" w:pos="8049" w:val="left"/>
        </w:tabs>
        <w:rPr>
          <w:sz w:val="20"/>
          <w:szCs w:val="20"/>
          <w:color w:val="auto"/>
        </w:rPr>
      </w:pPr>
      <w:r>
        <w:rPr>
          <w:rFonts w:ascii="Arial" w:cs="Arial" w:eastAsia="Arial" w:hAnsi="Arial"/>
          <w:sz w:val="20"/>
          <w:szCs w:val="20"/>
          <w:color w:val="auto"/>
        </w:rPr>
        <w:t>82-0</w:t>
        <w:tab/>
        <w:t>411 , plan  1) and the Adjustable Plan of the</w:t>
        <w:tab/>
        <w:t>NITE</w:t>
        <w:tab/>
        <w:t>E  E</w:t>
        <w:tab/>
        <w:t>etirement Fund (EIN  82-0</w:t>
      </w:r>
      <w:r>
        <w:rPr>
          <w:sz w:val="20"/>
          <w:szCs w:val="20"/>
          <w:color w:val="auto"/>
        </w:rPr>
        <w:tab/>
      </w:r>
      <w:r>
        <w:rPr>
          <w:rFonts w:ascii="Arial" w:cs="Arial" w:eastAsia="Arial" w:hAnsi="Arial"/>
          <w:sz w:val="19"/>
          <w:szCs w:val="19"/>
          <w:color w:val="auto"/>
        </w:rPr>
        <w:t>411 , plan  2). TJX was</w:t>
      </w:r>
    </w:p>
    <w:p>
      <w:pPr>
        <w:spacing w:after="0" w:line="10" w:lineRule="exact"/>
        <w:rPr>
          <w:sz w:val="20"/>
          <w:szCs w:val="20"/>
          <w:color w:val="auto"/>
        </w:rPr>
      </w:pPr>
    </w:p>
    <w:p>
      <w:pPr>
        <w:ind w:left="130" w:right="200" w:hanging="132"/>
        <w:spacing w:after="0" w:line="250" w:lineRule="auto"/>
        <w:rPr>
          <w:sz w:val="20"/>
          <w:szCs w:val="20"/>
          <w:color w:val="auto"/>
        </w:rPr>
      </w:pPr>
      <w:r>
        <w:rPr>
          <w:rFonts w:ascii="Arial" w:cs="Arial" w:eastAsia="Arial" w:hAnsi="Arial"/>
          <w:sz w:val="20"/>
          <w:szCs w:val="20"/>
          <w:color w:val="auto"/>
        </w:rPr>
        <w:t>listed in the Form 5500 for the Legacy Plan of the National</w:t>
      </w:r>
      <w:r>
        <w:rPr>
          <w:sz w:val="20"/>
          <w:szCs w:val="20"/>
          <w:color w:val="auto"/>
        </w:rPr>
        <w:t xml:space="preserve"> </w:t>
      </w:r>
      <w:r>
        <w:rPr>
          <w:rFonts w:ascii="Arial" w:cs="Arial" w:eastAsia="Arial" w:hAnsi="Arial"/>
          <w:sz w:val="20"/>
          <w:szCs w:val="20"/>
          <w:color w:val="auto"/>
        </w:rPr>
        <w:t>etirement Fund and the Adjustable Plan of the National etirement Fund as providing more than 5 of the total contributions, or being one of the top ten highest contributors, for the</w:t>
      </w:r>
    </w:p>
    <w:p>
      <w:pPr>
        <w:spacing w:after="0" w:line="1" w:lineRule="exact"/>
        <w:rPr>
          <w:sz w:val="20"/>
          <w:szCs w:val="20"/>
          <w:color w:val="auto"/>
        </w:rPr>
      </w:pPr>
    </w:p>
    <w:p>
      <w:pPr>
        <w:ind w:left="10" w:right="100"/>
        <w:spacing w:after="0" w:line="261" w:lineRule="auto"/>
        <w:rPr>
          <w:sz w:val="20"/>
          <w:szCs w:val="20"/>
          <w:color w:val="auto"/>
        </w:rPr>
      </w:pPr>
      <w:r>
        <w:rPr>
          <w:rFonts w:ascii="Arial" w:cs="Arial" w:eastAsia="Arial" w:hAnsi="Arial"/>
          <w:sz w:val="20"/>
          <w:szCs w:val="20"/>
          <w:color w:val="auto"/>
        </w:rPr>
        <w:t>plan year ending December 31, 2024. In addition, based on information available to TJX, the Pension Protection Act one status for each of the Legacy Plan of the National etirement Fund and the Legacy Plan of the NITE E E etirement Fund is critical, rehabilitation plans have been adopted by these plans, and the Legacy Plan of the NITE E E etirement Fund has received Special Financial Assistance under the American escue Plan Act of 2021.</w:t>
      </w:r>
    </w:p>
    <w:p>
      <w:pPr>
        <w:sectPr>
          <w:pgSz w:w="12240" w:h="15841" w:orient="portrait"/>
          <w:cols w:equalWidth="0" w:num="1">
            <w:col w:w="10270"/>
          </w:cols>
          <w:pgMar w:left="99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F-30</w:t>
      </w:r>
    </w:p>
    <w:p>
      <w:pPr>
        <w:sectPr>
          <w:pgSz w:w="12240" w:h="15841" w:orient="portrait"/>
          <w:cols w:equalWidth="0" w:num="1">
            <w:col w:w="10270"/>
          </w:cols>
          <w:pgMar w:left="990" w:top="792" w:right="981" w:bottom="0" w:gutter="0" w:footer="0" w:header="0"/>
          <w:type w:val="continuous"/>
        </w:sectPr>
      </w:pPr>
    </w:p>
    <w:bookmarkStart w:id="86" w:name="page87"/>
    <w:bookmarkEnd w:id="86"/>
    <w:p>
      <w:pPr>
        <w:ind w:right="24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The risks of participating in multiemployer pension plans are different from the risks of single-employer pension plans in certain respects, including the following: (a) assets contributed to the multiemployer plan by one employer may be used to provide benefits to employees of other participating employers (b) if a participating employer stops contributing to the plan, the unfunded obligations of the plan may be borne by the remaining participating employers and (c) if TJX ceases to have an obligation to contribute to a multiemployer plan in which the Company had been a contributing employer, or in certain other circumstances, the Company may be re uired to pay to the plan an amount based on the Company’s allocable share of the underfunded status of the plan, referred to as a withdrawal liability.</w:t>
      </w:r>
    </w:p>
    <w:p>
      <w:pPr>
        <w:spacing w:after="0" w:line="52" w:lineRule="exact"/>
        <w:rPr>
          <w:sz w:val="20"/>
          <w:szCs w:val="20"/>
          <w:color w:val="auto"/>
        </w:rPr>
      </w:pPr>
    </w:p>
    <w:p>
      <w:pPr>
        <w:spacing w:after="0"/>
        <w:tabs>
          <w:tab w:leader="none" w:pos="920" w:val="left"/>
          <w:tab w:leader="none" w:pos="1520" w:val="left"/>
          <w:tab w:leader="none" w:pos="2160" w:val="left"/>
          <w:tab w:leader="none" w:pos="3880" w:val="left"/>
        </w:tabs>
        <w:rPr>
          <w:sz w:val="20"/>
          <w:szCs w:val="20"/>
          <w:color w:val="auto"/>
        </w:rPr>
      </w:pPr>
      <w:r>
        <w:rPr>
          <w:rFonts w:ascii="Arial" w:cs="Arial" w:eastAsia="Arial" w:hAnsi="Arial"/>
          <w:sz w:val="24"/>
          <w:szCs w:val="24"/>
          <w:color w:val="auto"/>
        </w:rPr>
        <w:t>Note J.</w:t>
        <w:tab/>
        <w:t>ong</w:t>
        <w:tab/>
        <w:t>erm</w:t>
        <w:tab/>
        <w:t>ebt and Credit</w:t>
      </w:r>
      <w:r>
        <w:rPr>
          <w:sz w:val="20"/>
          <w:szCs w:val="20"/>
          <w:color w:val="auto"/>
        </w:rPr>
        <w:tab/>
      </w:r>
      <w:r>
        <w:rPr>
          <w:rFonts w:ascii="Arial" w:cs="Arial" w:eastAsia="Arial" w:hAnsi="Arial"/>
          <w:sz w:val="21"/>
          <w:szCs w:val="21"/>
          <w:color w:val="auto"/>
        </w:rPr>
        <w:t>ines</w:t>
      </w:r>
    </w:p>
    <w:p>
      <w:pPr>
        <w:spacing w:after="0" w:line="153"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The table below presents long-term debt as of January 31, 2026 and February 1, 2025. All amounts are net of unamorti ed debt discounts.</w:t>
      </w: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20" w:type="dxa"/>
            <w:vAlign w:val="bottom"/>
            <w:gridSpan w:val="2"/>
          </w:tcPr>
          <w:p>
            <w:pPr>
              <w:ind w:left="760"/>
              <w:spacing w:after="0" w:line="223" w:lineRule="exact"/>
              <w:rPr>
                <w:sz w:val="20"/>
                <w:szCs w:val="20"/>
                <w:color w:val="auto"/>
              </w:rPr>
            </w:pPr>
            <w:r>
              <w:rPr>
                <w:rFonts w:ascii="Arial" w:cs="Arial" w:eastAsia="Arial" w:hAnsi="Arial"/>
                <w:sz w:val="20"/>
                <w:szCs w:val="20"/>
                <w:color w:val="auto"/>
                <w:w w:val="99"/>
              </w:rPr>
              <w:t>January 31,</w:t>
            </w:r>
          </w:p>
        </w:tc>
        <w:tc>
          <w:tcPr>
            <w:tcW w:w="1140" w:type="dxa"/>
            <w:vAlign w:val="bottom"/>
            <w:gridSpan w:val="2"/>
          </w:tcPr>
          <w:p>
            <w:pPr>
              <w:jc w:val="right"/>
              <w:ind w:right="20"/>
              <w:spacing w:after="0" w:line="223" w:lineRule="exact"/>
              <w:rPr>
                <w:sz w:val="20"/>
                <w:szCs w:val="20"/>
                <w:color w:val="auto"/>
              </w:rPr>
            </w:pPr>
            <w:r>
              <w:rPr>
                <w:rFonts w:ascii="Arial" w:cs="Arial" w:eastAsia="Arial" w:hAnsi="Arial"/>
                <w:sz w:val="20"/>
                <w:szCs w:val="20"/>
                <w:color w:val="auto"/>
                <w:w w:val="97"/>
              </w:rPr>
              <w:t>February 1,</w:t>
            </w:r>
          </w:p>
        </w:tc>
        <w:tc>
          <w:tcPr>
            <w:tcW w:w="0" w:type="dxa"/>
            <w:vAlign w:val="bottom"/>
          </w:tcPr>
          <w:p>
            <w:pPr>
              <w:spacing w:after="0"/>
              <w:rPr>
                <w:sz w:val="1"/>
                <w:szCs w:val="1"/>
                <w:color w:val="auto"/>
              </w:rPr>
            </w:pPr>
          </w:p>
        </w:tc>
      </w:tr>
      <w:tr>
        <w:trPr>
          <w:trHeight w:val="263"/>
        </w:trPr>
        <w:tc>
          <w:tcPr>
            <w:tcW w:w="73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In millions and net of immaterial unamorti ed debt discounts</w:t>
            </w:r>
          </w:p>
        </w:tc>
        <w:tc>
          <w:tcPr>
            <w:tcW w:w="9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color w:val="auto"/>
              </w:rPr>
              <w:t>2026</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20"/>
                <w:szCs w:val="20"/>
                <w:color w:val="auto"/>
              </w:rPr>
              <w:t>eneral corporate debt:</w:t>
            </w:r>
          </w:p>
        </w:tc>
        <w:tc>
          <w:tcPr>
            <w:tcW w:w="3600" w:type="dxa"/>
            <w:vAlign w:val="bottom"/>
            <w:tcBorders>
              <w:bottom w:val="single" w:sz="8" w:color="E4E4E4"/>
            </w:tcBorders>
            <w:shd w:val="clear" w:color="auto" w:fill="E4E4E4"/>
          </w:tcPr>
          <w:p>
            <w:pPr>
              <w:spacing w:after="0"/>
              <w:rPr>
                <w:sz w:val="23"/>
                <w:szCs w:val="23"/>
                <w:color w:val="auto"/>
              </w:rPr>
            </w:pPr>
          </w:p>
        </w:tc>
        <w:tc>
          <w:tcPr>
            <w:tcW w:w="960" w:type="dxa"/>
            <w:vAlign w:val="bottom"/>
            <w:tcBorders>
              <w:bottom w:val="single" w:sz="8" w:color="E4E4E4"/>
            </w:tcBorders>
            <w:shd w:val="clear" w:color="auto" w:fill="E4E4E4"/>
          </w:tcPr>
          <w:p>
            <w:pPr>
              <w:spacing w:after="0"/>
              <w:rPr>
                <w:sz w:val="23"/>
                <w:szCs w:val="23"/>
                <w:color w:val="auto"/>
              </w:rPr>
            </w:pPr>
          </w:p>
        </w:tc>
        <w:tc>
          <w:tcPr>
            <w:tcW w:w="860" w:type="dxa"/>
            <w:vAlign w:val="bottom"/>
            <w:tcBorders>
              <w:bottom w:val="single" w:sz="8" w:color="E4E4E4"/>
            </w:tcBorders>
            <w:shd w:val="clear" w:color="auto" w:fill="E4E4E4"/>
          </w:tcPr>
          <w:p>
            <w:pPr>
              <w:spacing w:after="0"/>
              <w:rPr>
                <w:sz w:val="23"/>
                <w:szCs w:val="23"/>
                <w:color w:val="auto"/>
              </w:rPr>
            </w:pPr>
          </w:p>
        </w:tc>
        <w:tc>
          <w:tcPr>
            <w:tcW w:w="26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8260" w:type="dxa"/>
            <w:vAlign w:val="bottom"/>
            <w:gridSpan w:val="3"/>
            <w:shd w:val="clear" w:color="auto" w:fill="FEFEFE"/>
          </w:tcPr>
          <w:p>
            <w:pPr>
              <w:ind w:left="260"/>
              <w:spacing w:after="0" w:line="213" w:lineRule="exact"/>
              <w:rPr>
                <w:sz w:val="20"/>
                <w:szCs w:val="20"/>
                <w:color w:val="auto"/>
              </w:rPr>
            </w:pPr>
            <w:r>
              <w:rPr>
                <w:rFonts w:ascii="Arial" w:cs="Arial" w:eastAsia="Arial" w:hAnsi="Arial"/>
                <w:sz w:val="20"/>
                <w:szCs w:val="20"/>
                <w:color w:val="auto"/>
                <w:w w:val="98"/>
              </w:rPr>
              <w:t>2.250  senior unsecured notes, maturing September 15, 2026 (effective interest rate of 2.32</w:t>
            </w:r>
          </w:p>
        </w:tc>
        <w:tc>
          <w:tcPr>
            <w:tcW w:w="8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999</w:t>
            </w:r>
          </w:p>
        </w:tc>
        <w:tc>
          <w:tcPr>
            <w:tcW w:w="2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75"/>
        </w:trPr>
        <w:tc>
          <w:tcPr>
            <w:tcW w:w="7300" w:type="dxa"/>
            <w:vAlign w:val="bottom"/>
            <w:gridSpan w:val="2"/>
            <w:shd w:val="clear" w:color="auto" w:fill="FEFEFE"/>
          </w:tcPr>
          <w:p>
            <w:pPr>
              <w:ind w:left="260"/>
              <w:spacing w:after="0"/>
              <w:rPr>
                <w:sz w:val="20"/>
                <w:szCs w:val="20"/>
                <w:color w:val="auto"/>
              </w:rPr>
            </w:pPr>
            <w:r>
              <w:rPr>
                <w:rFonts w:ascii="Arial" w:cs="Arial" w:eastAsia="Arial" w:hAnsi="Arial"/>
                <w:sz w:val="20"/>
                <w:szCs w:val="20"/>
                <w:color w:val="auto"/>
              </w:rPr>
              <w:t>after reduction of unamorti ed debt discount)</w:t>
            </w:r>
          </w:p>
        </w:tc>
        <w:tc>
          <w:tcPr>
            <w:tcW w:w="960" w:type="dxa"/>
            <w:vAlign w:val="bottom"/>
            <w:shd w:val="clear" w:color="auto" w:fill="FEFEFE"/>
          </w:tcPr>
          <w:p>
            <w:pPr>
              <w:ind w:left="760"/>
              <w:spacing w:after="0"/>
              <w:rPr>
                <w:sz w:val="20"/>
                <w:szCs w:val="20"/>
                <w:color w:val="auto"/>
              </w:rPr>
            </w:pPr>
            <w:r>
              <w:rPr>
                <w:rFonts w:ascii="Arial" w:cs="Arial" w:eastAsia="Arial" w:hAnsi="Arial"/>
                <w:sz w:val="20"/>
                <w:szCs w:val="20"/>
                <w:color w:val="auto"/>
              </w:rPr>
              <w:t>$</w:t>
            </w:r>
          </w:p>
        </w:tc>
        <w:tc>
          <w:tcPr>
            <w:tcW w:w="860" w:type="dxa"/>
            <w:vAlign w:val="bottom"/>
            <w:vMerge w:val="continue"/>
            <w:shd w:val="clear" w:color="auto" w:fill="FEFEFE"/>
          </w:tcPr>
          <w:p>
            <w:pPr>
              <w:spacing w:after="0"/>
              <w:rPr>
                <w:sz w:val="23"/>
                <w:szCs w:val="23"/>
                <w:color w:val="auto"/>
              </w:rPr>
            </w:pPr>
          </w:p>
        </w:tc>
        <w:tc>
          <w:tcPr>
            <w:tcW w:w="260" w:type="dxa"/>
            <w:vAlign w:val="bottom"/>
            <w:vMerge w:val="continue"/>
            <w:shd w:val="clear" w:color="auto" w:fill="FEFEFE"/>
          </w:tcPr>
          <w:p>
            <w:pPr>
              <w:spacing w:after="0"/>
              <w:rPr>
                <w:sz w:val="23"/>
                <w:szCs w:val="23"/>
                <w:color w:val="auto"/>
              </w:rPr>
            </w:pPr>
          </w:p>
        </w:tc>
        <w:tc>
          <w:tcPr>
            <w:tcW w:w="88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E4E4E4"/>
          </w:tcPr>
          <w:p>
            <w:pPr>
              <w:ind w:left="260"/>
              <w:spacing w:after="0" w:line="220" w:lineRule="exact"/>
              <w:rPr>
                <w:sz w:val="20"/>
                <w:szCs w:val="20"/>
                <w:color w:val="auto"/>
              </w:rPr>
            </w:pPr>
            <w:r>
              <w:rPr>
                <w:rFonts w:ascii="Arial" w:cs="Arial" w:eastAsia="Arial" w:hAnsi="Arial"/>
                <w:sz w:val="20"/>
                <w:szCs w:val="20"/>
                <w:color w:val="auto"/>
                <w:w w:val="95"/>
              </w:rPr>
              <w:t>1.150  senior unsecured notes, maturing</w:t>
            </w:r>
          </w:p>
        </w:tc>
        <w:tc>
          <w:tcPr>
            <w:tcW w:w="3600" w:type="dxa"/>
            <w:vAlign w:val="bottom"/>
            <w:shd w:val="clear" w:color="auto" w:fill="E4E4E4"/>
          </w:tcPr>
          <w:p>
            <w:pPr>
              <w:ind w:left="100"/>
              <w:spacing w:after="0" w:line="220" w:lineRule="exact"/>
              <w:rPr>
                <w:sz w:val="20"/>
                <w:szCs w:val="20"/>
                <w:color w:val="auto"/>
              </w:rPr>
            </w:pPr>
            <w:r>
              <w:rPr>
                <w:rFonts w:ascii="Arial" w:cs="Arial" w:eastAsia="Arial" w:hAnsi="Arial"/>
                <w:sz w:val="20"/>
                <w:szCs w:val="20"/>
                <w:color w:val="auto"/>
                <w:w w:val="94"/>
              </w:rPr>
              <w:t>ay 15, 2028 (effective interest rate of 1.18</w:t>
            </w:r>
          </w:p>
        </w:tc>
        <w:tc>
          <w:tcPr>
            <w:tcW w:w="960" w:type="dxa"/>
            <w:vAlign w:val="bottom"/>
            <w:shd w:val="clear" w:color="auto" w:fill="E4E4E4"/>
          </w:tcPr>
          <w:p>
            <w:pPr>
              <w:ind w:left="80"/>
              <w:spacing w:after="0" w:line="220" w:lineRule="exact"/>
              <w:rPr>
                <w:sz w:val="20"/>
                <w:szCs w:val="20"/>
                <w:color w:val="auto"/>
              </w:rPr>
            </w:pPr>
            <w:r>
              <w:rPr>
                <w:rFonts w:ascii="Arial" w:cs="Arial" w:eastAsia="Arial" w:hAnsi="Arial"/>
                <w:sz w:val="20"/>
                <w:szCs w:val="20"/>
                <w:color w:val="auto"/>
              </w:rPr>
              <w:t>after</w:t>
            </w: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500</w:t>
            </w:r>
          </w:p>
        </w:tc>
        <w:tc>
          <w:tcPr>
            <w:tcW w:w="260" w:type="dxa"/>
            <w:vAlign w:val="bottom"/>
            <w:shd w:val="clear" w:color="auto" w:fill="E4E4E4"/>
          </w:tcPr>
          <w:p>
            <w:pPr>
              <w:spacing w:after="0"/>
              <w:rPr>
                <w:sz w:val="19"/>
                <w:szCs w:val="19"/>
                <w:color w:val="auto"/>
              </w:rPr>
            </w:pPr>
          </w:p>
        </w:tc>
        <w:tc>
          <w:tcPr>
            <w:tcW w:w="8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81"/>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8"/>
              </w:rPr>
              <w:t>reduction of unamorti ed debt discount)</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8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FEFEFE"/>
          </w:tcPr>
          <w:p>
            <w:pPr>
              <w:ind w:left="260"/>
              <w:spacing w:after="0" w:line="213" w:lineRule="exact"/>
              <w:rPr>
                <w:sz w:val="20"/>
                <w:szCs w:val="20"/>
                <w:color w:val="auto"/>
              </w:rPr>
            </w:pPr>
            <w:r>
              <w:rPr>
                <w:rFonts w:ascii="Arial" w:cs="Arial" w:eastAsia="Arial" w:hAnsi="Arial"/>
                <w:sz w:val="20"/>
                <w:szCs w:val="20"/>
                <w:color w:val="auto"/>
                <w:w w:val="94"/>
              </w:rPr>
              <w:t>3.875  senior unsecured notes, maturing April 15, 2030 (effective interest rate of 3.8</w:t>
            </w:r>
          </w:p>
        </w:tc>
        <w:tc>
          <w:tcPr>
            <w:tcW w:w="960" w:type="dxa"/>
            <w:vAlign w:val="bottom"/>
            <w:shd w:val="clear" w:color="auto" w:fill="FEFEFE"/>
          </w:tcPr>
          <w:p>
            <w:pPr>
              <w:ind w:left="140"/>
              <w:spacing w:after="0" w:line="213" w:lineRule="exact"/>
              <w:rPr>
                <w:sz w:val="20"/>
                <w:szCs w:val="20"/>
                <w:color w:val="auto"/>
              </w:rPr>
            </w:pPr>
            <w:r>
              <w:rPr>
                <w:rFonts w:ascii="Arial" w:cs="Arial" w:eastAsia="Arial" w:hAnsi="Arial"/>
                <w:sz w:val="20"/>
                <w:szCs w:val="20"/>
                <w:color w:val="auto"/>
              </w:rPr>
              <w:t>after</w:t>
            </w:r>
          </w:p>
        </w:tc>
        <w:tc>
          <w:tcPr>
            <w:tcW w:w="8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496</w:t>
            </w:r>
          </w:p>
        </w:tc>
        <w:tc>
          <w:tcPr>
            <w:tcW w:w="260" w:type="dxa"/>
            <w:vAlign w:val="bottom"/>
            <w:shd w:val="clear" w:color="auto" w:fill="FEFEFE"/>
          </w:tcPr>
          <w:p>
            <w:pPr>
              <w:spacing w:after="0"/>
              <w:rPr>
                <w:sz w:val="18"/>
                <w:szCs w:val="18"/>
                <w:color w:val="auto"/>
              </w:rPr>
            </w:pPr>
          </w:p>
        </w:tc>
        <w:tc>
          <w:tcPr>
            <w:tcW w:w="8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4 6</w:t>
            </w:r>
          </w:p>
        </w:tc>
        <w:tc>
          <w:tcPr>
            <w:tcW w:w="0" w:type="dxa"/>
            <w:vAlign w:val="bottom"/>
          </w:tcPr>
          <w:p>
            <w:pPr>
              <w:spacing w:after="0"/>
              <w:rPr>
                <w:sz w:val="1"/>
                <w:szCs w:val="1"/>
                <w:color w:val="auto"/>
              </w:rPr>
            </w:pPr>
          </w:p>
        </w:tc>
      </w:tr>
      <w:tr>
        <w:trPr>
          <w:trHeight w:val="275"/>
        </w:trPr>
        <w:tc>
          <w:tcPr>
            <w:tcW w:w="3700" w:type="dxa"/>
            <w:vAlign w:val="bottom"/>
            <w:shd w:val="clear" w:color="auto" w:fill="FEFEFE"/>
          </w:tcPr>
          <w:p>
            <w:pPr>
              <w:ind w:left="260"/>
              <w:spacing w:after="0"/>
              <w:rPr>
                <w:sz w:val="20"/>
                <w:szCs w:val="20"/>
                <w:color w:val="auto"/>
              </w:rPr>
            </w:pPr>
            <w:r>
              <w:rPr>
                <w:rFonts w:ascii="Arial" w:cs="Arial" w:eastAsia="Arial" w:hAnsi="Arial"/>
                <w:sz w:val="20"/>
                <w:szCs w:val="20"/>
                <w:color w:val="auto"/>
                <w:w w:val="98"/>
              </w:rPr>
              <w:t>reduction of unamorti ed debt discount)</w:t>
            </w:r>
          </w:p>
        </w:tc>
        <w:tc>
          <w:tcPr>
            <w:tcW w:w="3600" w:type="dxa"/>
            <w:vAlign w:val="bottom"/>
            <w:shd w:val="clear" w:color="auto" w:fill="FEFEFE"/>
          </w:tcPr>
          <w:p>
            <w:pPr>
              <w:spacing w:after="0"/>
              <w:rPr>
                <w:sz w:val="23"/>
                <w:szCs w:val="23"/>
                <w:color w:val="auto"/>
              </w:rPr>
            </w:pPr>
          </w:p>
        </w:tc>
        <w:tc>
          <w:tcPr>
            <w:tcW w:w="960" w:type="dxa"/>
            <w:vAlign w:val="bottom"/>
            <w:shd w:val="clear" w:color="auto" w:fill="FEFEFE"/>
          </w:tcPr>
          <w:p>
            <w:pPr>
              <w:spacing w:after="0"/>
              <w:rPr>
                <w:sz w:val="23"/>
                <w:szCs w:val="23"/>
                <w:color w:val="auto"/>
              </w:rPr>
            </w:pPr>
          </w:p>
        </w:tc>
        <w:tc>
          <w:tcPr>
            <w:tcW w:w="860" w:type="dxa"/>
            <w:vAlign w:val="bottom"/>
            <w:vMerge w:val="continue"/>
            <w:shd w:val="clear" w:color="auto" w:fill="FEFEFE"/>
          </w:tcPr>
          <w:p>
            <w:pPr>
              <w:spacing w:after="0"/>
              <w:rPr>
                <w:sz w:val="23"/>
                <w:szCs w:val="23"/>
                <w:color w:val="auto"/>
              </w:rPr>
            </w:pPr>
          </w:p>
        </w:tc>
        <w:tc>
          <w:tcPr>
            <w:tcW w:w="260" w:type="dxa"/>
            <w:vAlign w:val="bottom"/>
            <w:shd w:val="clear" w:color="auto" w:fill="FEFEFE"/>
          </w:tcPr>
          <w:p>
            <w:pPr>
              <w:spacing w:after="0"/>
              <w:rPr>
                <w:sz w:val="23"/>
                <w:szCs w:val="23"/>
                <w:color w:val="auto"/>
              </w:rPr>
            </w:pPr>
          </w:p>
        </w:tc>
        <w:tc>
          <w:tcPr>
            <w:tcW w:w="880" w:type="dxa"/>
            <w:vAlign w:val="bottom"/>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E4E4E4"/>
          </w:tcPr>
          <w:p>
            <w:pPr>
              <w:ind w:left="260"/>
              <w:spacing w:after="0" w:line="220" w:lineRule="exact"/>
              <w:rPr>
                <w:sz w:val="20"/>
                <w:szCs w:val="20"/>
                <w:color w:val="auto"/>
              </w:rPr>
            </w:pPr>
            <w:r>
              <w:rPr>
                <w:rFonts w:ascii="Arial" w:cs="Arial" w:eastAsia="Arial" w:hAnsi="Arial"/>
                <w:sz w:val="20"/>
                <w:szCs w:val="20"/>
                <w:color w:val="auto"/>
                <w:w w:val="95"/>
              </w:rPr>
              <w:t>1.600  senior unsecured notes, maturing</w:t>
            </w:r>
          </w:p>
        </w:tc>
        <w:tc>
          <w:tcPr>
            <w:tcW w:w="3600" w:type="dxa"/>
            <w:vAlign w:val="bottom"/>
            <w:shd w:val="clear" w:color="auto" w:fill="E4E4E4"/>
          </w:tcPr>
          <w:p>
            <w:pPr>
              <w:ind w:left="100"/>
              <w:spacing w:after="0" w:line="220" w:lineRule="exact"/>
              <w:rPr>
                <w:sz w:val="20"/>
                <w:szCs w:val="20"/>
                <w:color w:val="auto"/>
              </w:rPr>
            </w:pPr>
            <w:r>
              <w:rPr>
                <w:rFonts w:ascii="Arial" w:cs="Arial" w:eastAsia="Arial" w:hAnsi="Arial"/>
                <w:sz w:val="20"/>
                <w:szCs w:val="20"/>
                <w:color w:val="auto"/>
                <w:w w:val="94"/>
              </w:rPr>
              <w:t>ay 15, 2031 (effective interest rate of 1.61</w:t>
            </w:r>
          </w:p>
        </w:tc>
        <w:tc>
          <w:tcPr>
            <w:tcW w:w="960" w:type="dxa"/>
            <w:vAlign w:val="bottom"/>
            <w:shd w:val="clear" w:color="auto" w:fill="E4E4E4"/>
          </w:tcPr>
          <w:p>
            <w:pPr>
              <w:ind w:left="80"/>
              <w:spacing w:after="0" w:line="220" w:lineRule="exact"/>
              <w:rPr>
                <w:sz w:val="20"/>
                <w:szCs w:val="20"/>
                <w:color w:val="auto"/>
              </w:rPr>
            </w:pPr>
            <w:r>
              <w:rPr>
                <w:rFonts w:ascii="Arial" w:cs="Arial" w:eastAsia="Arial" w:hAnsi="Arial"/>
                <w:sz w:val="20"/>
                <w:szCs w:val="20"/>
                <w:color w:val="auto"/>
              </w:rPr>
              <w:t>after</w:t>
            </w:r>
          </w:p>
        </w:tc>
        <w:tc>
          <w:tcPr>
            <w:tcW w:w="8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500</w:t>
            </w:r>
          </w:p>
        </w:tc>
        <w:tc>
          <w:tcPr>
            <w:tcW w:w="260" w:type="dxa"/>
            <w:vAlign w:val="bottom"/>
            <w:shd w:val="clear" w:color="auto" w:fill="E4E4E4"/>
          </w:tcPr>
          <w:p>
            <w:pPr>
              <w:spacing w:after="0"/>
              <w:rPr>
                <w:sz w:val="19"/>
                <w:szCs w:val="19"/>
                <w:color w:val="auto"/>
              </w:rPr>
            </w:pPr>
          </w:p>
        </w:tc>
        <w:tc>
          <w:tcPr>
            <w:tcW w:w="8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81"/>
        </w:trPr>
        <w:tc>
          <w:tcPr>
            <w:tcW w:w="3700" w:type="dxa"/>
            <w:vAlign w:val="bottom"/>
            <w:shd w:val="clear" w:color="auto" w:fill="E4E4E4"/>
          </w:tcPr>
          <w:p>
            <w:pPr>
              <w:ind w:left="260"/>
              <w:spacing w:after="0"/>
              <w:rPr>
                <w:sz w:val="20"/>
                <w:szCs w:val="20"/>
                <w:color w:val="auto"/>
              </w:rPr>
            </w:pPr>
            <w:r>
              <w:rPr>
                <w:rFonts w:ascii="Arial" w:cs="Arial" w:eastAsia="Arial" w:hAnsi="Arial"/>
                <w:sz w:val="20"/>
                <w:szCs w:val="20"/>
                <w:color w:val="auto"/>
                <w:w w:val="98"/>
              </w:rPr>
              <w:t>reduction of unamorti ed debt discount)</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vMerge w:val="continue"/>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8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300" w:type="dxa"/>
            <w:vAlign w:val="bottom"/>
            <w:gridSpan w:val="2"/>
            <w:shd w:val="clear" w:color="auto" w:fill="FEFEFE"/>
          </w:tcPr>
          <w:p>
            <w:pPr>
              <w:ind w:left="260"/>
              <w:spacing w:after="0" w:line="213" w:lineRule="exact"/>
              <w:rPr>
                <w:sz w:val="20"/>
                <w:szCs w:val="20"/>
                <w:color w:val="auto"/>
              </w:rPr>
            </w:pPr>
            <w:r>
              <w:rPr>
                <w:rFonts w:ascii="Arial" w:cs="Arial" w:eastAsia="Arial" w:hAnsi="Arial"/>
                <w:sz w:val="20"/>
                <w:szCs w:val="20"/>
                <w:color w:val="auto"/>
                <w:w w:val="93"/>
              </w:rPr>
              <w:t>4.500  senior unsecured notes, maturing April 15, 2050 (effective interest rate of 4.52</w:t>
            </w:r>
          </w:p>
        </w:tc>
        <w:tc>
          <w:tcPr>
            <w:tcW w:w="960" w:type="dxa"/>
            <w:vAlign w:val="bottom"/>
            <w:shd w:val="clear" w:color="auto" w:fill="FEFEFE"/>
          </w:tcPr>
          <w:p>
            <w:pPr>
              <w:ind w:left="140"/>
              <w:spacing w:after="0" w:line="213" w:lineRule="exact"/>
              <w:rPr>
                <w:sz w:val="20"/>
                <w:szCs w:val="20"/>
                <w:color w:val="auto"/>
              </w:rPr>
            </w:pPr>
            <w:r>
              <w:rPr>
                <w:rFonts w:ascii="Arial" w:cs="Arial" w:eastAsia="Arial" w:hAnsi="Arial"/>
                <w:sz w:val="20"/>
                <w:szCs w:val="20"/>
                <w:color w:val="auto"/>
              </w:rPr>
              <w:t>after</w:t>
            </w:r>
          </w:p>
        </w:tc>
        <w:tc>
          <w:tcPr>
            <w:tcW w:w="8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383</w:t>
            </w:r>
          </w:p>
        </w:tc>
        <w:tc>
          <w:tcPr>
            <w:tcW w:w="260" w:type="dxa"/>
            <w:vAlign w:val="bottom"/>
            <w:shd w:val="clear" w:color="auto" w:fill="FEFEFE"/>
          </w:tcPr>
          <w:p>
            <w:pPr>
              <w:spacing w:after="0"/>
              <w:rPr>
                <w:sz w:val="18"/>
                <w:szCs w:val="18"/>
                <w:color w:val="auto"/>
              </w:rPr>
            </w:pPr>
          </w:p>
        </w:tc>
        <w:tc>
          <w:tcPr>
            <w:tcW w:w="88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383</w:t>
            </w:r>
          </w:p>
        </w:tc>
        <w:tc>
          <w:tcPr>
            <w:tcW w:w="0" w:type="dxa"/>
            <w:vAlign w:val="bottom"/>
          </w:tcPr>
          <w:p>
            <w:pPr>
              <w:spacing w:after="0"/>
              <w:rPr>
                <w:sz w:val="1"/>
                <w:szCs w:val="1"/>
                <w:color w:val="auto"/>
              </w:rPr>
            </w:pPr>
          </w:p>
        </w:tc>
      </w:tr>
      <w:tr>
        <w:trPr>
          <w:trHeight w:val="271"/>
        </w:trPr>
        <w:tc>
          <w:tcPr>
            <w:tcW w:w="37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w w:val="98"/>
              </w:rPr>
              <w:t>reduction of unamorti ed debt discount)</w:t>
            </w:r>
          </w:p>
        </w:tc>
        <w:tc>
          <w:tcPr>
            <w:tcW w:w="3600" w:type="dxa"/>
            <w:vAlign w:val="bottom"/>
            <w:tcBorders>
              <w:bottom w:val="single" w:sz="8" w:color="auto"/>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spacing w:after="0"/>
              <w:rPr>
                <w:sz w:val="23"/>
                <w:szCs w:val="23"/>
                <w:color w:val="auto"/>
              </w:rPr>
            </w:pPr>
          </w:p>
        </w:tc>
        <w:tc>
          <w:tcPr>
            <w:tcW w:w="860" w:type="dxa"/>
            <w:vAlign w:val="bottom"/>
            <w:tcBorders>
              <w:bottom w:val="single" w:sz="8" w:color="auto"/>
            </w:tcBorders>
            <w:vMerge w:val="continue"/>
            <w:shd w:val="clear" w:color="auto" w:fill="FEFEFE"/>
          </w:tcPr>
          <w:p>
            <w:pPr>
              <w:spacing w:after="0"/>
              <w:rPr>
                <w:sz w:val="23"/>
                <w:szCs w:val="23"/>
                <w:color w:val="auto"/>
              </w:rPr>
            </w:pPr>
          </w:p>
        </w:tc>
        <w:tc>
          <w:tcPr>
            <w:tcW w:w="260" w:type="dxa"/>
            <w:vAlign w:val="bottom"/>
            <w:tcBorders>
              <w:bottom w:val="single" w:sz="8" w:color="auto"/>
            </w:tcBorders>
            <w:shd w:val="clear" w:color="auto" w:fill="FEFEFE"/>
          </w:tcPr>
          <w:p>
            <w:pPr>
              <w:spacing w:after="0"/>
              <w:rPr>
                <w:sz w:val="23"/>
                <w:szCs w:val="23"/>
                <w:color w:val="auto"/>
              </w:rPr>
            </w:pPr>
          </w:p>
        </w:tc>
        <w:tc>
          <w:tcPr>
            <w:tcW w:w="880" w:type="dxa"/>
            <w:vAlign w:val="bottom"/>
            <w:tcBorders>
              <w:bottom w:val="single" w:sz="8" w:color="auto"/>
            </w:tcBorders>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700" w:type="dxa"/>
            <w:vAlign w:val="bottom"/>
            <w:shd w:val="clear" w:color="auto" w:fill="E4E4E4"/>
          </w:tcPr>
          <w:p>
            <w:pPr>
              <w:ind w:left="140"/>
              <w:spacing w:after="0"/>
              <w:rPr>
                <w:sz w:val="20"/>
                <w:szCs w:val="20"/>
                <w:color w:val="auto"/>
              </w:rPr>
            </w:pPr>
            <w:r>
              <w:rPr>
                <w:rFonts w:ascii="Arial" w:cs="Arial" w:eastAsia="Arial" w:hAnsi="Arial"/>
                <w:sz w:val="20"/>
                <w:szCs w:val="20"/>
                <w:color w:val="auto"/>
              </w:rPr>
              <w:t>Total debt</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2,878</w:t>
            </w:r>
          </w:p>
        </w:tc>
        <w:tc>
          <w:tcPr>
            <w:tcW w:w="26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2,877</w:t>
            </w:r>
          </w:p>
        </w:tc>
        <w:tc>
          <w:tcPr>
            <w:tcW w:w="0" w:type="dxa"/>
            <w:vAlign w:val="bottom"/>
          </w:tcPr>
          <w:p>
            <w:pPr>
              <w:spacing w:after="0"/>
              <w:rPr>
                <w:sz w:val="1"/>
                <w:szCs w:val="1"/>
                <w:color w:val="auto"/>
              </w:rPr>
            </w:pPr>
          </w:p>
        </w:tc>
      </w:tr>
      <w:tr>
        <w:trPr>
          <w:trHeight w:val="293"/>
        </w:trPr>
        <w:tc>
          <w:tcPr>
            <w:tcW w:w="7300" w:type="dxa"/>
            <w:vAlign w:val="bottom"/>
            <w:gridSpan w:val="2"/>
            <w:shd w:val="clear" w:color="auto" w:fill="FEFEFE"/>
          </w:tcPr>
          <w:p>
            <w:pPr>
              <w:ind w:left="280"/>
              <w:spacing w:after="0"/>
              <w:rPr>
                <w:sz w:val="20"/>
                <w:szCs w:val="20"/>
                <w:color w:val="auto"/>
              </w:rPr>
            </w:pPr>
            <w:r>
              <w:rPr>
                <w:rFonts w:ascii="Arial" w:cs="Arial" w:eastAsia="Arial" w:hAnsi="Arial"/>
                <w:sz w:val="20"/>
                <w:szCs w:val="20"/>
                <w:color w:val="auto"/>
              </w:rPr>
              <w:t>Current maturities of long-term debt, net of debt issuance costs</w:t>
            </w:r>
          </w:p>
        </w:tc>
        <w:tc>
          <w:tcPr>
            <w:tcW w:w="960" w:type="dxa"/>
            <w:vAlign w:val="bottom"/>
            <w:shd w:val="clear" w:color="auto" w:fill="FEFEFE"/>
          </w:tcPr>
          <w:p>
            <w:pPr>
              <w:spacing w:after="0"/>
              <w:rPr>
                <w:sz w:val="24"/>
                <w:szCs w:val="24"/>
                <w:color w:val="auto"/>
              </w:rPr>
            </w:pPr>
          </w:p>
        </w:tc>
        <w:tc>
          <w:tcPr>
            <w:tcW w:w="8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999</w:t>
            </w:r>
          </w:p>
        </w:tc>
        <w:tc>
          <w:tcPr>
            <w:tcW w:w="26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Debt issuance costs</w:t>
            </w:r>
          </w:p>
        </w:tc>
        <w:tc>
          <w:tcPr>
            <w:tcW w:w="36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spacing w:after="0"/>
              <w:rPr>
                <w:sz w:val="24"/>
                <w:szCs w:val="24"/>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9</w:t>
            </w:r>
          </w:p>
        </w:tc>
        <w:tc>
          <w:tcPr>
            <w:tcW w:w="26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0"/>
        </w:trPr>
        <w:tc>
          <w:tcPr>
            <w:tcW w:w="37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Long-term debt</w:t>
            </w:r>
          </w:p>
        </w:tc>
        <w:tc>
          <w:tcPr>
            <w:tcW w:w="3600" w:type="dxa"/>
            <w:vAlign w:val="bottom"/>
            <w:tcBorders>
              <w:bottom w:val="single" w:sz="8" w:color="auto"/>
            </w:tcBorders>
            <w:shd w:val="clear" w:color="auto" w:fill="FEFEFE"/>
          </w:tcPr>
          <w:p>
            <w:pPr>
              <w:spacing w:after="0"/>
              <w:rPr>
                <w:sz w:val="24"/>
                <w:szCs w:val="24"/>
                <w:color w:val="auto"/>
              </w:rPr>
            </w:pPr>
          </w:p>
        </w:tc>
        <w:tc>
          <w:tcPr>
            <w:tcW w:w="960" w:type="dxa"/>
            <w:vAlign w:val="bottom"/>
            <w:tcBorders>
              <w:bottom w:val="single" w:sz="8" w:color="auto"/>
            </w:tcBorders>
            <w:shd w:val="clear" w:color="auto" w:fill="FEFEFE"/>
          </w:tcPr>
          <w:p>
            <w:pPr>
              <w:ind w:left="7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1,870</w:t>
            </w:r>
          </w:p>
        </w:tc>
        <w:tc>
          <w:tcPr>
            <w:tcW w:w="2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2,866</w:t>
            </w:r>
          </w:p>
        </w:tc>
        <w:tc>
          <w:tcPr>
            <w:tcW w:w="0" w:type="dxa"/>
            <w:vAlign w:val="bottom"/>
          </w:tcPr>
          <w:p>
            <w:pPr>
              <w:spacing w:after="0"/>
              <w:rPr>
                <w:sz w:val="1"/>
                <w:szCs w:val="1"/>
                <w:color w:val="auto"/>
              </w:rPr>
            </w:pPr>
          </w:p>
        </w:tc>
      </w:tr>
      <w:tr>
        <w:trPr>
          <w:trHeight w:val="409"/>
        </w:trPr>
        <w:tc>
          <w:tcPr>
            <w:tcW w:w="9120" w:type="dxa"/>
            <w:vAlign w:val="bottom"/>
            <w:gridSpan w:val="4"/>
          </w:tcPr>
          <w:p>
            <w:pPr>
              <w:spacing w:after="0"/>
              <w:rPr>
                <w:sz w:val="20"/>
                <w:szCs w:val="20"/>
                <w:color w:val="auto"/>
              </w:rPr>
            </w:pPr>
            <w:r>
              <w:rPr>
                <w:rFonts w:ascii="Arial" w:cs="Arial" w:eastAsia="Arial" w:hAnsi="Arial"/>
                <w:sz w:val="20"/>
                <w:szCs w:val="20"/>
                <w:color w:val="auto"/>
                <w:w w:val="92"/>
              </w:rPr>
              <w:t>The aggregate maturities of long-term debt, inclusive of current installments at January 31, 2026 are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700" w:type="dxa"/>
            <w:vAlign w:val="bottom"/>
            <w:shd w:val="clear" w:color="auto" w:fill="E4E4E4"/>
          </w:tcPr>
          <w:p>
            <w:pPr>
              <w:ind w:left="40"/>
              <w:spacing w:after="0"/>
              <w:rPr>
                <w:sz w:val="20"/>
                <w:szCs w:val="20"/>
                <w:color w:val="auto"/>
              </w:rPr>
            </w:pPr>
            <w:r>
              <w:rPr>
                <w:rFonts w:ascii="Arial" w:cs="Arial" w:eastAsia="Arial" w:hAnsi="Arial"/>
                <w:sz w:val="20"/>
                <w:szCs w:val="20"/>
                <w:color w:val="auto"/>
              </w:rPr>
              <w:t>Fiscal Year:</w:t>
            </w:r>
          </w:p>
        </w:tc>
        <w:tc>
          <w:tcPr>
            <w:tcW w:w="3600" w:type="dxa"/>
            <w:vAlign w:val="bottom"/>
            <w:shd w:val="clear" w:color="auto" w:fill="E4E4E4"/>
          </w:tcPr>
          <w:p>
            <w:pPr>
              <w:spacing w:after="0"/>
              <w:rPr>
                <w:sz w:val="23"/>
                <w:szCs w:val="23"/>
                <w:color w:val="auto"/>
              </w:rPr>
            </w:pPr>
          </w:p>
        </w:tc>
        <w:tc>
          <w:tcPr>
            <w:tcW w:w="960" w:type="dxa"/>
            <w:vAlign w:val="bottom"/>
            <w:shd w:val="clear" w:color="auto" w:fill="E4E4E4"/>
          </w:tcPr>
          <w:p>
            <w:pPr>
              <w:spacing w:after="0"/>
              <w:rPr>
                <w:sz w:val="23"/>
                <w:szCs w:val="23"/>
                <w:color w:val="auto"/>
              </w:rPr>
            </w:pPr>
          </w:p>
        </w:tc>
        <w:tc>
          <w:tcPr>
            <w:tcW w:w="860" w:type="dxa"/>
            <w:vAlign w:val="bottom"/>
            <w:shd w:val="clear" w:color="auto" w:fill="E4E4E4"/>
          </w:tcPr>
          <w:p>
            <w:pPr>
              <w:spacing w:after="0"/>
              <w:rPr>
                <w:sz w:val="23"/>
                <w:szCs w:val="23"/>
                <w:color w:val="auto"/>
              </w:rPr>
            </w:pPr>
          </w:p>
        </w:tc>
        <w:tc>
          <w:tcPr>
            <w:tcW w:w="260" w:type="dxa"/>
            <w:vAlign w:val="bottom"/>
            <w:shd w:val="clear" w:color="auto" w:fill="E4E4E4"/>
          </w:tcPr>
          <w:p>
            <w:pPr>
              <w:spacing w:after="0"/>
              <w:rPr>
                <w:sz w:val="23"/>
                <w:szCs w:val="23"/>
                <w:color w:val="auto"/>
              </w:rPr>
            </w:pPr>
          </w:p>
        </w:tc>
        <w:tc>
          <w:tcPr>
            <w:tcW w:w="88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2027</w:t>
            </w:r>
          </w:p>
        </w:tc>
        <w:tc>
          <w:tcPr>
            <w:tcW w:w="36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2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91"/>
        </w:trPr>
        <w:tc>
          <w:tcPr>
            <w:tcW w:w="370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2028</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w:t>
            </w:r>
          </w:p>
        </w:tc>
        <w:tc>
          <w:tcPr>
            <w:tcW w:w="36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91"/>
        </w:trPr>
        <w:tc>
          <w:tcPr>
            <w:tcW w:w="370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2030</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2031</w:t>
            </w:r>
          </w:p>
        </w:tc>
        <w:tc>
          <w:tcPr>
            <w:tcW w:w="3600" w:type="dxa"/>
            <w:vAlign w:val="bottom"/>
            <w:shd w:val="clear" w:color="auto" w:fill="FEFEFE"/>
          </w:tcPr>
          <w:p>
            <w:pPr>
              <w:spacing w:after="0"/>
              <w:rPr>
                <w:sz w:val="24"/>
                <w:szCs w:val="24"/>
                <w:color w:val="auto"/>
              </w:rPr>
            </w:pPr>
          </w:p>
        </w:tc>
        <w:tc>
          <w:tcPr>
            <w:tcW w:w="9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281"/>
        </w:trPr>
        <w:tc>
          <w:tcPr>
            <w:tcW w:w="3700" w:type="dxa"/>
            <w:vAlign w:val="bottom"/>
            <w:tcBorders>
              <w:bottom w:val="single" w:sz="8" w:color="auto"/>
            </w:tcBorders>
            <w:shd w:val="clear" w:color="auto" w:fill="E4E4E4"/>
          </w:tcPr>
          <w:p>
            <w:pPr>
              <w:ind w:left="280"/>
              <w:spacing w:after="0"/>
              <w:rPr>
                <w:sz w:val="20"/>
                <w:szCs w:val="20"/>
                <w:color w:val="auto"/>
              </w:rPr>
            </w:pPr>
            <w:r>
              <w:rPr>
                <w:rFonts w:ascii="Arial" w:cs="Arial" w:eastAsia="Arial" w:hAnsi="Arial"/>
                <w:sz w:val="20"/>
                <w:szCs w:val="20"/>
                <w:color w:val="auto"/>
              </w:rPr>
              <w:t>Later years</w:t>
            </w:r>
          </w:p>
        </w:tc>
        <w:tc>
          <w:tcPr>
            <w:tcW w:w="3600" w:type="dxa"/>
            <w:vAlign w:val="bottom"/>
            <w:tcBorders>
              <w:bottom w:val="single" w:sz="8" w:color="auto"/>
            </w:tcBorders>
            <w:shd w:val="clear" w:color="auto" w:fill="E4E4E4"/>
          </w:tcPr>
          <w:p>
            <w:pPr>
              <w:spacing w:after="0"/>
              <w:rPr>
                <w:sz w:val="24"/>
                <w:szCs w:val="24"/>
                <w:color w:val="auto"/>
              </w:rPr>
            </w:pPr>
          </w:p>
        </w:tc>
        <w:tc>
          <w:tcPr>
            <w:tcW w:w="960" w:type="dxa"/>
            <w:vAlign w:val="bottom"/>
            <w:tcBorders>
              <w:bottom w:val="single" w:sz="8" w:color="auto"/>
            </w:tcBorders>
            <w:shd w:val="clear" w:color="auto" w:fill="E4E4E4"/>
          </w:tcPr>
          <w:p>
            <w:pPr>
              <w:spacing w:after="0"/>
              <w:rPr>
                <w:sz w:val="24"/>
                <w:szCs w:val="24"/>
                <w:color w:val="auto"/>
              </w:rPr>
            </w:pPr>
          </w:p>
        </w:tc>
        <w:tc>
          <w:tcPr>
            <w:tcW w:w="860" w:type="dxa"/>
            <w:vAlign w:val="bottom"/>
            <w:tcBorders>
              <w:bottom w:val="single" w:sz="8" w:color="auto"/>
            </w:tcBorders>
            <w:shd w:val="clear" w:color="auto" w:fill="E4E4E4"/>
          </w:tcPr>
          <w:p>
            <w:pPr>
              <w:spacing w:after="0"/>
              <w:rPr>
                <w:sz w:val="24"/>
                <w:szCs w:val="24"/>
                <w:color w:val="auto"/>
              </w:rPr>
            </w:pPr>
          </w:p>
        </w:tc>
        <w:tc>
          <w:tcPr>
            <w:tcW w:w="26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885</w:t>
            </w:r>
          </w:p>
        </w:tc>
        <w:tc>
          <w:tcPr>
            <w:tcW w:w="0" w:type="dxa"/>
            <w:vAlign w:val="bottom"/>
          </w:tcPr>
          <w:p>
            <w:pPr>
              <w:spacing w:after="0"/>
              <w:rPr>
                <w:sz w:val="1"/>
                <w:szCs w:val="1"/>
                <w:color w:val="auto"/>
              </w:rPr>
            </w:pPr>
          </w:p>
        </w:tc>
      </w:tr>
      <w:tr>
        <w:trPr>
          <w:trHeight w:val="270"/>
        </w:trPr>
        <w:tc>
          <w:tcPr>
            <w:tcW w:w="3700" w:type="dxa"/>
            <w:vAlign w:val="bottom"/>
            <w:shd w:val="clear" w:color="auto" w:fill="FEFEFE"/>
          </w:tcPr>
          <w:p>
            <w:pPr>
              <w:ind w:left="180"/>
              <w:spacing w:after="0"/>
              <w:rPr>
                <w:sz w:val="20"/>
                <w:szCs w:val="20"/>
                <w:color w:val="auto"/>
              </w:rPr>
            </w:pPr>
            <w:r>
              <w:rPr>
                <w:rFonts w:ascii="Arial" w:cs="Arial" w:eastAsia="Arial" w:hAnsi="Arial"/>
                <w:sz w:val="20"/>
                <w:szCs w:val="20"/>
                <w:color w:val="auto"/>
              </w:rPr>
              <w:t>namorti ed debt discount</w:t>
            </w:r>
          </w:p>
        </w:tc>
        <w:tc>
          <w:tcPr>
            <w:tcW w:w="3600" w:type="dxa"/>
            <w:vAlign w:val="bottom"/>
            <w:shd w:val="clear" w:color="auto" w:fill="FEFEFE"/>
          </w:tcPr>
          <w:p>
            <w:pPr>
              <w:spacing w:after="0"/>
              <w:rPr>
                <w:sz w:val="23"/>
                <w:szCs w:val="23"/>
                <w:color w:val="auto"/>
              </w:rPr>
            </w:pPr>
          </w:p>
        </w:tc>
        <w:tc>
          <w:tcPr>
            <w:tcW w:w="96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260" w:type="dxa"/>
            <w:vAlign w:val="bottom"/>
            <w:shd w:val="clear" w:color="auto" w:fill="FEFEFE"/>
          </w:tcPr>
          <w:p>
            <w:pPr>
              <w:spacing w:after="0"/>
              <w:rPr>
                <w:sz w:val="23"/>
                <w:szCs w:val="23"/>
                <w:color w:val="auto"/>
              </w:rPr>
            </w:pPr>
          </w:p>
        </w:tc>
        <w:tc>
          <w:tcPr>
            <w:tcW w:w="8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0"/>
        </w:trPr>
        <w:tc>
          <w:tcPr>
            <w:tcW w:w="3700" w:type="dxa"/>
            <w:vAlign w:val="bottom"/>
            <w:shd w:val="clear" w:color="auto" w:fill="E4E4E4"/>
          </w:tcPr>
          <w:p>
            <w:pPr>
              <w:ind w:left="40"/>
              <w:spacing w:after="0"/>
              <w:rPr>
                <w:sz w:val="20"/>
                <w:szCs w:val="20"/>
                <w:color w:val="auto"/>
              </w:rPr>
            </w:pPr>
            <w:r>
              <w:rPr>
                <w:rFonts w:ascii="Arial" w:cs="Arial" w:eastAsia="Arial" w:hAnsi="Arial"/>
                <w:sz w:val="20"/>
                <w:szCs w:val="20"/>
                <w:color w:val="auto"/>
              </w:rPr>
              <w:t>Debt issuance costs</w:t>
            </w:r>
          </w:p>
        </w:tc>
        <w:tc>
          <w:tcPr>
            <w:tcW w:w="3600" w:type="dxa"/>
            <w:vAlign w:val="bottom"/>
            <w:shd w:val="clear" w:color="auto" w:fill="E4E4E4"/>
          </w:tcPr>
          <w:p>
            <w:pPr>
              <w:spacing w:after="0"/>
              <w:rPr>
                <w:sz w:val="24"/>
                <w:szCs w:val="24"/>
                <w:color w:val="auto"/>
              </w:rPr>
            </w:pPr>
          </w:p>
        </w:tc>
        <w:tc>
          <w:tcPr>
            <w:tcW w:w="960" w:type="dxa"/>
            <w:vAlign w:val="bottom"/>
            <w:shd w:val="clear" w:color="auto" w:fill="E4E4E4"/>
          </w:tcPr>
          <w:p>
            <w:pPr>
              <w:spacing w:after="0"/>
              <w:rPr>
                <w:sz w:val="24"/>
                <w:szCs w:val="24"/>
                <w:color w:val="auto"/>
              </w:rPr>
            </w:pPr>
          </w:p>
        </w:tc>
        <w:tc>
          <w:tcPr>
            <w:tcW w:w="860" w:type="dxa"/>
            <w:vAlign w:val="bottom"/>
            <w:shd w:val="clear" w:color="auto" w:fill="E4E4E4"/>
          </w:tcPr>
          <w:p>
            <w:pPr>
              <w:spacing w:after="0"/>
              <w:rPr>
                <w:sz w:val="24"/>
                <w:szCs w:val="24"/>
                <w:color w:val="auto"/>
              </w:rPr>
            </w:pPr>
          </w:p>
        </w:tc>
        <w:tc>
          <w:tcPr>
            <w:tcW w:w="26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w w:val="99"/>
              </w:rPr>
              <w:t>Less: current maturities of long-term debt</w:t>
            </w:r>
          </w:p>
        </w:tc>
        <w:tc>
          <w:tcPr>
            <w:tcW w:w="3600" w:type="dxa"/>
            <w:vAlign w:val="bottom"/>
            <w:tcBorders>
              <w:bottom w:val="single" w:sz="8" w:color="auto"/>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spacing w:after="0"/>
              <w:rPr>
                <w:sz w:val="23"/>
                <w:szCs w:val="23"/>
                <w:color w:val="auto"/>
              </w:rPr>
            </w:pPr>
          </w:p>
        </w:tc>
        <w:tc>
          <w:tcPr>
            <w:tcW w:w="860" w:type="dxa"/>
            <w:vAlign w:val="bottom"/>
            <w:tcBorders>
              <w:bottom w:val="single" w:sz="8" w:color="auto"/>
            </w:tcBorders>
            <w:shd w:val="clear" w:color="auto" w:fill="FEFEFE"/>
          </w:tcPr>
          <w:p>
            <w:pPr>
              <w:spacing w:after="0"/>
              <w:rPr>
                <w:sz w:val="23"/>
                <w:szCs w:val="23"/>
                <w:color w:val="auto"/>
              </w:rPr>
            </w:pPr>
          </w:p>
        </w:tc>
        <w:tc>
          <w:tcPr>
            <w:tcW w:w="260" w:type="dxa"/>
            <w:vAlign w:val="bottom"/>
            <w:tcBorders>
              <w:bottom w:val="single" w:sz="8" w:color="auto"/>
            </w:tcBorders>
            <w:shd w:val="clear" w:color="auto" w:fill="FEFEFE"/>
          </w:tcPr>
          <w:p>
            <w:pPr>
              <w:spacing w:after="0"/>
              <w:rPr>
                <w:sz w:val="23"/>
                <w:szCs w:val="23"/>
                <w:color w:val="auto"/>
              </w:rPr>
            </w:pPr>
          </w:p>
        </w:tc>
        <w:tc>
          <w:tcPr>
            <w:tcW w:w="8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999</w:t>
            </w:r>
          </w:p>
        </w:tc>
        <w:tc>
          <w:tcPr>
            <w:tcW w:w="0" w:type="dxa"/>
            <w:vAlign w:val="bottom"/>
          </w:tcPr>
          <w:p>
            <w:pPr>
              <w:spacing w:after="0"/>
              <w:rPr>
                <w:sz w:val="1"/>
                <w:szCs w:val="1"/>
                <w:color w:val="auto"/>
              </w:rPr>
            </w:pPr>
          </w:p>
        </w:tc>
      </w:tr>
      <w:tr>
        <w:trPr>
          <w:trHeight w:val="265"/>
        </w:trPr>
        <w:tc>
          <w:tcPr>
            <w:tcW w:w="3700" w:type="dxa"/>
            <w:vAlign w:val="bottom"/>
            <w:tcBorders>
              <w:bottom w:val="single" w:sz="8" w:color="auto"/>
            </w:tcBorders>
            <w:shd w:val="clear" w:color="auto" w:fill="E4E4E4"/>
          </w:tcPr>
          <w:p>
            <w:pPr>
              <w:ind w:left="420"/>
              <w:spacing w:after="0"/>
              <w:rPr>
                <w:sz w:val="20"/>
                <w:szCs w:val="20"/>
                <w:color w:val="auto"/>
              </w:rPr>
            </w:pPr>
            <w:r>
              <w:rPr>
                <w:rFonts w:ascii="Arial" w:cs="Arial" w:eastAsia="Arial" w:hAnsi="Arial"/>
                <w:sz w:val="20"/>
                <w:szCs w:val="20"/>
                <w:color w:val="auto"/>
                <w:w w:val="99"/>
              </w:rPr>
              <w:t>ggregate maturities of long term debt</w:t>
            </w:r>
          </w:p>
        </w:tc>
        <w:tc>
          <w:tcPr>
            <w:tcW w:w="3600" w:type="dxa"/>
            <w:vAlign w:val="bottom"/>
            <w:tcBorders>
              <w:bottom w:val="single" w:sz="8" w:color="auto"/>
            </w:tcBorders>
            <w:shd w:val="clear" w:color="auto" w:fill="E4E4E4"/>
          </w:tcPr>
          <w:p>
            <w:pPr>
              <w:spacing w:after="0"/>
              <w:rPr>
                <w:sz w:val="23"/>
                <w:szCs w:val="23"/>
                <w:color w:val="auto"/>
              </w:rPr>
            </w:pPr>
          </w:p>
        </w:tc>
        <w:tc>
          <w:tcPr>
            <w:tcW w:w="960" w:type="dxa"/>
            <w:vAlign w:val="bottom"/>
            <w:tcBorders>
              <w:bottom w:val="single" w:sz="8" w:color="auto"/>
            </w:tcBorders>
            <w:shd w:val="clear" w:color="auto" w:fill="E4E4E4"/>
          </w:tcPr>
          <w:p>
            <w:pPr>
              <w:spacing w:after="0"/>
              <w:rPr>
                <w:sz w:val="23"/>
                <w:szCs w:val="23"/>
                <w:color w:val="auto"/>
              </w:rPr>
            </w:pPr>
          </w:p>
        </w:tc>
        <w:tc>
          <w:tcPr>
            <w:tcW w:w="860" w:type="dxa"/>
            <w:vAlign w:val="bottom"/>
            <w:tcBorders>
              <w:bottom w:val="single" w:sz="8" w:color="auto"/>
            </w:tcBorders>
            <w:shd w:val="clear" w:color="auto" w:fill="E4E4E4"/>
          </w:tcPr>
          <w:p>
            <w:pPr>
              <w:spacing w:after="0"/>
              <w:rPr>
                <w:sz w:val="23"/>
                <w:szCs w:val="23"/>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1,870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20"/>
        <w:spacing w:after="0"/>
        <w:tabs>
          <w:tab w:leader="none" w:pos="780" w:val="left"/>
          <w:tab w:leader="none" w:pos="1820" w:val="left"/>
        </w:tabs>
        <w:rPr>
          <w:sz w:val="20"/>
          <w:szCs w:val="20"/>
          <w:color w:val="auto"/>
        </w:rPr>
      </w:pPr>
      <w:r>
        <w:rPr>
          <w:rFonts w:ascii="Arial" w:cs="Arial" w:eastAsia="Arial" w:hAnsi="Arial"/>
          <w:sz w:val="22"/>
          <w:szCs w:val="22"/>
          <w:i w:val="1"/>
          <w:iCs w:val="1"/>
          <w:color w:val="auto"/>
        </w:rPr>
        <w:t>enior</w:t>
        <w:tab/>
        <w:t>nsecured</w:t>
      </w:r>
      <w:r>
        <w:rPr>
          <w:sz w:val="20"/>
          <w:szCs w:val="20"/>
          <w:color w:val="auto"/>
        </w:rPr>
        <w:tab/>
      </w:r>
      <w:r>
        <w:rPr>
          <w:rFonts w:ascii="Arial" w:cs="Arial" w:eastAsia="Arial" w:hAnsi="Arial"/>
          <w:sz w:val="19"/>
          <w:szCs w:val="19"/>
          <w:i w:val="1"/>
          <w:iCs w:val="1"/>
          <w:color w:val="auto"/>
        </w:rPr>
        <w:t>otes</w:t>
      </w:r>
    </w:p>
    <w:p>
      <w:pPr>
        <w:spacing w:after="0" w:line="146"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As of January 31, 2026, TJX had outstanding $1 billion aggregate principal amount of 2.250 10-year Notes due September 2026. TJX entered into a rate-lock agreement to hedge $700 million of the 2.250 notes prior to issuance. The cost of this</w:t>
      </w:r>
    </w:p>
    <w:tbl>
      <w:tblPr>
        <w:tblLayout w:type="fixed"/>
        <w:tblInd w:w="0" w:type="dxa"/>
        <w:tblCellMar>
          <w:top w:w="0" w:type="dxa"/>
          <w:left w:w="0" w:type="dxa"/>
          <w:bottom w:w="0" w:type="dxa"/>
          <w:right w:w="0" w:type="dxa"/>
        </w:tblCellMar>
      </w:tblPr>
      <w:tr>
        <w:trPr>
          <w:trHeight w:val="240"/>
        </w:trPr>
        <w:tc>
          <w:tcPr>
            <w:tcW w:w="9340" w:type="dxa"/>
            <w:vAlign w:val="bottom"/>
            <w:gridSpan w:val="3"/>
          </w:tcPr>
          <w:p>
            <w:pPr>
              <w:spacing w:after="0"/>
              <w:rPr>
                <w:sz w:val="20"/>
                <w:szCs w:val="20"/>
                <w:color w:val="auto"/>
              </w:rPr>
            </w:pPr>
            <w:r>
              <w:rPr>
                <w:rFonts w:ascii="Arial" w:cs="Arial" w:eastAsia="Arial" w:hAnsi="Arial"/>
                <w:sz w:val="20"/>
                <w:szCs w:val="20"/>
                <w:color w:val="auto"/>
                <w:w w:val="91"/>
              </w:rPr>
              <w:t>agreement is being amorti ed to interest expense over the term of the note resulting in an effective fixed rate of 2.36</w:t>
            </w:r>
          </w:p>
        </w:tc>
        <w:tc>
          <w:tcPr>
            <w:tcW w:w="840" w:type="dxa"/>
            <w:vAlign w:val="bottom"/>
          </w:tcPr>
          <w:p>
            <w:pPr>
              <w:ind w:left="140"/>
              <w:spacing w:after="0"/>
              <w:rPr>
                <w:sz w:val="20"/>
                <w:szCs w:val="20"/>
                <w:color w:val="auto"/>
              </w:rPr>
            </w:pPr>
            <w:r>
              <w:rPr>
                <w:rFonts w:ascii="Arial" w:cs="Arial" w:eastAsia="Arial" w:hAnsi="Arial"/>
                <w:sz w:val="20"/>
                <w:szCs w:val="20"/>
                <w:color w:val="auto"/>
              </w:rPr>
              <w:t>for the</w:t>
            </w:r>
          </w:p>
        </w:tc>
      </w:tr>
      <w:tr>
        <w:trPr>
          <w:trHeight w:val="261"/>
        </w:trPr>
        <w:tc>
          <w:tcPr>
            <w:tcW w:w="560" w:type="dxa"/>
            <w:vAlign w:val="bottom"/>
          </w:tcPr>
          <w:p>
            <w:pPr>
              <w:spacing w:after="0"/>
              <w:rPr>
                <w:sz w:val="20"/>
                <w:szCs w:val="20"/>
                <w:color w:val="auto"/>
              </w:rPr>
            </w:pPr>
            <w:r>
              <w:rPr>
                <w:rFonts w:ascii="Arial" w:cs="Arial" w:eastAsia="Arial" w:hAnsi="Arial"/>
                <w:sz w:val="20"/>
                <w:szCs w:val="20"/>
                <w:color w:val="auto"/>
              </w:rPr>
              <w:t>2.25</w:t>
            </w:r>
          </w:p>
        </w:tc>
        <w:tc>
          <w:tcPr>
            <w:tcW w:w="8780" w:type="dxa"/>
            <w:vAlign w:val="bottom"/>
            <w:gridSpan w:val="2"/>
          </w:tcPr>
          <w:p>
            <w:pPr>
              <w:spacing w:after="0"/>
              <w:rPr>
                <w:sz w:val="20"/>
                <w:szCs w:val="20"/>
                <w:color w:val="auto"/>
              </w:rPr>
            </w:pPr>
            <w:r>
              <w:rPr>
                <w:rFonts w:ascii="Arial" w:cs="Arial" w:eastAsia="Arial" w:hAnsi="Arial"/>
                <w:sz w:val="20"/>
                <w:szCs w:val="20"/>
                <w:color w:val="auto"/>
              </w:rPr>
              <w:t>notes.</w:t>
            </w:r>
          </w:p>
        </w:tc>
        <w:tc>
          <w:tcPr>
            <w:tcW w:w="840" w:type="dxa"/>
            <w:vAlign w:val="bottom"/>
          </w:tcPr>
          <w:p>
            <w:pPr>
              <w:spacing w:after="0"/>
              <w:rPr>
                <w:sz w:val="22"/>
                <w:szCs w:val="22"/>
                <w:color w:val="auto"/>
              </w:rPr>
            </w:pPr>
          </w:p>
        </w:tc>
      </w:tr>
      <w:tr>
        <w:trPr>
          <w:trHeight w:val="376"/>
        </w:trPr>
        <w:tc>
          <w:tcPr>
            <w:tcW w:w="560" w:type="dxa"/>
            <w:vAlign w:val="bottom"/>
          </w:tcPr>
          <w:p>
            <w:pPr>
              <w:spacing w:after="0"/>
              <w:rPr>
                <w:sz w:val="20"/>
                <w:szCs w:val="20"/>
                <w:color w:val="auto"/>
              </w:rPr>
            </w:pPr>
            <w:r>
              <w:rPr>
                <w:rFonts w:ascii="Arial" w:cs="Arial" w:eastAsia="Arial" w:hAnsi="Arial"/>
                <w:sz w:val="22"/>
                <w:szCs w:val="22"/>
                <w:i w:val="1"/>
                <w:iCs w:val="1"/>
                <w:color w:val="auto"/>
                <w:w w:val="91"/>
              </w:rPr>
              <w:t>Credit</w:t>
            </w:r>
          </w:p>
        </w:tc>
        <w:tc>
          <w:tcPr>
            <w:tcW w:w="18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Arial" w:cs="Arial" w:eastAsia="Arial" w:hAnsi="Arial"/>
                <w:sz w:val="22"/>
                <w:szCs w:val="22"/>
                <w:i w:val="1"/>
                <w:iCs w:val="1"/>
                <w:color w:val="auto"/>
              </w:rPr>
              <w:t>acilities</w:t>
            </w:r>
          </w:p>
        </w:tc>
        <w:tc>
          <w:tcPr>
            <w:tcW w:w="840" w:type="dxa"/>
            <w:vAlign w:val="bottom"/>
          </w:tcPr>
          <w:p>
            <w:pPr>
              <w:spacing w:after="0"/>
              <w:rPr>
                <w:sz w:val="24"/>
                <w:szCs w:val="24"/>
                <w:color w:val="auto"/>
              </w:rPr>
            </w:pPr>
          </w:p>
        </w:tc>
      </w:tr>
      <w:tr>
        <w:trPr>
          <w:trHeight w:val="346"/>
        </w:trPr>
        <w:tc>
          <w:tcPr>
            <w:tcW w:w="9340" w:type="dxa"/>
            <w:vAlign w:val="bottom"/>
            <w:gridSpan w:val="3"/>
          </w:tcPr>
          <w:p>
            <w:pPr>
              <w:spacing w:after="0"/>
              <w:rPr>
                <w:sz w:val="20"/>
                <w:szCs w:val="20"/>
                <w:color w:val="auto"/>
              </w:rPr>
            </w:pPr>
            <w:r>
              <w:rPr>
                <w:rFonts w:ascii="Arial" w:cs="Arial" w:eastAsia="Arial" w:hAnsi="Arial"/>
                <w:sz w:val="20"/>
                <w:szCs w:val="20"/>
                <w:color w:val="auto"/>
                <w:highlight w:val="white"/>
                <w:w w:val="94"/>
              </w:rPr>
              <w:t xml:space="preserve">As </w:t>
            </w:r>
            <w:r>
              <w:rPr>
                <w:rFonts w:ascii="Arial" w:cs="Arial" w:eastAsia="Arial" w:hAnsi="Arial"/>
                <w:sz w:val="20"/>
                <w:szCs w:val="20"/>
                <w:color w:val="auto"/>
                <w:w w:val="94"/>
              </w:rPr>
              <w:t>of January 31, 2026, TJX has two revolving credit facilities, a $750 million revolving credit facility maturing in</w:t>
            </w:r>
          </w:p>
        </w:tc>
        <w:tc>
          <w:tcPr>
            <w:tcW w:w="840" w:type="dxa"/>
            <w:vAlign w:val="bottom"/>
          </w:tcPr>
          <w:p>
            <w:pPr>
              <w:ind w:left="80"/>
              <w:spacing w:after="0"/>
              <w:rPr>
                <w:sz w:val="20"/>
                <w:szCs w:val="20"/>
                <w:color w:val="auto"/>
              </w:rPr>
            </w:pPr>
            <w:r>
              <w:rPr>
                <w:rFonts w:ascii="Arial" w:cs="Arial" w:eastAsia="Arial" w:hAnsi="Arial"/>
                <w:sz w:val="20"/>
                <w:szCs w:val="20"/>
                <w:color w:val="auto"/>
              </w:rPr>
              <w:t>ay 202</w:t>
            </w:r>
          </w:p>
        </w:tc>
      </w:tr>
      <w:tr>
        <w:trPr>
          <w:trHeight w:val="240"/>
        </w:trPr>
        <w:tc>
          <w:tcPr>
            <w:tcW w:w="740" w:type="dxa"/>
            <w:vAlign w:val="bottom"/>
            <w:gridSpan w:val="2"/>
          </w:tcPr>
          <w:p>
            <w:pPr>
              <w:spacing w:after="0"/>
              <w:rPr>
                <w:sz w:val="20"/>
                <w:szCs w:val="20"/>
                <w:color w:val="auto"/>
              </w:rPr>
            </w:pPr>
            <w:r>
              <w:rPr>
                <w:rFonts w:ascii="Arial" w:cs="Arial" w:eastAsia="Arial" w:hAnsi="Arial"/>
                <w:sz w:val="20"/>
                <w:szCs w:val="20"/>
                <w:color w:val="auto"/>
                <w:w w:val="91"/>
              </w:rPr>
              <w:t>(the  202</w:t>
            </w:r>
          </w:p>
        </w:tc>
        <w:tc>
          <w:tcPr>
            <w:tcW w:w="9440" w:type="dxa"/>
            <w:vAlign w:val="bottom"/>
            <w:gridSpan w:val="2"/>
          </w:tcPr>
          <w:p>
            <w:pPr>
              <w:ind w:left="280"/>
              <w:spacing w:after="0"/>
              <w:rPr>
                <w:sz w:val="20"/>
                <w:szCs w:val="20"/>
                <w:color w:val="auto"/>
              </w:rPr>
            </w:pPr>
            <w:r>
              <w:rPr>
                <w:rFonts w:ascii="Arial" w:cs="Arial" w:eastAsia="Arial" w:hAnsi="Arial"/>
                <w:sz w:val="20"/>
                <w:szCs w:val="20"/>
                <w:color w:val="auto"/>
                <w:w w:val="94"/>
              </w:rPr>
              <w:t>evolving Credit Facility ) and a $750 million senior unsecured revolving credit facility maturing in  ay 2030 (the</w:t>
            </w:r>
          </w:p>
        </w:tc>
      </w:tr>
      <w:tr>
        <w:trPr>
          <w:trHeight w:val="261"/>
        </w:trPr>
        <w:tc>
          <w:tcPr>
            <w:tcW w:w="560" w:type="dxa"/>
            <w:vAlign w:val="bottom"/>
          </w:tcPr>
          <w:p>
            <w:pPr>
              <w:ind w:left="80"/>
              <w:spacing w:after="0"/>
              <w:rPr>
                <w:sz w:val="20"/>
                <w:szCs w:val="20"/>
                <w:color w:val="auto"/>
              </w:rPr>
            </w:pPr>
            <w:r>
              <w:rPr>
                <w:rFonts w:ascii="Arial" w:cs="Arial" w:eastAsia="Arial" w:hAnsi="Arial"/>
                <w:sz w:val="20"/>
                <w:szCs w:val="20"/>
                <w:color w:val="auto"/>
              </w:rPr>
              <w:t>2030</w:t>
            </w:r>
          </w:p>
        </w:tc>
        <w:tc>
          <w:tcPr>
            <w:tcW w:w="8780" w:type="dxa"/>
            <w:vAlign w:val="bottom"/>
            <w:gridSpan w:val="2"/>
          </w:tcPr>
          <w:p>
            <w:pPr>
              <w:ind w:left="100"/>
              <w:spacing w:after="0"/>
              <w:rPr>
                <w:sz w:val="20"/>
                <w:szCs w:val="20"/>
                <w:color w:val="auto"/>
              </w:rPr>
            </w:pPr>
            <w:r>
              <w:rPr>
                <w:rFonts w:ascii="Arial" w:cs="Arial" w:eastAsia="Arial" w:hAnsi="Arial"/>
                <w:sz w:val="20"/>
                <w:szCs w:val="20"/>
                <w:color w:val="auto"/>
              </w:rPr>
              <w:t>evolving Credit Facility ).</w:t>
            </w:r>
          </w:p>
        </w:tc>
        <w:tc>
          <w:tcPr>
            <w:tcW w:w="840" w:type="dxa"/>
            <w:vAlign w:val="bottom"/>
          </w:tcPr>
          <w:p>
            <w:pPr>
              <w:spacing w:after="0"/>
              <w:rPr>
                <w:sz w:val="22"/>
                <w:szCs w:val="22"/>
                <w:color w:val="auto"/>
              </w:rPr>
            </w:pPr>
          </w:p>
        </w:tc>
      </w:tr>
    </w:tbl>
    <w:p>
      <w:pPr>
        <w:spacing w:after="0" w:line="200" w:lineRule="exact"/>
        <w:rPr>
          <w:sz w:val="20"/>
          <w:szCs w:val="20"/>
          <w:color w:val="auto"/>
        </w:rPr>
      </w:pPr>
    </w:p>
    <w:p>
      <w:pPr>
        <w:sectPr>
          <w:pgSz w:w="12240" w:h="15841" w:orient="portrait"/>
          <w:cols w:equalWidth="0" w:num="1">
            <w:col w:w="10260"/>
          </w:cols>
          <w:pgMar w:left="1000" w:top="792" w:right="981"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F-31</w:t>
      </w:r>
    </w:p>
    <w:p>
      <w:pPr>
        <w:sectPr>
          <w:pgSz w:w="12240" w:h="15841" w:orient="portrait"/>
          <w:cols w:equalWidth="0" w:num="1">
            <w:col w:w="10260"/>
          </w:cols>
          <w:pgMar w:left="1000" w:top="792" w:right="981" w:bottom="0" w:gutter="0" w:footer="0" w:header="0"/>
          <w:type w:val="continuous"/>
        </w:sectPr>
      </w:pPr>
    </w:p>
    <w:bookmarkStart w:id="87" w:name="page88"/>
    <w:bookmarkEnd w:id="87"/>
    <w:p>
      <w:pPr>
        <w:ind w:right="20" w:firstLine="145"/>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 ay , 2025, the Company amended and restated its $500 million revolving credit facility (as amended, the 202 evolving Credit Facility) to (i) extend the maturity to ay , 202 and (ii) increase the aggregate principal amount commitment to $750 million. All other material terms and conditions of the 202 evolving Credit Facility were unchanged.</w:t>
      </w:r>
    </w:p>
    <w:p>
      <w:pPr>
        <w:spacing w:after="0" w:line="56" w:lineRule="exact"/>
        <w:rPr>
          <w:sz w:val="20"/>
          <w:szCs w:val="20"/>
          <w:color w:val="auto"/>
        </w:rPr>
      </w:pPr>
    </w:p>
    <w:p>
      <w:pPr>
        <w:ind w:left="120" w:right="100" w:hanging="132"/>
        <w:spacing w:after="0" w:line="250" w:lineRule="auto"/>
        <w:rPr>
          <w:sz w:val="20"/>
          <w:szCs w:val="20"/>
          <w:color w:val="auto"/>
        </w:rPr>
      </w:pPr>
      <w:r>
        <w:rPr>
          <w:rFonts w:ascii="Arial" w:cs="Arial" w:eastAsia="Arial" w:hAnsi="Arial"/>
          <w:sz w:val="20"/>
          <w:szCs w:val="20"/>
          <w:color w:val="auto"/>
        </w:rPr>
        <w:t>Additionally, on</w:t>
      </w:r>
      <w:r>
        <w:rPr>
          <w:sz w:val="20"/>
          <w:szCs w:val="20"/>
          <w:color w:val="auto"/>
        </w:rPr>
        <w:t xml:space="preserve"> </w:t>
      </w:r>
      <w:r>
        <w:rPr>
          <w:rFonts w:ascii="Arial" w:cs="Arial" w:eastAsia="Arial" w:hAnsi="Arial"/>
          <w:sz w:val="20"/>
          <w:szCs w:val="20"/>
          <w:color w:val="auto"/>
        </w:rPr>
        <w:t>ay , 2025, the Company amended and restated its $1 billion revolving credit facility (as amended, the 2030 evolving Credit Facility) to (i) extend the maturity to ay , 2030, (ii) decrease the aggregate principal amount of</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commitments to $750 million and (iii) reduce the interest rate margin applicable to borrowings bearing interest at a term secured overnight financing rate to a margin of 45.0 - 87.5 basis points consistent with the 202 evolving Credit Facility. All other material terms and conditions of the 2030 evolving Credit Facility were unchanged.</w:t>
      </w:r>
    </w:p>
    <w:p>
      <w:pPr>
        <w:spacing w:after="0" w:line="75" w:lineRule="exact"/>
        <w:rPr>
          <w:sz w:val="20"/>
          <w:szCs w:val="20"/>
          <w:color w:val="auto"/>
        </w:rPr>
      </w:pPr>
    </w:p>
    <w:p>
      <w:pPr>
        <w:ind w:right="20" w:firstLine="145"/>
        <w:spacing w:after="0" w:line="266" w:lineRule="auto"/>
        <w:rPr>
          <w:sz w:val="20"/>
          <w:szCs w:val="20"/>
          <w:color w:val="auto"/>
        </w:rPr>
      </w:pPr>
      <w:r>
        <w:rPr>
          <w:rFonts w:ascii="Arial" w:cs="Arial" w:eastAsia="Arial" w:hAnsi="Arial"/>
          <w:sz w:val="20"/>
          <w:szCs w:val="20"/>
          <w:color w:val="auto"/>
        </w:rPr>
        <w:t>nder these credit facilities, the Company has maintained a borrowing capacity of $1.5 billion. As of January 31, 2026 and February 1, 2025, there were no amounts outstanding under these facilities. TJX was in compliance with all covenants related to its credit facilities at the end of all periods presented.</w:t>
      </w:r>
    </w:p>
    <w:p>
      <w:pPr>
        <w:spacing w:after="0" w:line="54" w:lineRule="exact"/>
        <w:rPr>
          <w:sz w:val="20"/>
          <w:szCs w:val="20"/>
          <w:color w:val="auto"/>
        </w:rPr>
      </w:pPr>
    </w:p>
    <w:p>
      <w:pPr>
        <w:spacing w:after="0"/>
        <w:tabs>
          <w:tab w:leader="none" w:pos="700" w:val="left"/>
          <w:tab w:leader="none" w:pos="1800" w:val="left"/>
        </w:tabs>
        <w:rPr>
          <w:sz w:val="20"/>
          <w:szCs w:val="20"/>
          <w:color w:val="auto"/>
        </w:rPr>
      </w:pPr>
      <w:r>
        <w:rPr>
          <w:rFonts w:ascii="Arial" w:cs="Arial" w:eastAsia="Arial" w:hAnsi="Arial"/>
          <w:sz w:val="24"/>
          <w:szCs w:val="24"/>
          <w:color w:val="auto"/>
        </w:rPr>
        <w:t>Note</w:t>
        <w:tab/>
        <w:t>. Income</w:t>
      </w:r>
      <w:r>
        <w:rPr>
          <w:sz w:val="20"/>
          <w:szCs w:val="20"/>
          <w:color w:val="auto"/>
        </w:rPr>
        <w:tab/>
      </w:r>
      <w:r>
        <w:rPr>
          <w:rFonts w:ascii="Arial" w:cs="Arial" w:eastAsia="Arial" w:hAnsi="Arial"/>
          <w:sz w:val="23"/>
          <w:szCs w:val="23"/>
          <w:color w:val="auto"/>
        </w:rPr>
        <w:t>a es</w:t>
      </w:r>
    </w:p>
    <w:p>
      <w:pPr>
        <w:spacing w:after="0" w:line="153"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color w:val="auto"/>
        </w:rPr>
        <w:t>In December 2023, the FASB issued guidance related to improvements to income tax disclosures. The new standard updates the income tax disclosure related to the rate reconciliation and re uires disclosure of income taxes paid by jurisdiction. The standard also provides for further disclosure comparability. The standard is effective for fiscal years beginning after December 15, 2024, with early adoption permitted. The Company adopted this standard as of January 31, 2026, on a prospective basis.</w:t>
      </w:r>
    </w:p>
    <w:p>
      <w:pPr>
        <w:spacing w:after="0" w:line="49" w:lineRule="exact"/>
        <w:rPr>
          <w:sz w:val="20"/>
          <w:szCs w:val="20"/>
          <w:color w:val="auto"/>
        </w:rPr>
      </w:pPr>
    </w:p>
    <w:p>
      <w:pPr>
        <w:ind w:right="80" w:firstLine="145"/>
        <w:spacing w:after="0" w:line="248" w:lineRule="auto"/>
        <w:rPr>
          <w:sz w:val="20"/>
          <w:szCs w:val="20"/>
          <w:color w:val="auto"/>
        </w:rPr>
      </w:pPr>
      <w:r>
        <w:rPr>
          <w:rFonts w:ascii="Arial" w:cs="Arial" w:eastAsia="Arial" w:hAnsi="Arial"/>
          <w:sz w:val="20"/>
          <w:szCs w:val="20"/>
          <w:color w:val="auto"/>
        </w:rPr>
        <w:t>n July 4, 2025, the ne Big Beautiful Bill Act was signed into law, making permanent certain expiring provisions of the Tax Cuts and Jobs Act, including 100 accelerated depreciation deductions on ualified property and immediate expensing of domestic research and development costs, as well as modifying some of the international tax rules. These changes have not had a material impact on the Company’s income tax provision but have resulted in a reduction of the Company’s current year .S. cash tax obligations.</w:t>
      </w:r>
    </w:p>
    <w:p>
      <w:pPr>
        <w:spacing w:after="0" w:line="8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In 2021, the rgani ation for Economic Co-operation and Development announced an Inclusive Framework on Base Erosion and Profit Shifting including Pillar Two odel ules defining the global minimum tax, which calls for the taxation of large multinational corporations at a minimum rate of 15 . Subse uently multiple sets of administrative guidance have been issued, including the release of a comprehensive Side-by-Side Package in January 2026, which introduced additional safe harbors and options to adopt simplified compliance mechanism for companies head uartered in jurisdictions with a ualified Side-by-Side regime. ember countries must enact local legislation or update existing regulations to adopt and incorporate the Pillar Two</w:t>
      </w:r>
    </w:p>
    <w:p>
      <w:pPr>
        <w:spacing w:after="0" w:line="1"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Side-by-Side Package. any non- S tax jurisdictions have either recently enacted legislation to adopt certain components of the Pillar Two odel ules beginning in 2024 with the adoption of additional components in later years or announced their</w:t>
      </w:r>
    </w:p>
    <w:p>
      <w:pPr>
        <w:ind w:right="60"/>
        <w:spacing w:after="0" w:line="278" w:lineRule="auto"/>
        <w:rPr>
          <w:sz w:val="20"/>
          <w:szCs w:val="20"/>
          <w:color w:val="auto"/>
        </w:rPr>
      </w:pPr>
      <w:r>
        <w:rPr>
          <w:rFonts w:ascii="Arial" w:cs="Arial" w:eastAsia="Arial" w:hAnsi="Arial"/>
          <w:sz w:val="18"/>
          <w:szCs w:val="18"/>
          <w:color w:val="auto"/>
        </w:rPr>
        <w:t>plans to enact legislation in future years. Considering TJX does not have material operations in jurisdictions with tax rates lower than the Pillar Two minimum, these rules did not have a material impact on the Company’s financial statements for fiscal 2026. There remains uncertainty as to the final Pillar Two model rules. The Company is continuing to evaluate the impacts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r>
              <w:rPr>
                <w:rFonts w:ascii="Arial" w:cs="Arial" w:eastAsia="Arial" w:hAnsi="Arial"/>
                <w:sz w:val="20"/>
                <w:szCs w:val="20"/>
                <w:color w:val="auto"/>
                <w:w w:val="92"/>
              </w:rPr>
              <w:t>enacted legislation and pending legislation to enact Pillar Two</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odel  ules in the non-</w:t>
            </w:r>
          </w:p>
        </w:tc>
        <w:tc>
          <w:tcPr>
            <w:tcW w:w="3240" w:type="dxa"/>
            <w:vAlign w:val="bottom"/>
            <w:gridSpan w:val="6"/>
          </w:tcPr>
          <w:p>
            <w:pPr>
              <w:jc w:val="right"/>
              <w:ind w:right="460"/>
              <w:spacing w:after="0"/>
              <w:rPr>
                <w:sz w:val="20"/>
                <w:szCs w:val="20"/>
                <w:color w:val="auto"/>
              </w:rPr>
            </w:pPr>
            <w:r>
              <w:rPr>
                <w:rFonts w:ascii="Arial" w:cs="Arial" w:eastAsia="Arial" w:hAnsi="Arial"/>
                <w:sz w:val="20"/>
                <w:szCs w:val="20"/>
                <w:color w:val="auto"/>
                <w:w w:val="96"/>
              </w:rPr>
              <w:t>S tax jurisdictions in which TJX</w:t>
            </w:r>
          </w:p>
        </w:tc>
      </w:tr>
      <w:tr>
        <w:trPr>
          <w:trHeight w:val="261"/>
        </w:trPr>
        <w:tc>
          <w:tcPr>
            <w:tcW w:w="5080" w:type="dxa"/>
            <w:vAlign w:val="bottom"/>
          </w:tcPr>
          <w:p>
            <w:pPr>
              <w:spacing w:after="0"/>
              <w:rPr>
                <w:sz w:val="20"/>
                <w:szCs w:val="20"/>
                <w:color w:val="auto"/>
              </w:rPr>
            </w:pPr>
            <w:r>
              <w:rPr>
                <w:rFonts w:ascii="Arial" w:cs="Arial" w:eastAsia="Arial" w:hAnsi="Arial"/>
                <w:sz w:val="20"/>
                <w:szCs w:val="20"/>
                <w:color w:val="auto"/>
              </w:rPr>
              <w:t>operates.</w:t>
            </w: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60"/>
        </w:trPr>
        <w:tc>
          <w:tcPr>
            <w:tcW w:w="7540" w:type="dxa"/>
            <w:vAlign w:val="bottom"/>
            <w:gridSpan w:val="4"/>
          </w:tcPr>
          <w:p>
            <w:pPr>
              <w:spacing w:after="0"/>
              <w:rPr>
                <w:sz w:val="20"/>
                <w:szCs w:val="20"/>
                <w:color w:val="auto"/>
              </w:rPr>
            </w:pPr>
            <w:r>
              <w:rPr>
                <w:rFonts w:ascii="Arial" w:cs="Arial" w:eastAsia="Arial" w:hAnsi="Arial"/>
                <w:sz w:val="20"/>
                <w:szCs w:val="20"/>
                <w:color w:val="auto"/>
                <w:w w:val="92"/>
              </w:rPr>
              <w:t>For financial reporting purposes, components of income before income taxes are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9"/>
              </w:rPr>
              <w:t>Fiscal Year Ended</w:t>
            </w:r>
          </w:p>
        </w:tc>
        <w:tc>
          <w:tcPr>
            <w:tcW w:w="1160" w:type="dxa"/>
            <w:vAlign w:val="bottom"/>
            <w:tcBorders>
              <w:bottom w:val="single" w:sz="8" w:color="auto"/>
            </w:tcBorders>
          </w:tcPr>
          <w:p>
            <w:pPr>
              <w:spacing w:after="0"/>
              <w:rPr>
                <w:sz w:val="24"/>
                <w:szCs w:val="24"/>
                <w:color w:val="auto"/>
              </w:rPr>
            </w:pPr>
          </w:p>
        </w:tc>
      </w:tr>
      <w:tr>
        <w:trPr>
          <w:trHeight w:val="212"/>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gridSpan w:val="2"/>
          </w:tcPr>
          <w:p>
            <w:pPr>
              <w:jc w:val="right"/>
              <w:spacing w:after="0" w:line="212" w:lineRule="exact"/>
              <w:rPr>
                <w:sz w:val="20"/>
                <w:szCs w:val="20"/>
                <w:color w:val="auto"/>
              </w:rPr>
            </w:pPr>
            <w:r>
              <w:rPr>
                <w:rFonts w:ascii="Arial" w:cs="Arial" w:eastAsia="Arial" w:hAnsi="Arial"/>
                <w:sz w:val="20"/>
                <w:szCs w:val="20"/>
                <w:color w:val="auto"/>
              </w:rPr>
              <w:t>January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1,</w:t>
            </w:r>
          </w:p>
        </w:tc>
        <w:tc>
          <w:tcPr>
            <w:tcW w:w="160" w:type="dxa"/>
            <w:vAlign w:val="bottom"/>
          </w:tcPr>
          <w:p>
            <w:pPr>
              <w:spacing w:after="0"/>
              <w:rPr>
                <w:sz w:val="18"/>
                <w:szCs w:val="18"/>
                <w:color w:val="auto"/>
              </w:rPr>
            </w:pPr>
          </w:p>
        </w:tc>
        <w:tc>
          <w:tcPr>
            <w:tcW w:w="116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91"/>
              </w:rPr>
              <w:t>February 3,</w:t>
            </w:r>
          </w:p>
        </w:tc>
      </w:tr>
      <w:tr>
        <w:trPr>
          <w:trHeight w:val="263"/>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24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20"/>
                <w:szCs w:val="20"/>
                <w:color w:val="auto"/>
              </w:rPr>
              <w:t>2026</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2024</w:t>
            </w:r>
          </w:p>
        </w:tc>
      </w:tr>
      <w:tr>
        <w:trPr>
          <w:trHeight w:val="284"/>
        </w:trPr>
        <w:tc>
          <w:tcPr>
            <w:tcW w:w="5080" w:type="dxa"/>
            <w:vAlign w:val="bottom"/>
            <w:shd w:val="clear" w:color="auto" w:fill="FEFEFE"/>
          </w:tcPr>
          <w:p>
            <w:pPr>
              <w:spacing w:after="0"/>
              <w:rPr>
                <w:sz w:val="24"/>
                <w:szCs w:val="24"/>
                <w:color w:val="auto"/>
              </w:rPr>
            </w:pPr>
          </w:p>
        </w:tc>
        <w:tc>
          <w:tcPr>
            <w:tcW w:w="1220" w:type="dxa"/>
            <w:vAlign w:val="bottom"/>
            <w:shd w:val="clear" w:color="auto" w:fill="FEFEFE"/>
          </w:tcPr>
          <w:p>
            <w:pPr>
              <w:spacing w:after="0"/>
              <w:rPr>
                <w:sz w:val="24"/>
                <w:szCs w:val="24"/>
                <w:color w:val="auto"/>
              </w:rPr>
            </w:pPr>
          </w:p>
        </w:tc>
        <w:tc>
          <w:tcPr>
            <w:tcW w:w="720" w:type="dxa"/>
            <w:vAlign w:val="bottom"/>
            <w:shd w:val="clear" w:color="auto" w:fill="FEFEFE"/>
          </w:tcPr>
          <w:p>
            <w:pPr>
              <w:spacing w:after="0"/>
              <w:rPr>
                <w:sz w:val="24"/>
                <w:szCs w:val="24"/>
                <w:color w:val="auto"/>
              </w:rPr>
            </w:pPr>
          </w:p>
        </w:tc>
        <w:tc>
          <w:tcPr>
            <w:tcW w:w="52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shd w:val="clear" w:color="auto" w:fill="FEFEFE"/>
          </w:tcPr>
          <w:p>
            <w:pPr>
              <w:spacing w:after="0"/>
              <w:rPr>
                <w:sz w:val="24"/>
                <w:szCs w:val="24"/>
                <w:color w:val="auto"/>
              </w:rPr>
            </w:pPr>
          </w:p>
        </w:tc>
        <w:tc>
          <w:tcPr>
            <w:tcW w:w="1160" w:type="dxa"/>
            <w:vAlign w:val="bottom"/>
            <w:shd w:val="clear" w:color="auto" w:fill="FEFEFE"/>
          </w:tcPr>
          <w:p>
            <w:pPr>
              <w:jc w:val="center"/>
              <w:ind w:right="80"/>
              <w:spacing w:after="0"/>
              <w:rPr>
                <w:sz w:val="20"/>
                <w:szCs w:val="20"/>
                <w:color w:val="auto"/>
              </w:rPr>
            </w:pPr>
            <w:r>
              <w:rPr>
                <w:rFonts w:ascii="Arial" w:cs="Arial" w:eastAsia="Arial" w:hAnsi="Arial"/>
                <w:sz w:val="20"/>
                <w:szCs w:val="20"/>
                <w:color w:val="auto"/>
                <w:w w:val="91"/>
              </w:rPr>
              <w:t>(53 weeks)</w:t>
            </w:r>
          </w:p>
        </w:tc>
      </w:tr>
      <w:tr>
        <w:trPr>
          <w:trHeight w:val="307"/>
        </w:trPr>
        <w:tc>
          <w:tcPr>
            <w:tcW w:w="50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nited States</w:t>
            </w:r>
          </w:p>
        </w:tc>
        <w:tc>
          <w:tcPr>
            <w:tcW w:w="1940" w:type="dxa"/>
            <w:vAlign w:val="bottom"/>
            <w:gridSpan w:val="2"/>
            <w:shd w:val="clear" w:color="auto" w:fill="E4E4E4"/>
          </w:tcPr>
          <w:p>
            <w:pPr>
              <w:jc w:val="right"/>
              <w:ind w:right="480"/>
              <w:spacing w:after="0"/>
              <w:rPr>
                <w:sz w:val="20"/>
                <w:szCs w:val="20"/>
                <w:color w:val="auto"/>
              </w:rPr>
            </w:pPr>
            <w:r>
              <w:rPr>
                <w:rFonts w:ascii="Arial" w:cs="Arial" w:eastAsia="Arial" w:hAnsi="Arial"/>
                <w:sz w:val="20"/>
                <w:szCs w:val="20"/>
                <w:color w:val="auto"/>
              </w:rPr>
              <w:t>$</w:t>
            </w:r>
          </w:p>
        </w:tc>
        <w:tc>
          <w:tcPr>
            <w:tcW w:w="520" w:type="dxa"/>
            <w:vAlign w:val="bottom"/>
            <w:shd w:val="clear" w:color="auto" w:fill="E4E4E4"/>
          </w:tcPr>
          <w:p>
            <w:pPr>
              <w:jc w:val="right"/>
              <w:spacing w:after="0"/>
              <w:rPr>
                <w:sz w:val="20"/>
                <w:szCs w:val="20"/>
                <w:color w:val="auto"/>
              </w:rPr>
            </w:pPr>
            <w:r>
              <w:rPr>
                <w:rFonts w:ascii="Arial" w:cs="Arial" w:eastAsia="Arial" w:hAnsi="Arial"/>
                <w:sz w:val="20"/>
                <w:szCs w:val="20"/>
                <w:color w:val="auto"/>
                <w:w w:val="95"/>
              </w:rPr>
              <w:t>6,264</w:t>
            </w:r>
          </w:p>
        </w:tc>
        <w:tc>
          <w:tcPr>
            <w:tcW w:w="2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5,541</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5,077</w:t>
            </w:r>
          </w:p>
        </w:tc>
      </w:tr>
      <w:tr>
        <w:trPr>
          <w:trHeight w:val="290"/>
        </w:trPr>
        <w:tc>
          <w:tcPr>
            <w:tcW w:w="508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Foreign</w:t>
            </w:r>
          </w:p>
        </w:tc>
        <w:tc>
          <w:tcPr>
            <w:tcW w:w="1220" w:type="dxa"/>
            <w:vAlign w:val="bottom"/>
            <w:tcBorders>
              <w:bottom w:val="single" w:sz="8" w:color="auto"/>
            </w:tcBorders>
            <w:shd w:val="clear" w:color="auto" w:fill="FEFEFE"/>
          </w:tcPr>
          <w:p>
            <w:pPr>
              <w:spacing w:after="0"/>
              <w:rPr>
                <w:sz w:val="24"/>
                <w:szCs w:val="24"/>
                <w:color w:val="auto"/>
              </w:rPr>
            </w:pPr>
          </w:p>
        </w:tc>
        <w:tc>
          <w:tcPr>
            <w:tcW w:w="720" w:type="dxa"/>
            <w:vAlign w:val="bottom"/>
            <w:tcBorders>
              <w:bottom w:val="single" w:sz="8" w:color="auto"/>
            </w:tcBorders>
            <w:shd w:val="clear" w:color="auto" w:fill="FEFEFE"/>
          </w:tcPr>
          <w:p>
            <w:pPr>
              <w:spacing w:after="0"/>
              <w:rPr>
                <w:sz w:val="24"/>
                <w:szCs w:val="24"/>
                <w:color w:val="auto"/>
              </w:rPr>
            </w:pPr>
          </w:p>
        </w:tc>
        <w:tc>
          <w:tcPr>
            <w:tcW w:w="52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w w:val="95"/>
              </w:rPr>
              <w:t>1,035</w:t>
            </w:r>
          </w:p>
        </w:tc>
        <w:tc>
          <w:tcPr>
            <w:tcW w:w="80" w:type="dxa"/>
            <w:vAlign w:val="bottom"/>
            <w:tcBorders>
              <w:bottom w:val="single" w:sz="8" w:color="auto"/>
            </w:tcBorders>
            <w:shd w:val="clear" w:color="auto" w:fill="FEFEFE"/>
          </w:tcPr>
          <w:p>
            <w:pPr>
              <w:spacing w:after="0"/>
              <w:rPr>
                <w:sz w:val="24"/>
                <w:szCs w:val="24"/>
                <w:color w:val="auto"/>
              </w:rPr>
            </w:pPr>
          </w:p>
        </w:tc>
        <w:tc>
          <w:tcPr>
            <w:tcW w:w="1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42</w:t>
            </w:r>
          </w:p>
        </w:tc>
        <w:tc>
          <w:tcPr>
            <w:tcW w:w="1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8 0</w:t>
            </w:r>
          </w:p>
        </w:tc>
      </w:tr>
      <w:tr>
        <w:trPr>
          <w:trHeight w:val="280"/>
        </w:trPr>
        <w:tc>
          <w:tcPr>
            <w:tcW w:w="5080" w:type="dxa"/>
            <w:vAlign w:val="bottom"/>
            <w:tcBorders>
              <w:bottom w:val="single" w:sz="8" w:color="auto"/>
            </w:tcBorders>
            <w:shd w:val="clear" w:color="auto" w:fill="E4E4E4"/>
          </w:tcPr>
          <w:p>
            <w:pPr>
              <w:ind w:left="280"/>
              <w:spacing w:after="0"/>
              <w:rPr>
                <w:sz w:val="20"/>
                <w:szCs w:val="20"/>
                <w:color w:val="auto"/>
              </w:rPr>
            </w:pPr>
            <w:r>
              <w:rPr>
                <w:rFonts w:ascii="Arial" w:cs="Arial" w:eastAsia="Arial" w:hAnsi="Arial"/>
                <w:sz w:val="20"/>
                <w:szCs w:val="20"/>
                <w:color w:val="auto"/>
              </w:rPr>
              <w:t>Income before income taxes</w:t>
            </w:r>
          </w:p>
        </w:tc>
        <w:tc>
          <w:tcPr>
            <w:tcW w:w="1940" w:type="dxa"/>
            <w:vAlign w:val="bottom"/>
            <w:tcBorders>
              <w:bottom w:val="single" w:sz="8" w:color="auto"/>
            </w:tcBorders>
            <w:gridSpan w:val="2"/>
            <w:shd w:val="clear" w:color="auto" w:fill="E4E4E4"/>
          </w:tcPr>
          <w:p>
            <w:pPr>
              <w:jc w:val="right"/>
              <w:ind w:right="48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95"/>
              </w:rPr>
              <w:t>7,299</w:t>
            </w:r>
          </w:p>
        </w:tc>
        <w:tc>
          <w:tcPr>
            <w:tcW w:w="240" w:type="dxa"/>
            <w:vAlign w:val="bottom"/>
            <w:tcBorders>
              <w:bottom w:val="single" w:sz="8" w:color="auto"/>
            </w:tcBorders>
            <w:gridSpan w:val="2"/>
            <w:shd w:val="clear" w:color="auto" w:fill="E4E4E4"/>
          </w:tcPr>
          <w:p>
            <w:pPr>
              <w:jc w:val="right"/>
              <w:ind w:right="2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6,483</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5, 67</w:t>
            </w:r>
          </w:p>
        </w:tc>
      </w:tr>
    </w:tbl>
    <w:p>
      <w:pPr>
        <w:spacing w:after="0" w:line="200" w:lineRule="exact"/>
        <w:rPr>
          <w:sz w:val="20"/>
          <w:szCs w:val="20"/>
          <w:color w:val="auto"/>
        </w:rPr>
      </w:pP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F-32</w:t>
      </w:r>
    </w:p>
    <w:p>
      <w:pPr>
        <w:sectPr>
          <w:pgSz w:w="12240" w:h="15841" w:orient="portrait"/>
          <w:cols w:equalWidth="0" w:num="1">
            <w:col w:w="10260"/>
          </w:cols>
          <w:pgMar w:left="1000" w:top="792" w:right="981"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61"/>
        </w:trPr>
        <w:tc>
          <w:tcPr>
            <w:tcW w:w="6340" w:type="dxa"/>
            <w:vAlign w:val="bottom"/>
          </w:tcPr>
          <w:p>
            <w:pPr>
              <w:spacing w:after="0"/>
              <w:rPr>
                <w:sz w:val="20"/>
                <w:szCs w:val="20"/>
                <w:color w:val="auto"/>
              </w:rPr>
            </w:pPr>
            <w:r>
              <w:rPr>
                <w:rFonts w:ascii="Arial" w:cs="Arial" w:eastAsia="Arial" w:hAnsi="Arial"/>
                <w:sz w:val="20"/>
                <w:szCs w:val="20"/>
                <w:color w:val="auto"/>
              </w:rPr>
              <w:t>The provision for income taxes includes the following:</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left="740"/>
              <w:spacing w:after="0"/>
              <w:rPr>
                <w:sz w:val="20"/>
                <w:szCs w:val="20"/>
                <w:color w:val="auto"/>
              </w:rPr>
            </w:pPr>
            <w:r>
              <w:rPr>
                <w:rFonts w:ascii="Arial" w:cs="Arial" w:eastAsia="Arial" w:hAnsi="Arial"/>
                <w:sz w:val="20"/>
                <w:szCs w:val="20"/>
                <w:color w:val="auto"/>
                <w:w w:val="90"/>
              </w:rPr>
              <w:t>Fiscal Year Ended</w:t>
            </w:r>
          </w:p>
        </w:tc>
        <w:tc>
          <w:tcPr>
            <w:tcW w:w="1140" w:type="dxa"/>
            <w:vAlign w:val="bottom"/>
            <w:tcBorders>
              <w:bottom w:val="single" w:sz="8" w:color="auto"/>
            </w:tcBorders>
          </w:tcPr>
          <w:p>
            <w:pPr>
              <w:spacing w:after="0"/>
              <w:rPr>
                <w:sz w:val="24"/>
                <w:szCs w:val="24"/>
                <w:color w:val="auto"/>
              </w:rPr>
            </w:pPr>
          </w:p>
        </w:tc>
      </w:tr>
      <w:tr>
        <w:trPr>
          <w:trHeight w:val="212"/>
        </w:trPr>
        <w:tc>
          <w:tcPr>
            <w:tcW w:w="6340" w:type="dxa"/>
            <w:vAlign w:val="bottom"/>
          </w:tcPr>
          <w:p>
            <w:pPr>
              <w:spacing w:after="0"/>
              <w:rPr>
                <w:sz w:val="18"/>
                <w:szCs w:val="18"/>
                <w:color w:val="auto"/>
              </w:rPr>
            </w:pPr>
          </w:p>
        </w:tc>
        <w:tc>
          <w:tcPr>
            <w:tcW w:w="1280" w:type="dxa"/>
            <w:vAlign w:val="bottom"/>
            <w:gridSpan w:val="2"/>
          </w:tcPr>
          <w:p>
            <w:pPr>
              <w:jc w:val="right"/>
              <w:ind w:right="20"/>
              <w:spacing w:after="0" w:line="212" w:lineRule="exact"/>
              <w:rPr>
                <w:sz w:val="20"/>
                <w:szCs w:val="20"/>
                <w:color w:val="auto"/>
              </w:rPr>
            </w:pPr>
            <w:r>
              <w:rPr>
                <w:rFonts w:ascii="Arial" w:cs="Arial" w:eastAsia="Arial" w:hAnsi="Arial"/>
                <w:sz w:val="20"/>
                <w:szCs w:val="20"/>
                <w:color w:val="auto"/>
              </w:rPr>
              <w:t>January 31,</w:t>
            </w:r>
          </w:p>
        </w:tc>
        <w:tc>
          <w:tcPr>
            <w:tcW w:w="200" w:type="dxa"/>
            <w:vAlign w:val="bottom"/>
          </w:tcPr>
          <w:p>
            <w:pPr>
              <w:spacing w:after="0"/>
              <w:rPr>
                <w:sz w:val="18"/>
                <w:szCs w:val="18"/>
                <w:color w:val="auto"/>
              </w:rPr>
            </w:pPr>
          </w:p>
        </w:tc>
        <w:tc>
          <w:tcPr>
            <w:tcW w:w="1100" w:type="dxa"/>
            <w:vAlign w:val="bottom"/>
          </w:tcPr>
          <w:p>
            <w:pPr>
              <w:jc w:val="center"/>
              <w:ind w:right="40"/>
              <w:spacing w:after="0" w:line="212" w:lineRule="exact"/>
              <w:rPr>
                <w:sz w:val="20"/>
                <w:szCs w:val="20"/>
                <w:color w:val="auto"/>
              </w:rPr>
            </w:pPr>
            <w:r>
              <w:rPr>
                <w:rFonts w:ascii="Arial" w:cs="Arial" w:eastAsia="Arial" w:hAnsi="Arial"/>
                <w:sz w:val="20"/>
                <w:szCs w:val="20"/>
                <w:color w:val="auto"/>
                <w:w w:val="89"/>
              </w:rPr>
              <w:t>February 1,</w:t>
            </w:r>
          </w:p>
        </w:tc>
        <w:tc>
          <w:tcPr>
            <w:tcW w:w="200" w:type="dxa"/>
            <w:vAlign w:val="bottom"/>
          </w:tcPr>
          <w:p>
            <w:pPr>
              <w:spacing w:after="0"/>
              <w:rPr>
                <w:sz w:val="18"/>
                <w:szCs w:val="18"/>
                <w:color w:val="auto"/>
              </w:rPr>
            </w:pPr>
          </w:p>
        </w:tc>
        <w:tc>
          <w:tcPr>
            <w:tcW w:w="114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89"/>
              </w:rPr>
              <w:t>February 3,</w:t>
            </w:r>
          </w:p>
        </w:tc>
      </w:tr>
      <w:tr>
        <w:trPr>
          <w:trHeight w:val="263"/>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2025</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2024</w:t>
            </w:r>
          </w:p>
        </w:tc>
      </w:tr>
      <w:tr>
        <w:trPr>
          <w:trHeight w:val="283"/>
        </w:trPr>
        <w:tc>
          <w:tcPr>
            <w:tcW w:w="6340" w:type="dxa"/>
            <w:vAlign w:val="bottom"/>
            <w:shd w:val="clear" w:color="auto" w:fill="FEFEFE"/>
          </w:tcPr>
          <w:p>
            <w:pPr>
              <w:spacing w:after="0"/>
              <w:rPr>
                <w:sz w:val="24"/>
                <w:szCs w:val="24"/>
                <w:color w:val="auto"/>
              </w:rPr>
            </w:pP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center"/>
              <w:ind w:right="80"/>
              <w:spacing w:after="0"/>
              <w:rPr>
                <w:sz w:val="20"/>
                <w:szCs w:val="20"/>
                <w:color w:val="auto"/>
              </w:rPr>
            </w:pPr>
            <w:r>
              <w:rPr>
                <w:rFonts w:ascii="Arial" w:cs="Arial" w:eastAsia="Arial" w:hAnsi="Arial"/>
                <w:sz w:val="20"/>
                <w:szCs w:val="20"/>
                <w:color w:val="auto"/>
                <w:w w:val="89"/>
              </w:rPr>
              <w:t>(53 weeks)</w:t>
            </w:r>
          </w:p>
        </w:tc>
      </w:tr>
      <w:tr>
        <w:trPr>
          <w:trHeight w:val="287"/>
        </w:trPr>
        <w:tc>
          <w:tcPr>
            <w:tcW w:w="63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Current:</w:t>
            </w:r>
          </w:p>
        </w:tc>
        <w:tc>
          <w:tcPr>
            <w:tcW w:w="300" w:type="dxa"/>
            <w:vAlign w:val="bottom"/>
            <w:tcBorders>
              <w:bottom w:val="single" w:sz="8" w:color="E4E4E4"/>
            </w:tcBorders>
            <w:shd w:val="clear" w:color="auto" w:fill="E4E4E4"/>
          </w:tcPr>
          <w:p>
            <w:pPr>
              <w:spacing w:after="0"/>
              <w:rPr>
                <w:sz w:val="24"/>
                <w:szCs w:val="24"/>
                <w:color w:val="auto"/>
              </w:rPr>
            </w:pPr>
          </w:p>
        </w:tc>
        <w:tc>
          <w:tcPr>
            <w:tcW w:w="98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r>
      <w:tr>
        <w:trPr>
          <w:trHeight w:val="293"/>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Federal</w:t>
            </w:r>
          </w:p>
        </w:tc>
        <w:tc>
          <w:tcPr>
            <w:tcW w:w="30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1,022</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ind w:right="60"/>
              <w:spacing w:after="0"/>
              <w:rPr>
                <w:sz w:val="20"/>
                <w:szCs w:val="20"/>
                <w:color w:val="auto"/>
              </w:rPr>
            </w:pPr>
            <w:r>
              <w:rPr>
                <w:rFonts w:ascii="Arial" w:cs="Arial" w:eastAsia="Arial" w:hAnsi="Arial"/>
                <w:sz w:val="20"/>
                <w:szCs w:val="20"/>
                <w:color w:val="auto"/>
              </w:rPr>
              <w:t>1,00</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82</w:t>
            </w:r>
          </w:p>
        </w:tc>
      </w:tr>
      <w:tr>
        <w:trPr>
          <w:trHeight w:val="307"/>
        </w:trPr>
        <w:tc>
          <w:tcPr>
            <w:tcW w:w="6340" w:type="dxa"/>
            <w:vAlign w:val="bottom"/>
            <w:shd w:val="clear" w:color="auto" w:fill="E4E4E4"/>
          </w:tcPr>
          <w:p>
            <w:pPr>
              <w:ind w:left="260"/>
              <w:spacing w:after="0"/>
              <w:rPr>
                <w:sz w:val="20"/>
                <w:szCs w:val="20"/>
                <w:color w:val="auto"/>
              </w:rPr>
            </w:pPr>
            <w:r>
              <w:rPr>
                <w:rFonts w:ascii="Arial" w:cs="Arial" w:eastAsia="Arial" w:hAnsi="Arial"/>
                <w:sz w:val="20"/>
                <w:szCs w:val="20"/>
                <w:color w:val="auto"/>
              </w:rPr>
              <w:t>State</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351</w:t>
            </w: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338</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344</w:t>
            </w:r>
          </w:p>
        </w:tc>
      </w:tr>
      <w:tr>
        <w:trPr>
          <w:trHeight w:val="293"/>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Foreign</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321</w:t>
            </w: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244</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175</w:t>
            </w:r>
          </w:p>
        </w:tc>
      </w:tr>
      <w:tr>
        <w:trPr>
          <w:trHeight w:val="287"/>
        </w:trPr>
        <w:tc>
          <w:tcPr>
            <w:tcW w:w="63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Deferred:</w:t>
            </w:r>
          </w:p>
        </w:tc>
        <w:tc>
          <w:tcPr>
            <w:tcW w:w="300" w:type="dxa"/>
            <w:vAlign w:val="bottom"/>
            <w:tcBorders>
              <w:bottom w:val="single" w:sz="8" w:color="E4E4E4"/>
            </w:tcBorders>
            <w:shd w:val="clear" w:color="auto" w:fill="E4E4E4"/>
          </w:tcPr>
          <w:p>
            <w:pPr>
              <w:spacing w:after="0"/>
              <w:rPr>
                <w:sz w:val="24"/>
                <w:szCs w:val="24"/>
                <w:color w:val="auto"/>
              </w:rPr>
            </w:pPr>
          </w:p>
        </w:tc>
        <w:tc>
          <w:tcPr>
            <w:tcW w:w="98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r>
      <w:tr>
        <w:trPr>
          <w:trHeight w:val="293"/>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Federal</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90</w:t>
            </w: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w:t>
            </w:r>
          </w:p>
        </w:tc>
      </w:tr>
      <w:tr>
        <w:trPr>
          <w:trHeight w:val="307"/>
        </w:trPr>
        <w:tc>
          <w:tcPr>
            <w:tcW w:w="6340" w:type="dxa"/>
            <w:vAlign w:val="bottom"/>
            <w:shd w:val="clear" w:color="auto" w:fill="E4E4E4"/>
          </w:tcPr>
          <w:p>
            <w:pPr>
              <w:ind w:left="260"/>
              <w:spacing w:after="0"/>
              <w:rPr>
                <w:sz w:val="20"/>
                <w:szCs w:val="20"/>
                <w:color w:val="auto"/>
              </w:rPr>
            </w:pPr>
            <w:r>
              <w:rPr>
                <w:rFonts w:ascii="Arial" w:cs="Arial" w:eastAsia="Arial" w:hAnsi="Arial"/>
                <w:sz w:val="20"/>
                <w:szCs w:val="20"/>
                <w:color w:val="auto"/>
              </w:rPr>
              <w:t>State</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(34)</w:t>
            </w:r>
          </w:p>
        </w:tc>
      </w:tr>
      <w:tr>
        <w:trPr>
          <w:trHeight w:val="290"/>
        </w:trPr>
        <w:tc>
          <w:tcPr>
            <w:tcW w:w="634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23</w:t>
            </w:r>
          </w:p>
        </w:tc>
        <w:tc>
          <w:tcPr>
            <w:tcW w:w="2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20</w:t>
            </w:r>
          </w:p>
        </w:tc>
      </w:tr>
      <w:tr>
        <w:trPr>
          <w:trHeight w:val="280"/>
        </w:trPr>
        <w:tc>
          <w:tcPr>
            <w:tcW w:w="6340" w:type="dxa"/>
            <w:vAlign w:val="bottom"/>
            <w:tcBorders>
              <w:bottom w:val="single" w:sz="8" w:color="auto"/>
            </w:tcBorders>
            <w:shd w:val="clear" w:color="auto" w:fill="E4E4E4"/>
          </w:tcPr>
          <w:p>
            <w:pPr>
              <w:ind w:left="520"/>
              <w:spacing w:after="0"/>
              <w:rPr>
                <w:sz w:val="20"/>
                <w:szCs w:val="20"/>
                <w:color w:val="auto"/>
              </w:rPr>
            </w:pPr>
            <w:r>
              <w:rPr>
                <w:rFonts w:ascii="Arial" w:cs="Arial" w:eastAsia="Arial" w:hAnsi="Arial"/>
                <w:sz w:val="20"/>
                <w:szCs w:val="20"/>
                <w:color w:val="auto"/>
              </w:rPr>
              <w:t>ro ision for income ta es</w:t>
            </w:r>
          </w:p>
        </w:tc>
        <w:tc>
          <w:tcPr>
            <w:tcW w:w="30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1,805</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ind w:right="60"/>
              <w:spacing w:after="0"/>
              <w:rPr>
                <w:sz w:val="20"/>
                <w:szCs w:val="20"/>
                <w:color w:val="auto"/>
              </w:rPr>
            </w:pPr>
            <w:r>
              <w:rPr>
                <w:rFonts w:ascii="Arial" w:cs="Arial" w:eastAsia="Arial" w:hAnsi="Arial"/>
                <w:sz w:val="20"/>
                <w:szCs w:val="20"/>
                <w:color w:val="auto"/>
              </w:rPr>
              <w:t>1,61</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1,4 3</w:t>
            </w:r>
          </w:p>
        </w:tc>
      </w:tr>
      <w:tr>
        <w:trPr>
          <w:trHeight w:val="409"/>
        </w:trPr>
        <w:tc>
          <w:tcPr>
            <w:tcW w:w="6340" w:type="dxa"/>
            <w:vAlign w:val="bottom"/>
          </w:tcPr>
          <w:p>
            <w:pPr>
              <w:spacing w:after="0"/>
              <w:rPr>
                <w:sz w:val="20"/>
                <w:szCs w:val="20"/>
                <w:color w:val="auto"/>
              </w:rPr>
            </w:pPr>
            <w:r>
              <w:rPr>
                <w:rFonts w:ascii="Arial" w:cs="Arial" w:eastAsia="Arial" w:hAnsi="Arial"/>
                <w:sz w:val="20"/>
                <w:szCs w:val="20"/>
                <w:color w:val="auto"/>
              </w:rPr>
              <w:t>TJX had net deferred tax (liabilities) assets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212"/>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7"/>
              </w:rPr>
              <w:t>January 31,</w:t>
            </w:r>
          </w:p>
        </w:tc>
        <w:tc>
          <w:tcPr>
            <w:tcW w:w="200" w:type="dxa"/>
            <w:vAlign w:val="bottom"/>
          </w:tcPr>
          <w:p>
            <w:pPr>
              <w:spacing w:after="0"/>
              <w:rPr>
                <w:sz w:val="18"/>
                <w:szCs w:val="18"/>
                <w:color w:val="auto"/>
              </w:rPr>
            </w:pPr>
          </w:p>
        </w:tc>
        <w:tc>
          <w:tcPr>
            <w:tcW w:w="1140" w:type="dxa"/>
            <w:vAlign w:val="bottom"/>
          </w:tcPr>
          <w:p>
            <w:pPr>
              <w:jc w:val="center"/>
              <w:ind w:right="100"/>
              <w:spacing w:after="0" w:line="212" w:lineRule="exact"/>
              <w:rPr>
                <w:sz w:val="20"/>
                <w:szCs w:val="20"/>
                <w:color w:val="auto"/>
              </w:rPr>
            </w:pPr>
            <w:r>
              <w:rPr>
                <w:rFonts w:ascii="Arial" w:cs="Arial" w:eastAsia="Arial" w:hAnsi="Arial"/>
                <w:sz w:val="20"/>
                <w:szCs w:val="20"/>
                <w:color w:val="auto"/>
                <w:w w:val="91"/>
              </w:rPr>
              <w:t>February 1,</w:t>
            </w:r>
          </w:p>
        </w:tc>
      </w:tr>
      <w:tr>
        <w:trPr>
          <w:trHeight w:val="263"/>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2025</w:t>
            </w:r>
          </w:p>
        </w:tc>
      </w:tr>
      <w:tr>
        <w:trPr>
          <w:trHeight w:val="290"/>
        </w:trPr>
        <w:tc>
          <w:tcPr>
            <w:tcW w:w="6340" w:type="dxa"/>
            <w:vAlign w:val="bottom"/>
            <w:shd w:val="clear" w:color="auto" w:fill="E4E4E4"/>
          </w:tcPr>
          <w:p>
            <w:pPr>
              <w:ind w:left="40"/>
              <w:spacing w:after="0"/>
              <w:rPr>
                <w:sz w:val="20"/>
                <w:szCs w:val="20"/>
                <w:color w:val="auto"/>
              </w:rPr>
            </w:pPr>
            <w:r>
              <w:rPr>
                <w:rFonts w:ascii="Arial" w:cs="Arial" w:eastAsia="Arial" w:hAnsi="Arial"/>
                <w:sz w:val="20"/>
                <w:szCs w:val="20"/>
                <w:color w:val="auto"/>
              </w:rPr>
              <w:t>Deferred tax assets: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r>
      <w:tr>
        <w:trPr>
          <w:trHeight w:val="293"/>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Net operating loss carryforward</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92</w:t>
            </w:r>
          </w:p>
        </w:tc>
        <w:tc>
          <w:tcPr>
            <w:tcW w:w="2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104</w:t>
            </w:r>
          </w:p>
        </w:tc>
      </w:tr>
      <w:tr>
        <w:trPr>
          <w:trHeight w:val="307"/>
        </w:trPr>
        <w:tc>
          <w:tcPr>
            <w:tcW w:w="6340" w:type="dxa"/>
            <w:vAlign w:val="bottom"/>
            <w:shd w:val="clear" w:color="auto" w:fill="E4E4E4"/>
          </w:tcPr>
          <w:p>
            <w:pPr>
              <w:ind w:left="260"/>
              <w:spacing w:after="0"/>
              <w:rPr>
                <w:sz w:val="20"/>
                <w:szCs w:val="20"/>
                <w:color w:val="auto"/>
              </w:rPr>
            </w:pPr>
            <w:r>
              <w:rPr>
                <w:rFonts w:ascii="Arial" w:cs="Arial" w:eastAsia="Arial" w:hAnsi="Arial"/>
                <w:sz w:val="20"/>
                <w:szCs w:val="20"/>
                <w:color w:val="auto"/>
              </w:rPr>
              <w:t>Pension, stock compensation, postretirement and employee benefits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466</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3 2</w:t>
            </w:r>
          </w:p>
        </w:tc>
      </w:tr>
      <w:tr>
        <w:trPr>
          <w:trHeight w:val="293"/>
        </w:trPr>
        <w:tc>
          <w:tcPr>
            <w:tcW w:w="6340" w:type="dxa"/>
            <w:vAlign w:val="bottom"/>
            <w:shd w:val="clear" w:color="auto" w:fill="FEFEFE"/>
          </w:tcPr>
          <w:p>
            <w:pPr>
              <w:ind w:left="420"/>
              <w:spacing w:after="0"/>
              <w:rPr>
                <w:sz w:val="20"/>
                <w:szCs w:val="20"/>
                <w:color w:val="auto"/>
              </w:rPr>
            </w:pPr>
            <w:r>
              <w:rPr>
                <w:rFonts w:ascii="Arial" w:cs="Arial" w:eastAsia="Arial" w:hAnsi="Arial"/>
                <w:sz w:val="20"/>
                <w:szCs w:val="20"/>
                <w:color w:val="auto"/>
              </w:rPr>
              <w:t>perating lease liabilities</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2,820</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2,634</w:t>
            </w:r>
          </w:p>
        </w:tc>
      </w:tr>
      <w:tr>
        <w:trPr>
          <w:trHeight w:val="307"/>
        </w:trPr>
        <w:tc>
          <w:tcPr>
            <w:tcW w:w="6340" w:type="dxa"/>
            <w:vAlign w:val="bottom"/>
            <w:shd w:val="clear" w:color="auto" w:fill="E4E4E4"/>
          </w:tcPr>
          <w:p>
            <w:pPr>
              <w:ind w:left="260"/>
              <w:spacing w:after="0"/>
              <w:rPr>
                <w:sz w:val="20"/>
                <w:szCs w:val="20"/>
                <w:color w:val="auto"/>
              </w:rPr>
            </w:pPr>
            <w:r>
              <w:rPr>
                <w:rFonts w:ascii="Arial" w:cs="Arial" w:eastAsia="Arial" w:hAnsi="Arial"/>
                <w:sz w:val="20"/>
                <w:szCs w:val="20"/>
                <w:color w:val="auto"/>
              </w:rPr>
              <w:t>Accruals and reserves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322</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300</w:t>
            </w:r>
          </w:p>
        </w:tc>
      </w:tr>
      <w:tr>
        <w:trPr>
          <w:trHeight w:val="290"/>
        </w:trPr>
        <w:tc>
          <w:tcPr>
            <w:tcW w:w="634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ther</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20</w:t>
            </w:r>
          </w:p>
        </w:tc>
      </w:tr>
      <w:tr>
        <w:trPr>
          <w:trHeight w:val="290"/>
        </w:trPr>
        <w:tc>
          <w:tcPr>
            <w:tcW w:w="6340" w:type="dxa"/>
            <w:vAlign w:val="bottom"/>
            <w:shd w:val="clear" w:color="auto" w:fill="E4E4E4"/>
          </w:tcPr>
          <w:p>
            <w:pPr>
              <w:ind w:left="500"/>
              <w:spacing w:after="0"/>
              <w:rPr>
                <w:sz w:val="20"/>
                <w:szCs w:val="20"/>
                <w:color w:val="auto"/>
              </w:rPr>
            </w:pPr>
            <w:r>
              <w:rPr>
                <w:rFonts w:ascii="Arial" w:cs="Arial" w:eastAsia="Arial" w:hAnsi="Arial"/>
                <w:sz w:val="20"/>
                <w:szCs w:val="20"/>
                <w:color w:val="auto"/>
              </w:rPr>
              <w:t>Total gross deferred tax assets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3,715</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3,450</w:t>
            </w:r>
          </w:p>
        </w:tc>
      </w:tr>
      <w:tr>
        <w:trPr>
          <w:trHeight w:val="290"/>
        </w:trPr>
        <w:tc>
          <w:tcPr>
            <w:tcW w:w="634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aluation allowance</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58</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(51)</w:t>
            </w:r>
          </w:p>
        </w:tc>
      </w:tr>
      <w:tr>
        <w:trPr>
          <w:trHeight w:val="280"/>
        </w:trPr>
        <w:tc>
          <w:tcPr>
            <w:tcW w:w="6340" w:type="dxa"/>
            <w:vAlign w:val="bottom"/>
            <w:tcBorders>
              <w:bottom w:val="single" w:sz="8" w:color="auto"/>
            </w:tcBorders>
            <w:shd w:val="clear" w:color="auto" w:fill="E4E4E4"/>
          </w:tcPr>
          <w:p>
            <w:pPr>
              <w:ind w:left="540"/>
              <w:spacing w:after="0"/>
              <w:rPr>
                <w:sz w:val="20"/>
                <w:szCs w:val="20"/>
                <w:color w:val="auto"/>
              </w:rPr>
            </w:pPr>
            <w:r>
              <w:rPr>
                <w:rFonts w:ascii="Arial" w:cs="Arial" w:eastAsia="Arial" w:hAnsi="Arial"/>
                <w:sz w:val="20"/>
                <w:szCs w:val="20"/>
                <w:color w:val="auto"/>
              </w:rPr>
              <w:t>Total deferred tax asset</w:t>
            </w:r>
          </w:p>
        </w:tc>
        <w:tc>
          <w:tcPr>
            <w:tcW w:w="300" w:type="dxa"/>
            <w:vAlign w:val="bottom"/>
            <w:tcBorders>
              <w:bottom w:val="single" w:sz="8" w:color="auto"/>
            </w:tcBorders>
            <w:shd w:val="clear" w:color="auto" w:fill="E4E4E4"/>
          </w:tcPr>
          <w:p>
            <w:pPr>
              <w:spacing w:after="0"/>
              <w:rPr>
                <w:sz w:val="24"/>
                <w:szCs w:val="24"/>
                <w:color w:val="auto"/>
              </w:rPr>
            </w:pPr>
          </w:p>
        </w:tc>
        <w:tc>
          <w:tcPr>
            <w:tcW w:w="980" w:type="dxa"/>
            <w:vAlign w:val="bottom"/>
            <w:tcBorders>
              <w:bottom w:val="single" w:sz="8" w:color="auto"/>
            </w:tcBorders>
            <w:shd w:val="clear" w:color="auto" w:fill="E4E4E4"/>
          </w:tcPr>
          <w:p>
            <w:pPr>
              <w:spacing w:after="0"/>
              <w:rPr>
                <w:sz w:val="24"/>
                <w:szCs w:val="24"/>
                <w:color w:val="auto"/>
              </w:rPr>
            </w:pP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3,657</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3,3</w:t>
            </w:r>
          </w:p>
        </w:tc>
      </w:tr>
      <w:tr>
        <w:trPr>
          <w:trHeight w:val="280"/>
        </w:trPr>
        <w:tc>
          <w:tcPr>
            <w:tcW w:w="6340" w:type="dxa"/>
            <w:vAlign w:val="bottom"/>
            <w:shd w:val="clear" w:color="auto" w:fill="FEFEFE"/>
          </w:tcPr>
          <w:p>
            <w:pPr>
              <w:ind w:left="40"/>
              <w:spacing w:after="0"/>
              <w:rPr>
                <w:sz w:val="20"/>
                <w:szCs w:val="20"/>
                <w:color w:val="auto"/>
              </w:rPr>
            </w:pPr>
            <w:r>
              <w:rPr>
                <w:rFonts w:ascii="Arial" w:cs="Arial" w:eastAsia="Arial" w:hAnsi="Arial"/>
                <w:sz w:val="20"/>
                <w:szCs w:val="20"/>
                <w:color w:val="auto"/>
              </w:rPr>
              <w:t>Deferred tax liabilities:</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r>
      <w:tr>
        <w:trPr>
          <w:trHeight w:val="310"/>
        </w:trPr>
        <w:tc>
          <w:tcPr>
            <w:tcW w:w="6340" w:type="dxa"/>
            <w:vAlign w:val="bottom"/>
            <w:shd w:val="clear" w:color="auto" w:fill="E4E4E4"/>
          </w:tcPr>
          <w:p>
            <w:pPr>
              <w:ind w:left="260"/>
              <w:spacing w:after="0"/>
              <w:rPr>
                <w:sz w:val="20"/>
                <w:szCs w:val="20"/>
                <w:color w:val="auto"/>
              </w:rPr>
            </w:pPr>
            <w:r>
              <w:rPr>
                <w:rFonts w:ascii="Arial" w:cs="Arial" w:eastAsia="Arial" w:hAnsi="Arial"/>
                <w:sz w:val="20"/>
                <w:szCs w:val="20"/>
                <w:color w:val="auto"/>
              </w:rPr>
              <w:t>Property, plant and e uipment</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916</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742</w:t>
            </w:r>
          </w:p>
        </w:tc>
      </w:tr>
      <w:tr>
        <w:trPr>
          <w:trHeight w:val="294"/>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Capitali ed inventory</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79</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73</w:t>
            </w:r>
          </w:p>
        </w:tc>
      </w:tr>
      <w:tr>
        <w:trPr>
          <w:trHeight w:val="306"/>
        </w:trPr>
        <w:tc>
          <w:tcPr>
            <w:tcW w:w="6340" w:type="dxa"/>
            <w:vAlign w:val="bottom"/>
            <w:shd w:val="clear" w:color="auto" w:fill="E4E4E4"/>
          </w:tcPr>
          <w:p>
            <w:pPr>
              <w:ind w:left="420"/>
              <w:spacing w:after="0"/>
              <w:rPr>
                <w:sz w:val="20"/>
                <w:szCs w:val="20"/>
                <w:color w:val="auto"/>
              </w:rPr>
            </w:pPr>
            <w:r>
              <w:rPr>
                <w:rFonts w:ascii="Arial" w:cs="Arial" w:eastAsia="Arial" w:hAnsi="Arial"/>
                <w:sz w:val="20"/>
                <w:szCs w:val="20"/>
                <w:color w:val="auto"/>
              </w:rPr>
              <w:t>perating lease right of use assets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2,724</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2,540</w:t>
            </w:r>
          </w:p>
        </w:tc>
      </w:tr>
      <w:tr>
        <w:trPr>
          <w:trHeight w:val="293"/>
        </w:trPr>
        <w:tc>
          <w:tcPr>
            <w:tcW w:w="6340" w:type="dxa"/>
            <w:vAlign w:val="bottom"/>
            <w:shd w:val="clear" w:color="auto" w:fill="FEFEFE"/>
          </w:tcPr>
          <w:p>
            <w:pPr>
              <w:ind w:left="260"/>
              <w:spacing w:after="0"/>
              <w:rPr>
                <w:sz w:val="20"/>
                <w:szCs w:val="20"/>
                <w:color w:val="auto"/>
              </w:rPr>
            </w:pPr>
            <w:r>
              <w:rPr>
                <w:rFonts w:ascii="Arial" w:cs="Arial" w:eastAsia="Arial" w:hAnsi="Arial"/>
                <w:sz w:val="20"/>
                <w:szCs w:val="20"/>
                <w:color w:val="auto"/>
              </w:rPr>
              <w:t>Tradename intangibles</w:t>
            </w:r>
          </w:p>
        </w:tc>
        <w:tc>
          <w:tcPr>
            <w:tcW w:w="300" w:type="dxa"/>
            <w:vAlign w:val="bottom"/>
            <w:shd w:val="clear" w:color="auto" w:fill="FEFEFE"/>
          </w:tcPr>
          <w:p>
            <w:pPr>
              <w:spacing w:after="0"/>
              <w:rPr>
                <w:sz w:val="24"/>
                <w:szCs w:val="24"/>
                <w:color w:val="auto"/>
              </w:rPr>
            </w:pPr>
          </w:p>
        </w:tc>
        <w:tc>
          <w:tcPr>
            <w:tcW w:w="9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25</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24</w:t>
            </w:r>
          </w:p>
        </w:tc>
      </w:tr>
      <w:tr>
        <w:trPr>
          <w:trHeight w:val="307"/>
        </w:trPr>
        <w:tc>
          <w:tcPr>
            <w:tcW w:w="6340" w:type="dxa"/>
            <w:vAlign w:val="bottom"/>
            <w:shd w:val="clear" w:color="auto" w:fill="E4E4E4"/>
          </w:tcPr>
          <w:p>
            <w:pPr>
              <w:ind w:left="420"/>
              <w:spacing w:after="0"/>
              <w:rPr>
                <w:sz w:val="20"/>
                <w:szCs w:val="20"/>
                <w:color w:val="auto"/>
              </w:rPr>
            </w:pPr>
            <w:r>
              <w:rPr>
                <w:rFonts w:ascii="Arial" w:cs="Arial" w:eastAsia="Arial" w:hAnsi="Arial"/>
                <w:sz w:val="20"/>
                <w:szCs w:val="20"/>
                <w:color w:val="auto"/>
              </w:rPr>
              <w:t>ndistributed foreign earnings</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28</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23</w:t>
            </w:r>
          </w:p>
        </w:tc>
      </w:tr>
      <w:tr>
        <w:trPr>
          <w:trHeight w:val="290"/>
        </w:trPr>
        <w:tc>
          <w:tcPr>
            <w:tcW w:w="634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ther</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6</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w:t>
            </w:r>
          </w:p>
        </w:tc>
      </w:tr>
      <w:tr>
        <w:trPr>
          <w:trHeight w:val="280"/>
        </w:trPr>
        <w:tc>
          <w:tcPr>
            <w:tcW w:w="6340" w:type="dxa"/>
            <w:vAlign w:val="bottom"/>
            <w:tcBorders>
              <w:bottom w:val="single" w:sz="8" w:color="auto"/>
            </w:tcBorders>
            <w:shd w:val="clear" w:color="auto" w:fill="E4E4E4"/>
          </w:tcPr>
          <w:p>
            <w:pPr>
              <w:ind w:left="540"/>
              <w:spacing w:after="0"/>
              <w:rPr>
                <w:sz w:val="20"/>
                <w:szCs w:val="20"/>
                <w:color w:val="auto"/>
              </w:rPr>
            </w:pPr>
            <w:r>
              <w:rPr>
                <w:rFonts w:ascii="Arial" w:cs="Arial" w:eastAsia="Arial" w:hAnsi="Arial"/>
                <w:sz w:val="20"/>
                <w:szCs w:val="20"/>
                <w:color w:val="auto"/>
              </w:rPr>
              <w:t>Total deferred tax liabilities</w:t>
            </w:r>
          </w:p>
        </w:tc>
        <w:tc>
          <w:tcPr>
            <w:tcW w:w="300" w:type="dxa"/>
            <w:vAlign w:val="bottom"/>
            <w:tcBorders>
              <w:bottom w:val="single" w:sz="8" w:color="auto"/>
            </w:tcBorders>
            <w:shd w:val="clear" w:color="auto" w:fill="E4E4E4"/>
          </w:tcPr>
          <w:p>
            <w:pPr>
              <w:spacing w:after="0"/>
              <w:rPr>
                <w:sz w:val="24"/>
                <w:szCs w:val="24"/>
                <w:color w:val="auto"/>
              </w:rPr>
            </w:pPr>
          </w:p>
        </w:tc>
        <w:tc>
          <w:tcPr>
            <w:tcW w:w="980" w:type="dxa"/>
            <w:vAlign w:val="bottom"/>
            <w:tcBorders>
              <w:bottom w:val="single" w:sz="8" w:color="auto"/>
            </w:tcBorders>
            <w:shd w:val="clear" w:color="auto" w:fill="E4E4E4"/>
          </w:tcPr>
          <w:p>
            <w:pPr>
              <w:spacing w:after="0"/>
              <w:rPr>
                <w:sz w:val="24"/>
                <w:szCs w:val="24"/>
                <w:color w:val="auto"/>
              </w:rPr>
            </w:pP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3,778</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3,407</w:t>
            </w:r>
          </w:p>
        </w:tc>
      </w:tr>
      <w:tr>
        <w:trPr>
          <w:trHeight w:val="280"/>
        </w:trPr>
        <w:tc>
          <w:tcPr>
            <w:tcW w:w="634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Net deferred tax (liability)</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121</w:t>
            </w: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w:t>
            </w:r>
          </w:p>
        </w:tc>
      </w:tr>
      <w:tr>
        <w:trPr>
          <w:trHeight w:val="287"/>
        </w:trPr>
        <w:tc>
          <w:tcPr>
            <w:tcW w:w="6340" w:type="dxa"/>
            <w:vAlign w:val="bottom"/>
            <w:shd w:val="clear" w:color="auto" w:fill="E4E4E4"/>
          </w:tcPr>
          <w:p>
            <w:pPr>
              <w:ind w:left="40"/>
              <w:spacing w:after="0"/>
              <w:rPr>
                <w:sz w:val="20"/>
                <w:szCs w:val="20"/>
                <w:color w:val="auto"/>
              </w:rPr>
            </w:pPr>
            <w:r>
              <w:rPr>
                <w:rFonts w:ascii="Arial" w:cs="Arial" w:eastAsia="Arial" w:hAnsi="Arial"/>
                <w:sz w:val="20"/>
                <w:szCs w:val="20"/>
                <w:color w:val="auto"/>
              </w:rPr>
              <w:t>Non-current asset</w:t>
            </w:r>
          </w:p>
        </w:tc>
        <w:tc>
          <w:tcPr>
            <w:tcW w:w="300" w:type="dxa"/>
            <w:vAlign w:val="bottom"/>
            <w:shd w:val="clear" w:color="auto" w:fill="E4E4E4"/>
          </w:tcPr>
          <w:p>
            <w:pPr>
              <w:spacing w:after="0"/>
              <w:rPr>
                <w:sz w:val="24"/>
                <w:szCs w:val="24"/>
                <w:color w:val="auto"/>
              </w:rPr>
            </w:pPr>
          </w:p>
        </w:tc>
        <w:tc>
          <w:tcPr>
            <w:tcW w:w="980" w:type="dxa"/>
            <w:vAlign w:val="bottom"/>
            <w:shd w:val="clear" w:color="auto" w:fill="E4E4E4"/>
          </w:tcPr>
          <w:p>
            <w:pPr>
              <w:spacing w:after="0"/>
              <w:rPr>
                <w:sz w:val="24"/>
                <w:szCs w:val="24"/>
                <w:color w:val="auto"/>
              </w:rPr>
            </w:pP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147</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148</w:t>
            </w:r>
          </w:p>
        </w:tc>
      </w:tr>
      <w:tr>
        <w:trPr>
          <w:trHeight w:val="293"/>
        </w:trPr>
        <w:tc>
          <w:tcPr>
            <w:tcW w:w="634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Non-current liability</w:t>
            </w:r>
          </w:p>
        </w:tc>
        <w:tc>
          <w:tcPr>
            <w:tcW w:w="300" w:type="dxa"/>
            <w:vAlign w:val="bottom"/>
            <w:tcBorders>
              <w:bottom w:val="single" w:sz="8" w:color="auto"/>
            </w:tcBorders>
            <w:shd w:val="clear" w:color="auto" w:fill="FEFEFE"/>
          </w:tcPr>
          <w:p>
            <w:pPr>
              <w:spacing w:after="0"/>
              <w:rPr>
                <w:sz w:val="24"/>
                <w:szCs w:val="24"/>
                <w:color w:val="auto"/>
              </w:rPr>
            </w:pPr>
          </w:p>
        </w:tc>
        <w:tc>
          <w:tcPr>
            <w:tcW w:w="980" w:type="dxa"/>
            <w:vAlign w:val="bottom"/>
            <w:tcBorders>
              <w:bottom w:val="single" w:sz="8" w:color="auto"/>
            </w:tcBorders>
            <w:shd w:val="clear" w:color="auto" w:fill="FEFEFE"/>
          </w:tcPr>
          <w:p>
            <w:pPr>
              <w:spacing w:after="0"/>
              <w:rPr>
                <w:sz w:val="24"/>
                <w:szCs w:val="24"/>
                <w:color w:val="auto"/>
              </w:rPr>
            </w:pPr>
          </w:p>
        </w:tc>
        <w:tc>
          <w:tcPr>
            <w:tcW w:w="20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268</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(156)</w:t>
            </w:r>
          </w:p>
        </w:tc>
      </w:tr>
      <w:tr>
        <w:trPr>
          <w:trHeight w:val="280"/>
        </w:trPr>
        <w:tc>
          <w:tcPr>
            <w:tcW w:w="634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Net deferred tax (liability)</w:t>
            </w:r>
          </w:p>
        </w:tc>
        <w:tc>
          <w:tcPr>
            <w:tcW w:w="300" w:type="dxa"/>
            <w:vAlign w:val="bottom"/>
            <w:tcBorders>
              <w:bottom w:val="single" w:sz="8" w:color="auto"/>
            </w:tcBorders>
            <w:shd w:val="clear" w:color="auto" w:fill="E4E4E4"/>
          </w:tcPr>
          <w:p>
            <w:pPr>
              <w:spacing w:after="0"/>
              <w:rPr>
                <w:sz w:val="24"/>
                <w:szCs w:val="24"/>
                <w:color w:val="auto"/>
              </w:rPr>
            </w:pPr>
          </w:p>
        </w:tc>
        <w:tc>
          <w:tcPr>
            <w:tcW w:w="980" w:type="dxa"/>
            <w:vAlign w:val="bottom"/>
            <w:tcBorders>
              <w:bottom w:val="single" w:sz="8" w:color="auto"/>
            </w:tcBorders>
            <w:shd w:val="clear" w:color="auto" w:fill="E4E4E4"/>
          </w:tcPr>
          <w:p>
            <w:pPr>
              <w:spacing w:after="0"/>
              <w:rPr>
                <w:sz w:val="24"/>
                <w:szCs w:val="24"/>
                <w:color w:val="auto"/>
              </w:rPr>
            </w:pP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121</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(8)</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20"/>
          <w:szCs w:val="20"/>
          <w:color w:val="auto"/>
        </w:rPr>
        <w:t>TJX has provided for and recorded a deferred tax liability for all applicable taxes on undistributed earnings of its foreign subsidiaries that are not indefinitely reinvested through January 31, 2026. The Company has not provided for deferred taxes on the approximately $2.2 billion of undistributed earnings related to all other foreign subsidiaries as such earnings are considered to be indefinitely reinvested in the business. The amount of unrecogni ed deferred tax liability related to the undistributed earnings is not expected to be material.</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F-33</w:t>
      </w:r>
    </w:p>
    <w:p>
      <w:pPr>
        <w:sectPr>
          <w:pgSz w:w="12240" w:h="15841" w:orient="portrait"/>
          <w:cols w:equalWidth="0" w:num="1">
            <w:col w:w="10260"/>
          </w:cols>
          <w:pgMar w:left="1000" w:top="792" w:right="981" w:bottom="0" w:gutter="0" w:footer="0" w:header="0"/>
          <w:type w:val="continuous"/>
        </w:sectPr>
      </w:pPr>
    </w:p>
    <w:bookmarkStart w:id="89" w:name="page90"/>
    <w:bookmarkEnd w:id="89"/>
    <w:p>
      <w:pPr>
        <w:ind w:right="100"/>
        <w:spacing w:after="0" w:line="25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As of January 31, 2026 and February 1, 2025, TJX had state net operating loss carryforwards of $1 5 million and $225 million respectively. f the $1 5 million as of January 31, 2026, $10 million can be carried forward indefinitely, and $185 million will expire, if unused, in the fiscal years 2033 through 2046. TJX has analy ed the reali ation of its state net operating loss carryforwards and determined that it is more likely than not that a portion of its state net operating loss carryforwards will not be reali ed.</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The Company had foreign (primarily Australia and the . .) net operating loss carryforwards of $2 3 million as of January 31, 2026 and $338 million as of February 1, 2025, which can be carried forward indefinitely. For the foreign net operating loss carryforwards for which the Company determined it is more likely than not that they will not be reali ed (primarily Australia), valuation allowance of $56 million and $50 million has been provided for as of January 31, 2026 and February 1, 2025, respectively.</w:t>
      </w:r>
    </w:p>
    <w:p>
      <w:pPr>
        <w:spacing w:after="0" w:line="84"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The difference between the .S. federal statutory income tax rate and TJX’s worldwide effective income tax rate is reconciled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9"/>
              </w:rPr>
              <w:t>Fiscal Year Ended</w:t>
            </w:r>
          </w:p>
        </w:tc>
      </w:tr>
      <w:tr>
        <w:trPr>
          <w:trHeight w:val="182"/>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center"/>
              <w:ind w:left="260"/>
              <w:spacing w:after="0" w:line="182" w:lineRule="exact"/>
              <w:rPr>
                <w:sz w:val="20"/>
                <w:szCs w:val="20"/>
                <w:color w:val="auto"/>
              </w:rPr>
            </w:pPr>
            <w:r>
              <w:rPr>
                <w:rFonts w:ascii="Arial" w:cs="Arial" w:eastAsia="Arial" w:hAnsi="Arial"/>
                <w:sz w:val="20"/>
                <w:szCs w:val="20"/>
                <w:color w:val="auto"/>
                <w:w w:val="97"/>
              </w:rPr>
              <w:t>January 31,</w:t>
            </w:r>
          </w:p>
        </w:tc>
        <w:tc>
          <w:tcPr>
            <w:tcW w:w="740" w:type="dxa"/>
            <w:vAlign w:val="bottom"/>
          </w:tcPr>
          <w:p>
            <w:pPr>
              <w:spacing w:after="0"/>
              <w:rPr>
                <w:sz w:val="15"/>
                <w:szCs w:val="15"/>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280"/>
              <w:spacing w:after="0"/>
              <w:rPr>
                <w:sz w:val="20"/>
                <w:szCs w:val="20"/>
                <w:color w:val="auto"/>
              </w:rPr>
            </w:pPr>
            <w:r>
              <w:rPr>
                <w:rFonts w:ascii="Arial" w:cs="Arial" w:eastAsia="Arial" w:hAnsi="Arial"/>
                <w:sz w:val="20"/>
                <w:szCs w:val="20"/>
                <w:color w:val="auto"/>
                <w:w w:val="89"/>
              </w:rPr>
              <w:t>2026</w:t>
            </w:r>
          </w:p>
        </w:tc>
        <w:tc>
          <w:tcPr>
            <w:tcW w:w="740" w:type="dxa"/>
            <w:vAlign w:val="bottom"/>
            <w:tcBorders>
              <w:bottom w:val="single" w:sz="8" w:color="auto"/>
            </w:tcBorders>
          </w:tcPr>
          <w:p>
            <w:pPr>
              <w:spacing w:after="0"/>
              <w:rPr>
                <w:sz w:val="22"/>
                <w:szCs w:val="22"/>
                <w:color w:val="auto"/>
              </w:rPr>
            </w:pPr>
          </w:p>
        </w:tc>
      </w:tr>
      <w:tr>
        <w:trPr>
          <w:trHeight w:val="290"/>
        </w:trPr>
        <w:tc>
          <w:tcPr>
            <w:tcW w:w="7440" w:type="dxa"/>
            <w:vAlign w:val="bottom"/>
            <w:shd w:val="clear" w:color="auto" w:fill="E4E4E4"/>
          </w:tcPr>
          <w:p>
            <w:pPr>
              <w:ind w:left="180"/>
              <w:spacing w:after="0"/>
              <w:rPr>
                <w:sz w:val="20"/>
                <w:szCs w:val="20"/>
                <w:color w:val="auto"/>
              </w:rPr>
            </w:pPr>
            <w:r>
              <w:rPr>
                <w:rFonts w:ascii="Arial" w:cs="Arial" w:eastAsia="Arial" w:hAnsi="Arial"/>
                <w:sz w:val="20"/>
                <w:szCs w:val="20"/>
                <w:color w:val="auto"/>
              </w:rPr>
              <w:t>.S. federal statutory income tax rate</w:t>
            </w:r>
          </w:p>
        </w:tc>
        <w:tc>
          <w:tcPr>
            <w:tcW w:w="540" w:type="dxa"/>
            <w:vAlign w:val="bottom"/>
            <w:gridSpan w:val="2"/>
            <w:shd w:val="clear" w:color="auto" w:fill="E4E4E4"/>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shd w:val="clear" w:color="auto" w:fill="E4E4E4"/>
          </w:tcPr>
          <w:p>
            <w:pPr>
              <w:jc w:val="right"/>
              <w:ind w:right="580"/>
              <w:spacing w:after="0"/>
              <w:rPr>
                <w:sz w:val="20"/>
                <w:szCs w:val="20"/>
                <w:color w:val="auto"/>
              </w:rPr>
            </w:pPr>
            <w:r>
              <w:rPr>
                <w:rFonts w:ascii="Arial" w:cs="Arial" w:eastAsia="Arial" w:hAnsi="Arial"/>
                <w:sz w:val="20"/>
                <w:szCs w:val="20"/>
                <w:color w:val="auto"/>
              </w:rPr>
              <w:t>1,533</w:t>
            </w:r>
          </w:p>
        </w:tc>
        <w:tc>
          <w:tcPr>
            <w:tcW w:w="74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21.0</w:t>
            </w:r>
          </w:p>
        </w:tc>
      </w:tr>
      <w:tr>
        <w:trPr>
          <w:trHeight w:val="293"/>
        </w:trPr>
        <w:tc>
          <w:tcPr>
            <w:tcW w:w="7440" w:type="dxa"/>
            <w:vAlign w:val="bottom"/>
            <w:shd w:val="clear" w:color="auto" w:fill="FEFEFE"/>
          </w:tcPr>
          <w:p>
            <w:pPr>
              <w:ind w:left="40"/>
              <w:spacing w:after="0"/>
              <w:rPr>
                <w:sz w:val="20"/>
                <w:szCs w:val="20"/>
                <w:color w:val="auto"/>
              </w:rPr>
            </w:pPr>
            <w:r>
              <w:rPr>
                <w:rFonts w:ascii="Arial" w:cs="Arial" w:eastAsia="Arial" w:hAnsi="Arial"/>
                <w:sz w:val="20"/>
                <w:szCs w:val="20"/>
                <w:color w:val="auto"/>
              </w:rPr>
              <w:t>Effective state income tax rate, net of federal income tax effect</w:t>
            </w:r>
            <w:r>
              <w:rPr>
                <w:rFonts w:ascii="Arial" w:cs="Arial" w:eastAsia="Arial" w:hAnsi="Arial"/>
                <w:sz w:val="13"/>
                <w:szCs w:val="13"/>
                <w:color w:val="auto"/>
              </w:rPr>
              <w:t>(a)</w:t>
            </w:r>
          </w:p>
        </w:tc>
        <w:tc>
          <w:tcPr>
            <w:tcW w:w="180" w:type="dxa"/>
            <w:vAlign w:val="bottom"/>
            <w:shd w:val="clear" w:color="auto" w:fill="FEFEFE"/>
          </w:tcPr>
          <w:p>
            <w:pPr>
              <w:spacing w:after="0"/>
              <w:rPr>
                <w:sz w:val="24"/>
                <w:szCs w:val="24"/>
                <w:color w:val="auto"/>
              </w:rPr>
            </w:pPr>
          </w:p>
        </w:tc>
        <w:tc>
          <w:tcPr>
            <w:tcW w:w="360" w:type="dxa"/>
            <w:vAlign w:val="bottom"/>
            <w:shd w:val="clear" w:color="auto" w:fill="FEFEFE"/>
          </w:tcPr>
          <w:p>
            <w:pPr>
              <w:spacing w:after="0"/>
              <w:rPr>
                <w:sz w:val="24"/>
                <w:szCs w:val="24"/>
                <w:color w:val="auto"/>
              </w:rPr>
            </w:pPr>
          </w:p>
        </w:tc>
        <w:tc>
          <w:tcPr>
            <w:tcW w:w="1540" w:type="dxa"/>
            <w:vAlign w:val="bottom"/>
            <w:shd w:val="clear" w:color="auto" w:fill="FEFEFE"/>
          </w:tcPr>
          <w:p>
            <w:pPr>
              <w:jc w:val="right"/>
              <w:ind w:right="580"/>
              <w:spacing w:after="0"/>
              <w:rPr>
                <w:sz w:val="20"/>
                <w:szCs w:val="20"/>
                <w:color w:val="auto"/>
              </w:rPr>
            </w:pPr>
            <w:r>
              <w:rPr>
                <w:rFonts w:ascii="Arial" w:cs="Arial" w:eastAsia="Arial" w:hAnsi="Arial"/>
                <w:sz w:val="20"/>
                <w:szCs w:val="20"/>
                <w:color w:val="auto"/>
              </w:rPr>
              <w:t>275</w:t>
            </w:r>
          </w:p>
        </w:tc>
        <w:tc>
          <w:tcPr>
            <w:tcW w:w="74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3.8</w:t>
            </w:r>
          </w:p>
        </w:tc>
      </w:tr>
      <w:tr>
        <w:trPr>
          <w:trHeight w:val="287"/>
        </w:trPr>
        <w:tc>
          <w:tcPr>
            <w:tcW w:w="74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Foreign tax effects</w:t>
            </w:r>
          </w:p>
        </w:tc>
        <w:tc>
          <w:tcPr>
            <w:tcW w:w="180" w:type="dxa"/>
            <w:vAlign w:val="bottom"/>
            <w:tcBorders>
              <w:bottom w:val="single" w:sz="8" w:color="E4E4E4"/>
            </w:tcBorders>
            <w:shd w:val="clear" w:color="auto" w:fill="E4E4E4"/>
          </w:tcPr>
          <w:p>
            <w:pPr>
              <w:spacing w:after="0"/>
              <w:rPr>
                <w:sz w:val="24"/>
                <w:szCs w:val="24"/>
                <w:color w:val="auto"/>
              </w:rPr>
            </w:pPr>
          </w:p>
        </w:tc>
        <w:tc>
          <w:tcPr>
            <w:tcW w:w="360" w:type="dxa"/>
            <w:vAlign w:val="bottom"/>
            <w:tcBorders>
              <w:bottom w:val="single" w:sz="8" w:color="E4E4E4"/>
            </w:tcBorders>
            <w:shd w:val="clear" w:color="auto" w:fill="E4E4E4"/>
          </w:tcPr>
          <w:p>
            <w:pPr>
              <w:spacing w:after="0"/>
              <w:rPr>
                <w:sz w:val="24"/>
                <w:szCs w:val="24"/>
                <w:color w:val="auto"/>
              </w:rPr>
            </w:pPr>
          </w:p>
        </w:tc>
        <w:tc>
          <w:tcPr>
            <w:tcW w:w="154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spacing w:after="0"/>
              <w:rPr>
                <w:sz w:val="24"/>
                <w:szCs w:val="24"/>
                <w:color w:val="auto"/>
              </w:rPr>
            </w:pPr>
          </w:p>
        </w:tc>
      </w:tr>
      <w:tr>
        <w:trPr>
          <w:trHeight w:val="294"/>
        </w:trPr>
        <w:tc>
          <w:tcPr>
            <w:tcW w:w="7440" w:type="dxa"/>
            <w:vAlign w:val="bottom"/>
            <w:shd w:val="clear" w:color="auto" w:fill="FEFEFE"/>
          </w:tcPr>
          <w:p>
            <w:pPr>
              <w:ind w:left="280"/>
              <w:spacing w:after="0"/>
              <w:rPr>
                <w:sz w:val="20"/>
                <w:szCs w:val="20"/>
                <w:color w:val="auto"/>
              </w:rPr>
            </w:pPr>
            <w:r>
              <w:rPr>
                <w:rFonts w:ascii="Arial" w:cs="Arial" w:eastAsia="Arial" w:hAnsi="Arial"/>
                <w:sz w:val="20"/>
                <w:szCs w:val="20"/>
                <w:color w:val="auto"/>
              </w:rPr>
              <w:t>Canada</w:t>
            </w:r>
          </w:p>
        </w:tc>
        <w:tc>
          <w:tcPr>
            <w:tcW w:w="180" w:type="dxa"/>
            <w:vAlign w:val="bottom"/>
            <w:shd w:val="clear" w:color="auto" w:fill="FEFEFE"/>
          </w:tcPr>
          <w:p>
            <w:pPr>
              <w:spacing w:after="0"/>
              <w:rPr>
                <w:sz w:val="24"/>
                <w:szCs w:val="24"/>
                <w:color w:val="auto"/>
              </w:rPr>
            </w:pPr>
          </w:p>
        </w:tc>
        <w:tc>
          <w:tcPr>
            <w:tcW w:w="360" w:type="dxa"/>
            <w:vAlign w:val="bottom"/>
            <w:shd w:val="clear" w:color="auto" w:fill="FEFEFE"/>
          </w:tcPr>
          <w:p>
            <w:pPr>
              <w:spacing w:after="0"/>
              <w:rPr>
                <w:sz w:val="24"/>
                <w:szCs w:val="24"/>
                <w:color w:val="auto"/>
              </w:rPr>
            </w:pPr>
          </w:p>
        </w:tc>
        <w:tc>
          <w:tcPr>
            <w:tcW w:w="1540" w:type="dxa"/>
            <w:vAlign w:val="bottom"/>
            <w:shd w:val="clear" w:color="auto" w:fill="FEFEFE"/>
          </w:tcPr>
          <w:p>
            <w:pPr>
              <w:jc w:val="right"/>
              <w:ind w:right="580"/>
              <w:spacing w:after="0"/>
              <w:rPr>
                <w:sz w:val="20"/>
                <w:szCs w:val="20"/>
                <w:color w:val="auto"/>
              </w:rPr>
            </w:pPr>
            <w:r>
              <w:rPr>
                <w:rFonts w:ascii="Arial" w:cs="Arial" w:eastAsia="Arial" w:hAnsi="Arial"/>
                <w:sz w:val="20"/>
                <w:szCs w:val="20"/>
                <w:color w:val="auto"/>
              </w:rPr>
              <w:t>107</w:t>
            </w:r>
          </w:p>
        </w:tc>
        <w:tc>
          <w:tcPr>
            <w:tcW w:w="74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1.5</w:t>
            </w:r>
          </w:p>
        </w:tc>
      </w:tr>
      <w:tr>
        <w:trPr>
          <w:trHeight w:val="303"/>
        </w:trPr>
        <w:tc>
          <w:tcPr>
            <w:tcW w:w="7440" w:type="dxa"/>
            <w:vAlign w:val="bottom"/>
            <w:shd w:val="clear" w:color="auto" w:fill="E4E4E4"/>
          </w:tcPr>
          <w:p>
            <w:pPr>
              <w:ind w:left="420"/>
              <w:spacing w:after="0"/>
              <w:rPr>
                <w:sz w:val="20"/>
                <w:szCs w:val="20"/>
                <w:color w:val="auto"/>
              </w:rPr>
            </w:pPr>
            <w:r>
              <w:rPr>
                <w:rFonts w:ascii="Arial" w:cs="Arial" w:eastAsia="Arial" w:hAnsi="Arial"/>
                <w:sz w:val="20"/>
                <w:szCs w:val="20"/>
                <w:color w:val="auto"/>
              </w:rPr>
              <w:t>ther foreign jurisdictions</w:t>
            </w:r>
          </w:p>
        </w:tc>
        <w:tc>
          <w:tcPr>
            <w:tcW w:w="180" w:type="dxa"/>
            <w:vAlign w:val="bottom"/>
            <w:shd w:val="clear" w:color="auto" w:fill="E4E4E4"/>
          </w:tcPr>
          <w:p>
            <w:pPr>
              <w:spacing w:after="0"/>
              <w:rPr>
                <w:sz w:val="24"/>
                <w:szCs w:val="24"/>
                <w:color w:val="auto"/>
              </w:rPr>
            </w:pPr>
          </w:p>
        </w:tc>
        <w:tc>
          <w:tcPr>
            <w:tcW w:w="360" w:type="dxa"/>
            <w:vAlign w:val="bottom"/>
            <w:shd w:val="clear" w:color="auto" w:fill="E4E4E4"/>
          </w:tcPr>
          <w:p>
            <w:pPr>
              <w:spacing w:after="0"/>
              <w:rPr>
                <w:sz w:val="24"/>
                <w:szCs w:val="24"/>
                <w:color w:val="auto"/>
              </w:rPr>
            </w:pPr>
          </w:p>
        </w:tc>
        <w:tc>
          <w:tcPr>
            <w:tcW w:w="1540" w:type="dxa"/>
            <w:vAlign w:val="bottom"/>
            <w:shd w:val="clear" w:color="auto" w:fill="E4E4E4"/>
          </w:tcPr>
          <w:p>
            <w:pPr>
              <w:jc w:val="right"/>
              <w:ind w:right="580"/>
              <w:spacing w:after="0"/>
              <w:rPr>
                <w:sz w:val="20"/>
                <w:szCs w:val="20"/>
                <w:color w:val="auto"/>
              </w:rPr>
            </w:pPr>
            <w:r>
              <w:rPr>
                <w:rFonts w:ascii="Arial" w:cs="Arial" w:eastAsia="Arial" w:hAnsi="Arial"/>
                <w:sz w:val="20"/>
                <w:szCs w:val="20"/>
                <w:color w:val="auto"/>
              </w:rPr>
              <w:t>18</w:t>
            </w:r>
          </w:p>
        </w:tc>
        <w:tc>
          <w:tcPr>
            <w:tcW w:w="74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0.2</w:t>
            </w:r>
          </w:p>
        </w:tc>
      </w:tr>
      <w:tr>
        <w:trPr>
          <w:trHeight w:val="297"/>
        </w:trPr>
        <w:tc>
          <w:tcPr>
            <w:tcW w:w="7440" w:type="dxa"/>
            <w:vAlign w:val="bottom"/>
            <w:shd w:val="clear" w:color="auto" w:fill="FEFEFE"/>
          </w:tcPr>
          <w:p>
            <w:pPr>
              <w:ind w:left="40"/>
              <w:spacing w:after="0"/>
              <w:rPr>
                <w:sz w:val="20"/>
                <w:szCs w:val="20"/>
                <w:color w:val="auto"/>
              </w:rPr>
            </w:pPr>
            <w:r>
              <w:rPr>
                <w:rFonts w:ascii="Arial" w:cs="Arial" w:eastAsia="Arial" w:hAnsi="Arial"/>
                <w:sz w:val="20"/>
                <w:szCs w:val="20"/>
                <w:color w:val="auto"/>
              </w:rPr>
              <w:t>Effect of cross-border tax laws</w:t>
            </w:r>
          </w:p>
        </w:tc>
        <w:tc>
          <w:tcPr>
            <w:tcW w:w="180" w:type="dxa"/>
            <w:vAlign w:val="bottom"/>
            <w:shd w:val="clear" w:color="auto" w:fill="FEFEFE"/>
          </w:tcPr>
          <w:p>
            <w:pPr>
              <w:spacing w:after="0"/>
              <w:rPr>
                <w:sz w:val="24"/>
                <w:szCs w:val="24"/>
                <w:color w:val="auto"/>
              </w:rPr>
            </w:pPr>
          </w:p>
        </w:tc>
        <w:tc>
          <w:tcPr>
            <w:tcW w:w="360" w:type="dxa"/>
            <w:vAlign w:val="bottom"/>
            <w:shd w:val="clear" w:color="auto" w:fill="FEFEFE"/>
          </w:tcPr>
          <w:p>
            <w:pPr>
              <w:spacing w:after="0"/>
              <w:rPr>
                <w:sz w:val="24"/>
                <w:szCs w:val="24"/>
                <w:color w:val="auto"/>
              </w:rPr>
            </w:pPr>
          </w:p>
        </w:tc>
        <w:tc>
          <w:tcPr>
            <w:tcW w:w="1540" w:type="dxa"/>
            <w:vAlign w:val="bottom"/>
            <w:shd w:val="clear" w:color="auto" w:fill="FEFEFE"/>
          </w:tcPr>
          <w:p>
            <w:pPr>
              <w:jc w:val="right"/>
              <w:ind w:right="580"/>
              <w:spacing w:after="0"/>
              <w:rPr>
                <w:sz w:val="20"/>
                <w:szCs w:val="20"/>
                <w:color w:val="auto"/>
              </w:rPr>
            </w:pPr>
            <w:r>
              <w:rPr>
                <w:rFonts w:ascii="Arial" w:cs="Arial" w:eastAsia="Arial" w:hAnsi="Arial"/>
                <w:sz w:val="20"/>
                <w:szCs w:val="20"/>
                <w:color w:val="auto"/>
              </w:rPr>
              <w:t>17</w:t>
            </w:r>
          </w:p>
        </w:tc>
        <w:tc>
          <w:tcPr>
            <w:tcW w:w="74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0.2</w:t>
            </w:r>
          </w:p>
        </w:tc>
      </w:tr>
      <w:tr>
        <w:trPr>
          <w:trHeight w:val="307"/>
        </w:trPr>
        <w:tc>
          <w:tcPr>
            <w:tcW w:w="7440" w:type="dxa"/>
            <w:vAlign w:val="bottom"/>
            <w:shd w:val="clear" w:color="auto" w:fill="E4E4E4"/>
          </w:tcPr>
          <w:p>
            <w:pPr>
              <w:ind w:left="40"/>
              <w:spacing w:after="0"/>
              <w:rPr>
                <w:sz w:val="20"/>
                <w:szCs w:val="20"/>
                <w:color w:val="auto"/>
              </w:rPr>
            </w:pPr>
            <w:r>
              <w:rPr>
                <w:rFonts w:ascii="Arial" w:cs="Arial" w:eastAsia="Arial" w:hAnsi="Arial"/>
                <w:sz w:val="20"/>
                <w:szCs w:val="20"/>
                <w:color w:val="auto"/>
              </w:rPr>
              <w:t>Tax credits</w:t>
            </w:r>
          </w:p>
        </w:tc>
        <w:tc>
          <w:tcPr>
            <w:tcW w:w="180" w:type="dxa"/>
            <w:vAlign w:val="bottom"/>
            <w:shd w:val="clear" w:color="auto" w:fill="E4E4E4"/>
          </w:tcPr>
          <w:p>
            <w:pPr>
              <w:spacing w:after="0"/>
              <w:rPr>
                <w:sz w:val="24"/>
                <w:szCs w:val="24"/>
                <w:color w:val="auto"/>
              </w:rPr>
            </w:pPr>
          </w:p>
        </w:tc>
        <w:tc>
          <w:tcPr>
            <w:tcW w:w="360" w:type="dxa"/>
            <w:vAlign w:val="bottom"/>
            <w:shd w:val="clear" w:color="auto" w:fill="E4E4E4"/>
          </w:tcPr>
          <w:p>
            <w:pPr>
              <w:spacing w:after="0"/>
              <w:rPr>
                <w:sz w:val="24"/>
                <w:szCs w:val="24"/>
                <w:color w:val="auto"/>
              </w:rPr>
            </w:pPr>
          </w:p>
        </w:tc>
        <w:tc>
          <w:tcPr>
            <w:tcW w:w="1540" w:type="dxa"/>
            <w:vAlign w:val="bottom"/>
            <w:shd w:val="clear" w:color="auto" w:fill="E4E4E4"/>
          </w:tcPr>
          <w:p>
            <w:pPr>
              <w:jc w:val="right"/>
              <w:ind w:right="580"/>
              <w:spacing w:after="0"/>
              <w:rPr>
                <w:sz w:val="20"/>
                <w:szCs w:val="20"/>
                <w:color w:val="auto"/>
              </w:rPr>
            </w:pPr>
            <w:r>
              <w:rPr>
                <w:rFonts w:ascii="Arial" w:cs="Arial" w:eastAsia="Arial" w:hAnsi="Arial"/>
                <w:sz w:val="20"/>
                <w:szCs w:val="20"/>
                <w:color w:val="auto"/>
              </w:rPr>
              <w:t>63</w:t>
            </w:r>
          </w:p>
        </w:tc>
        <w:tc>
          <w:tcPr>
            <w:tcW w:w="74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0.9</w:t>
            </w:r>
          </w:p>
        </w:tc>
      </w:tr>
      <w:tr>
        <w:trPr>
          <w:trHeight w:val="297"/>
        </w:trPr>
        <w:tc>
          <w:tcPr>
            <w:tcW w:w="7440" w:type="dxa"/>
            <w:vAlign w:val="bottom"/>
            <w:shd w:val="clear" w:color="auto" w:fill="FEFEFE"/>
          </w:tcPr>
          <w:p>
            <w:pPr>
              <w:ind w:left="40"/>
              <w:spacing w:after="0"/>
              <w:rPr>
                <w:sz w:val="20"/>
                <w:szCs w:val="20"/>
                <w:color w:val="auto"/>
              </w:rPr>
            </w:pPr>
            <w:r>
              <w:rPr>
                <w:rFonts w:ascii="Arial" w:cs="Arial" w:eastAsia="Arial" w:hAnsi="Arial"/>
                <w:sz w:val="20"/>
                <w:szCs w:val="20"/>
                <w:color w:val="auto"/>
              </w:rPr>
              <w:t>Nondeductible nontaxable items</w:t>
            </w:r>
          </w:p>
        </w:tc>
        <w:tc>
          <w:tcPr>
            <w:tcW w:w="180" w:type="dxa"/>
            <w:vAlign w:val="bottom"/>
            <w:shd w:val="clear" w:color="auto" w:fill="FEFEFE"/>
          </w:tcPr>
          <w:p>
            <w:pPr>
              <w:spacing w:after="0"/>
              <w:rPr>
                <w:sz w:val="24"/>
                <w:szCs w:val="24"/>
                <w:color w:val="auto"/>
              </w:rPr>
            </w:pPr>
          </w:p>
        </w:tc>
        <w:tc>
          <w:tcPr>
            <w:tcW w:w="360" w:type="dxa"/>
            <w:vAlign w:val="bottom"/>
            <w:shd w:val="clear" w:color="auto" w:fill="FEFEFE"/>
          </w:tcPr>
          <w:p>
            <w:pPr>
              <w:spacing w:after="0"/>
              <w:rPr>
                <w:sz w:val="24"/>
                <w:szCs w:val="24"/>
                <w:color w:val="auto"/>
              </w:rPr>
            </w:pPr>
          </w:p>
        </w:tc>
        <w:tc>
          <w:tcPr>
            <w:tcW w:w="1540" w:type="dxa"/>
            <w:vAlign w:val="bottom"/>
            <w:shd w:val="clear" w:color="auto" w:fill="FEFEFE"/>
          </w:tcPr>
          <w:p>
            <w:pPr>
              <w:jc w:val="right"/>
              <w:ind w:right="580"/>
              <w:spacing w:after="0"/>
              <w:rPr>
                <w:sz w:val="20"/>
                <w:szCs w:val="20"/>
                <w:color w:val="auto"/>
              </w:rPr>
            </w:pPr>
            <w:r>
              <w:rPr>
                <w:rFonts w:ascii="Arial" w:cs="Arial" w:eastAsia="Arial" w:hAnsi="Arial"/>
                <w:sz w:val="20"/>
                <w:szCs w:val="20"/>
                <w:color w:val="auto"/>
              </w:rPr>
              <w:t>37</w:t>
            </w:r>
          </w:p>
        </w:tc>
        <w:tc>
          <w:tcPr>
            <w:tcW w:w="740" w:type="dxa"/>
            <w:vAlign w:val="bottom"/>
            <w:shd w:val="clear" w:color="auto" w:fill="FEFEFE"/>
          </w:tcPr>
          <w:p>
            <w:pPr>
              <w:jc w:val="right"/>
              <w:ind w:right="200"/>
              <w:spacing w:after="0"/>
              <w:rPr>
                <w:sz w:val="20"/>
                <w:szCs w:val="20"/>
                <w:color w:val="auto"/>
              </w:rPr>
            </w:pPr>
            <w:r>
              <w:rPr>
                <w:rFonts w:ascii="Arial" w:cs="Arial" w:eastAsia="Arial" w:hAnsi="Arial"/>
                <w:sz w:val="20"/>
                <w:szCs w:val="20"/>
                <w:color w:val="auto"/>
              </w:rPr>
              <w:t>0.5</w:t>
            </w:r>
          </w:p>
        </w:tc>
      </w:tr>
      <w:tr>
        <w:trPr>
          <w:trHeight w:val="303"/>
        </w:trPr>
        <w:tc>
          <w:tcPr>
            <w:tcW w:w="7440" w:type="dxa"/>
            <w:vAlign w:val="bottom"/>
            <w:shd w:val="clear" w:color="auto" w:fill="E4E4E4"/>
          </w:tcPr>
          <w:p>
            <w:pPr>
              <w:ind w:left="40"/>
              <w:spacing w:after="0"/>
              <w:rPr>
                <w:sz w:val="20"/>
                <w:szCs w:val="20"/>
                <w:color w:val="auto"/>
              </w:rPr>
            </w:pPr>
            <w:r>
              <w:rPr>
                <w:rFonts w:ascii="Arial" w:cs="Arial" w:eastAsia="Arial" w:hAnsi="Arial"/>
                <w:sz w:val="20"/>
                <w:szCs w:val="20"/>
                <w:color w:val="auto"/>
              </w:rPr>
              <w:t>Change in unrecogni ed tax benefits</w:t>
            </w:r>
          </w:p>
        </w:tc>
        <w:tc>
          <w:tcPr>
            <w:tcW w:w="180" w:type="dxa"/>
            <w:vAlign w:val="bottom"/>
            <w:shd w:val="clear" w:color="auto" w:fill="E4E4E4"/>
          </w:tcPr>
          <w:p>
            <w:pPr>
              <w:spacing w:after="0"/>
              <w:rPr>
                <w:sz w:val="24"/>
                <w:szCs w:val="24"/>
                <w:color w:val="auto"/>
              </w:rPr>
            </w:pPr>
          </w:p>
        </w:tc>
        <w:tc>
          <w:tcPr>
            <w:tcW w:w="360" w:type="dxa"/>
            <w:vAlign w:val="bottom"/>
            <w:shd w:val="clear" w:color="auto" w:fill="E4E4E4"/>
          </w:tcPr>
          <w:p>
            <w:pPr>
              <w:spacing w:after="0"/>
              <w:rPr>
                <w:sz w:val="24"/>
                <w:szCs w:val="24"/>
                <w:color w:val="auto"/>
              </w:rPr>
            </w:pPr>
          </w:p>
        </w:tc>
        <w:tc>
          <w:tcPr>
            <w:tcW w:w="1540" w:type="dxa"/>
            <w:vAlign w:val="bottom"/>
            <w:shd w:val="clear" w:color="auto" w:fill="E4E4E4"/>
          </w:tcPr>
          <w:p>
            <w:pPr>
              <w:jc w:val="right"/>
              <w:ind w:right="580"/>
              <w:spacing w:after="0"/>
              <w:rPr>
                <w:sz w:val="20"/>
                <w:szCs w:val="20"/>
                <w:color w:val="auto"/>
              </w:rPr>
            </w:pPr>
            <w:r>
              <w:rPr>
                <w:rFonts w:ascii="Arial" w:cs="Arial" w:eastAsia="Arial" w:hAnsi="Arial"/>
                <w:sz w:val="20"/>
                <w:szCs w:val="20"/>
                <w:color w:val="auto"/>
              </w:rPr>
              <w:t>5</w:t>
            </w:r>
          </w:p>
        </w:tc>
        <w:tc>
          <w:tcPr>
            <w:tcW w:w="740" w:type="dxa"/>
            <w:vAlign w:val="bottom"/>
            <w:shd w:val="clear" w:color="auto" w:fill="E4E4E4"/>
          </w:tcPr>
          <w:p>
            <w:pPr>
              <w:jc w:val="right"/>
              <w:ind w:right="200"/>
              <w:spacing w:after="0"/>
              <w:rPr>
                <w:sz w:val="20"/>
                <w:szCs w:val="20"/>
                <w:color w:val="auto"/>
              </w:rPr>
            </w:pPr>
            <w:r>
              <w:rPr>
                <w:rFonts w:ascii="Arial" w:cs="Arial" w:eastAsia="Arial" w:hAnsi="Arial"/>
                <w:sz w:val="20"/>
                <w:szCs w:val="20"/>
                <w:color w:val="auto"/>
              </w:rPr>
              <w:t>0.1</w:t>
            </w:r>
          </w:p>
        </w:tc>
      </w:tr>
      <w:tr>
        <w:trPr>
          <w:trHeight w:val="290"/>
        </w:trPr>
        <w:tc>
          <w:tcPr>
            <w:tcW w:w="7440" w:type="dxa"/>
            <w:vAlign w:val="bottom"/>
            <w:tcBorders>
              <w:bottom w:val="single" w:sz="8" w:color="auto"/>
            </w:tcBorders>
            <w:shd w:val="clear" w:color="auto" w:fill="FEFEFE"/>
          </w:tcPr>
          <w:p>
            <w:pPr>
              <w:ind w:left="180"/>
              <w:spacing w:after="0"/>
              <w:rPr>
                <w:sz w:val="20"/>
                <w:szCs w:val="20"/>
                <w:color w:val="auto"/>
              </w:rPr>
            </w:pPr>
            <w:r>
              <w:rPr>
                <w:rFonts w:ascii="Arial" w:cs="Arial" w:eastAsia="Arial" w:hAnsi="Arial"/>
                <w:sz w:val="20"/>
                <w:szCs w:val="20"/>
                <w:color w:val="auto"/>
              </w:rPr>
              <w:t>ther</w:t>
            </w:r>
          </w:p>
        </w:tc>
        <w:tc>
          <w:tcPr>
            <w:tcW w:w="180" w:type="dxa"/>
            <w:vAlign w:val="bottom"/>
            <w:tcBorders>
              <w:bottom w:val="single" w:sz="8" w:color="auto"/>
            </w:tcBorders>
            <w:shd w:val="clear" w:color="auto" w:fill="FEFEFE"/>
          </w:tcPr>
          <w:p>
            <w:pPr>
              <w:spacing w:after="0"/>
              <w:rPr>
                <w:sz w:val="24"/>
                <w:szCs w:val="24"/>
                <w:color w:val="auto"/>
              </w:rPr>
            </w:pPr>
          </w:p>
        </w:tc>
        <w:tc>
          <w:tcPr>
            <w:tcW w:w="360" w:type="dxa"/>
            <w:vAlign w:val="bottom"/>
            <w:tcBorders>
              <w:bottom w:val="single" w:sz="8" w:color="auto"/>
            </w:tcBorders>
            <w:shd w:val="clear" w:color="auto" w:fill="FEFEFE"/>
          </w:tcPr>
          <w:p>
            <w:pPr>
              <w:spacing w:after="0"/>
              <w:rPr>
                <w:sz w:val="24"/>
                <w:szCs w:val="24"/>
                <w:color w:val="auto"/>
              </w:rPr>
            </w:pPr>
          </w:p>
        </w:tc>
        <w:tc>
          <w:tcPr>
            <w:tcW w:w="1540" w:type="dxa"/>
            <w:vAlign w:val="bottom"/>
            <w:tcBorders>
              <w:bottom w:val="single" w:sz="8" w:color="auto"/>
            </w:tcBorders>
            <w:shd w:val="clear" w:color="auto" w:fill="FEFEFE"/>
          </w:tcPr>
          <w:p>
            <w:pPr>
              <w:jc w:val="right"/>
              <w:ind w:right="580"/>
              <w:spacing w:after="0"/>
              <w:rPr>
                <w:sz w:val="20"/>
                <w:szCs w:val="20"/>
                <w:color w:val="auto"/>
              </w:rPr>
            </w:pPr>
            <w:r>
              <w:rPr>
                <w:rFonts w:ascii="Arial" w:cs="Arial" w:eastAsia="Arial" w:hAnsi="Arial"/>
                <w:sz w:val="20"/>
                <w:szCs w:val="20"/>
                <w:color w:val="auto"/>
              </w:rPr>
              <w:t>6</w:t>
            </w:r>
          </w:p>
        </w:tc>
        <w:tc>
          <w:tcPr>
            <w:tcW w:w="740" w:type="dxa"/>
            <w:vAlign w:val="bottom"/>
            <w:tcBorders>
              <w:bottom w:val="single" w:sz="8" w:color="auto"/>
            </w:tcBorders>
            <w:shd w:val="clear" w:color="auto" w:fill="FEFEFE"/>
          </w:tcPr>
          <w:p>
            <w:pPr>
              <w:jc w:val="right"/>
              <w:ind w:right="200"/>
              <w:spacing w:after="0"/>
              <w:rPr>
                <w:sz w:val="20"/>
                <w:szCs w:val="20"/>
                <w:color w:val="auto"/>
              </w:rPr>
            </w:pPr>
            <w:r>
              <w:rPr>
                <w:rFonts w:ascii="Arial" w:cs="Arial" w:eastAsia="Arial" w:hAnsi="Arial"/>
                <w:sz w:val="20"/>
                <w:szCs w:val="20"/>
                <w:color w:val="auto"/>
              </w:rPr>
              <w:t>0.1</w:t>
            </w:r>
          </w:p>
        </w:tc>
      </w:tr>
      <w:tr>
        <w:trPr>
          <w:trHeight w:val="280"/>
        </w:trPr>
        <w:tc>
          <w:tcPr>
            <w:tcW w:w="7440" w:type="dxa"/>
            <w:vAlign w:val="bottom"/>
            <w:tcBorders>
              <w:bottom w:val="single" w:sz="8" w:color="auto"/>
            </w:tcBorders>
            <w:shd w:val="clear" w:color="auto" w:fill="E4E4E4"/>
          </w:tcPr>
          <w:p>
            <w:pPr>
              <w:ind w:left="480"/>
              <w:spacing w:after="0"/>
              <w:rPr>
                <w:sz w:val="20"/>
                <w:szCs w:val="20"/>
                <w:color w:val="auto"/>
              </w:rPr>
            </w:pPr>
            <w:r>
              <w:rPr>
                <w:rFonts w:ascii="Arial" w:cs="Arial" w:eastAsia="Arial" w:hAnsi="Arial"/>
                <w:sz w:val="20"/>
                <w:szCs w:val="20"/>
                <w:color w:val="auto"/>
              </w:rPr>
              <w:t>orldwide effecti e income ta  rate</w:t>
            </w:r>
          </w:p>
        </w:tc>
        <w:tc>
          <w:tcPr>
            <w:tcW w:w="540" w:type="dxa"/>
            <w:vAlign w:val="bottom"/>
            <w:tcBorders>
              <w:bottom w:val="single" w:sz="8" w:color="auto"/>
            </w:tcBorders>
            <w:gridSpan w:val="2"/>
            <w:shd w:val="clear" w:color="auto" w:fill="E4E4E4"/>
          </w:tcPr>
          <w:p>
            <w:pPr>
              <w:jc w:val="right"/>
              <w:ind w:right="22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E4E4E4"/>
          </w:tcPr>
          <w:p>
            <w:pPr>
              <w:jc w:val="right"/>
              <w:ind w:right="580"/>
              <w:spacing w:after="0"/>
              <w:rPr>
                <w:sz w:val="20"/>
                <w:szCs w:val="20"/>
                <w:color w:val="auto"/>
              </w:rPr>
            </w:pPr>
            <w:r>
              <w:rPr>
                <w:rFonts w:ascii="Arial" w:cs="Arial" w:eastAsia="Arial" w:hAnsi="Arial"/>
                <w:sz w:val="20"/>
                <w:szCs w:val="20"/>
                <w:color w:val="auto"/>
              </w:rPr>
              <w:t>1,805</w:t>
            </w:r>
          </w:p>
        </w:tc>
        <w:tc>
          <w:tcPr>
            <w:tcW w:w="740" w:type="dxa"/>
            <w:vAlign w:val="bottom"/>
            <w:tcBorders>
              <w:bottom w:val="single" w:sz="8" w:color="auto"/>
            </w:tcBorders>
            <w:shd w:val="clear" w:color="auto" w:fill="E4E4E4"/>
          </w:tcPr>
          <w:p>
            <w:pPr>
              <w:jc w:val="right"/>
              <w:ind w:right="200"/>
              <w:spacing w:after="0"/>
              <w:rPr>
                <w:sz w:val="20"/>
                <w:szCs w:val="20"/>
                <w:color w:val="auto"/>
              </w:rPr>
            </w:pPr>
            <w:r>
              <w:rPr>
                <w:rFonts w:ascii="Arial" w:cs="Arial" w:eastAsia="Arial" w:hAnsi="Arial"/>
                <w:sz w:val="20"/>
                <w:szCs w:val="20"/>
                <w:color w:val="auto"/>
              </w:rPr>
              <w:t>24.7</w:t>
            </w:r>
          </w:p>
        </w:tc>
      </w:tr>
      <w:tr>
        <w:trPr>
          <w:trHeight w:val="369"/>
        </w:trPr>
        <w:tc>
          <w:tcPr>
            <w:tcW w:w="7440" w:type="dxa"/>
            <w:vAlign w:val="bottom"/>
          </w:tcPr>
          <w:p>
            <w:pPr>
              <w:spacing w:after="0"/>
              <w:rPr>
                <w:sz w:val="20"/>
                <w:szCs w:val="20"/>
                <w:color w:val="auto"/>
              </w:rPr>
            </w:pPr>
            <w:r>
              <w:rPr>
                <w:rFonts w:ascii="Arial" w:cs="Arial" w:eastAsia="Arial" w:hAnsi="Arial"/>
                <w:sz w:val="16"/>
                <w:szCs w:val="16"/>
                <w:color w:val="auto"/>
                <w:w w:val="94"/>
              </w:rPr>
              <w:t>(a)  California, New York, New Jersey,  assachusetts, Illinois, and Florida make up the majority (greater than 50</w:t>
            </w:r>
          </w:p>
        </w:tc>
        <w:tc>
          <w:tcPr>
            <w:tcW w:w="2080" w:type="dxa"/>
            <w:vAlign w:val="bottom"/>
            <w:gridSpan w:val="3"/>
          </w:tcPr>
          <w:p>
            <w:pPr>
              <w:jc w:val="right"/>
              <w:ind w:right="780"/>
              <w:spacing w:after="0"/>
              <w:rPr>
                <w:sz w:val="20"/>
                <w:szCs w:val="20"/>
                <w:color w:val="auto"/>
              </w:rPr>
            </w:pPr>
            <w:r>
              <w:rPr>
                <w:rFonts w:ascii="Arial" w:cs="Arial" w:eastAsia="Arial" w:hAnsi="Arial"/>
                <w:sz w:val="16"/>
                <w:szCs w:val="16"/>
                <w:color w:val="auto"/>
                <w:w w:val="96"/>
              </w:rPr>
              <w:t>) of this category.</w:t>
            </w:r>
          </w:p>
        </w:tc>
        <w:tc>
          <w:tcPr>
            <w:tcW w:w="740" w:type="dxa"/>
            <w:vAlign w:val="bottom"/>
          </w:tcPr>
          <w:p>
            <w:pPr>
              <w:spacing w:after="0"/>
              <w:rPr>
                <w:sz w:val="24"/>
                <w:szCs w:val="24"/>
                <w:color w:val="auto"/>
              </w:rPr>
            </w:pPr>
          </w:p>
        </w:tc>
      </w:tr>
    </w:tbl>
    <w:p>
      <w:pPr>
        <w:spacing w:after="0" w:line="150" w:lineRule="exact"/>
        <w:rPr>
          <w:sz w:val="20"/>
          <w:szCs w:val="20"/>
          <w:color w:val="auto"/>
        </w:rPr>
      </w:pPr>
    </w:p>
    <w:p>
      <w:pPr>
        <w:jc w:val="both"/>
        <w:ind w:right="280"/>
        <w:spacing w:after="0" w:line="283" w:lineRule="auto"/>
        <w:rPr>
          <w:sz w:val="20"/>
          <w:szCs w:val="20"/>
          <w:color w:val="auto"/>
        </w:rPr>
      </w:pPr>
      <w:r>
        <w:rPr>
          <w:rFonts w:ascii="Arial" w:cs="Arial" w:eastAsia="Arial" w:hAnsi="Arial"/>
          <w:sz w:val="20"/>
          <w:szCs w:val="20"/>
          <w:color w:val="auto"/>
        </w:rPr>
        <w:t>There are no changes in tax laws or rates enacted in the current period or changes in valuation allowances which are material for separate disclosure.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20" w:type="dxa"/>
            <w:vAlign w:val="bottom"/>
          </w:tcPr>
          <w:p>
            <w:pPr>
              <w:spacing w:after="0"/>
              <w:rPr>
                <w:sz w:val="22"/>
                <w:szCs w:val="22"/>
                <w:color w:val="auto"/>
              </w:rPr>
            </w:pPr>
          </w:p>
        </w:tc>
        <w:tc>
          <w:tcPr>
            <w:tcW w:w="26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182"/>
        </w:trPr>
        <w:tc>
          <w:tcPr>
            <w:tcW w:w="7620" w:type="dxa"/>
            <w:vAlign w:val="bottom"/>
          </w:tcPr>
          <w:p>
            <w:pPr>
              <w:spacing w:after="0"/>
              <w:rPr>
                <w:sz w:val="15"/>
                <w:szCs w:val="15"/>
                <w:color w:val="auto"/>
              </w:rPr>
            </w:pPr>
          </w:p>
        </w:tc>
        <w:tc>
          <w:tcPr>
            <w:tcW w:w="1320" w:type="dxa"/>
            <w:vAlign w:val="bottom"/>
          </w:tcPr>
          <w:p>
            <w:pPr>
              <w:jc w:val="right"/>
              <w:ind w:right="100"/>
              <w:spacing w:after="0" w:line="182" w:lineRule="exact"/>
              <w:rPr>
                <w:sz w:val="20"/>
                <w:szCs w:val="20"/>
                <w:color w:val="auto"/>
              </w:rPr>
            </w:pPr>
            <w:r>
              <w:rPr>
                <w:rFonts w:ascii="Arial" w:cs="Arial" w:eastAsia="Arial" w:hAnsi="Arial"/>
                <w:sz w:val="20"/>
                <w:szCs w:val="20"/>
                <w:color w:val="auto"/>
              </w:rPr>
              <w:t>February 1,</w:t>
            </w:r>
          </w:p>
        </w:tc>
        <w:tc>
          <w:tcPr>
            <w:tcW w:w="1320" w:type="dxa"/>
            <w:vAlign w:val="bottom"/>
          </w:tcPr>
          <w:p>
            <w:pPr>
              <w:jc w:val="center"/>
              <w:spacing w:after="0" w:line="182" w:lineRule="exact"/>
              <w:rPr>
                <w:sz w:val="20"/>
                <w:szCs w:val="20"/>
                <w:color w:val="auto"/>
              </w:rPr>
            </w:pPr>
            <w:r>
              <w:rPr>
                <w:rFonts w:ascii="Arial" w:cs="Arial" w:eastAsia="Arial" w:hAnsi="Arial"/>
                <w:sz w:val="20"/>
                <w:szCs w:val="20"/>
                <w:color w:val="auto"/>
                <w:w w:val="91"/>
              </w:rPr>
              <w:t>February 3,</w:t>
            </w:r>
          </w:p>
        </w:tc>
      </w:tr>
      <w:tr>
        <w:trPr>
          <w:trHeight w:val="263"/>
        </w:trPr>
        <w:tc>
          <w:tcPr>
            <w:tcW w:w="7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2024</w:t>
            </w:r>
          </w:p>
        </w:tc>
      </w:tr>
      <w:tr>
        <w:trPr>
          <w:trHeight w:val="283"/>
        </w:trPr>
        <w:tc>
          <w:tcPr>
            <w:tcW w:w="7620" w:type="dxa"/>
            <w:vAlign w:val="bottom"/>
            <w:shd w:val="clear" w:color="auto" w:fill="FEFEFE"/>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shd w:val="clear" w:color="auto" w:fill="FEFEFE"/>
          </w:tcPr>
          <w:p>
            <w:pPr>
              <w:jc w:val="center"/>
              <w:spacing w:after="0"/>
              <w:rPr>
                <w:sz w:val="20"/>
                <w:szCs w:val="20"/>
                <w:color w:val="auto"/>
              </w:rPr>
            </w:pPr>
            <w:r>
              <w:rPr>
                <w:rFonts w:ascii="Arial" w:cs="Arial" w:eastAsia="Arial" w:hAnsi="Arial"/>
                <w:sz w:val="20"/>
                <w:szCs w:val="20"/>
                <w:color w:val="auto"/>
                <w:w w:val="91"/>
              </w:rPr>
              <w:t>(53 weeks)</w:t>
            </w:r>
          </w:p>
        </w:tc>
      </w:tr>
      <w:tr>
        <w:trPr>
          <w:trHeight w:val="307"/>
        </w:trPr>
        <w:tc>
          <w:tcPr>
            <w:tcW w:w="7620" w:type="dxa"/>
            <w:vAlign w:val="bottom"/>
            <w:shd w:val="clear" w:color="auto" w:fill="E4E4E4"/>
          </w:tcPr>
          <w:p>
            <w:pPr>
              <w:ind w:left="180"/>
              <w:spacing w:after="0"/>
              <w:rPr>
                <w:sz w:val="20"/>
                <w:szCs w:val="20"/>
                <w:color w:val="auto"/>
              </w:rPr>
            </w:pPr>
            <w:r>
              <w:rPr>
                <w:rFonts w:ascii="Arial" w:cs="Arial" w:eastAsia="Arial" w:hAnsi="Arial"/>
                <w:sz w:val="20"/>
                <w:szCs w:val="20"/>
                <w:color w:val="auto"/>
              </w:rPr>
              <w:t>.S. federal statutory income tax rate</w:t>
            </w:r>
          </w:p>
        </w:tc>
        <w:tc>
          <w:tcPr>
            <w:tcW w:w="132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21.0</w:t>
            </w:r>
          </w:p>
        </w:tc>
        <w:tc>
          <w:tcPr>
            <w:tcW w:w="132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21.0</w:t>
            </w:r>
          </w:p>
        </w:tc>
      </w:tr>
      <w:tr>
        <w:trPr>
          <w:trHeight w:val="294"/>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Effective state income tax rate</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4.5</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4.2</w:t>
            </w:r>
          </w:p>
        </w:tc>
      </w:tr>
      <w:tr>
        <w:trPr>
          <w:trHeight w:val="306"/>
        </w:trPr>
        <w:tc>
          <w:tcPr>
            <w:tcW w:w="7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Impact of foreign operations</w:t>
            </w:r>
          </w:p>
        </w:tc>
        <w:tc>
          <w:tcPr>
            <w:tcW w:w="132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auto"/>
              </w:rPr>
              <w:t>1.0</w:t>
            </w:r>
          </w:p>
        </w:tc>
        <w:tc>
          <w:tcPr>
            <w:tcW w:w="1320" w:type="dxa"/>
            <w:vAlign w:val="bottom"/>
            <w:shd w:val="clear" w:color="auto" w:fill="E4E4E4"/>
          </w:tcPr>
          <w:p>
            <w:pPr>
              <w:jc w:val="right"/>
              <w:ind w:right="260"/>
              <w:spacing w:after="0"/>
              <w:rPr>
                <w:sz w:val="20"/>
                <w:szCs w:val="20"/>
                <w:color w:val="auto"/>
              </w:rPr>
            </w:pPr>
            <w:r>
              <w:rPr>
                <w:rFonts w:ascii="Arial" w:cs="Arial" w:eastAsia="Arial" w:hAnsi="Arial"/>
                <w:sz w:val="20"/>
                <w:szCs w:val="20"/>
                <w:color w:val="auto"/>
              </w:rPr>
              <w:t>0.</w:t>
            </w:r>
          </w:p>
        </w:tc>
      </w:tr>
      <w:tr>
        <w:trPr>
          <w:trHeight w:val="297"/>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Excess share-based compensation</w:t>
            </w:r>
          </w:p>
        </w:tc>
        <w:tc>
          <w:tcPr>
            <w:tcW w:w="1320" w:type="dxa"/>
            <w:vAlign w:val="bottom"/>
            <w:shd w:val="clear" w:color="auto" w:fill="FEFEFE"/>
          </w:tcPr>
          <w:p>
            <w:pPr>
              <w:jc w:val="right"/>
              <w:ind w:right="100"/>
              <w:spacing w:after="0"/>
              <w:rPr>
                <w:sz w:val="20"/>
                <w:szCs w:val="20"/>
                <w:color w:val="auto"/>
              </w:rPr>
            </w:pPr>
            <w:r>
              <w:rPr>
                <w:rFonts w:ascii="Arial" w:cs="Arial" w:eastAsia="Arial" w:hAnsi="Arial"/>
                <w:sz w:val="20"/>
                <w:szCs w:val="20"/>
                <w:color w:val="auto"/>
              </w:rPr>
              <w:t>(1.3)</w:t>
            </w:r>
          </w:p>
        </w:tc>
        <w:tc>
          <w:tcPr>
            <w:tcW w:w="1320" w:type="dxa"/>
            <w:vAlign w:val="bottom"/>
            <w:shd w:val="clear" w:color="auto" w:fill="FEFEFE"/>
          </w:tcPr>
          <w:p>
            <w:pPr>
              <w:jc w:val="right"/>
              <w:ind w:right="100"/>
              <w:spacing w:after="0"/>
              <w:rPr>
                <w:sz w:val="20"/>
                <w:szCs w:val="20"/>
                <w:color w:val="auto"/>
              </w:rPr>
            </w:pPr>
            <w:r>
              <w:rPr>
                <w:rFonts w:ascii="Arial" w:cs="Arial" w:eastAsia="Arial" w:hAnsi="Arial"/>
                <w:sz w:val="20"/>
                <w:szCs w:val="20"/>
                <w:color w:val="auto"/>
              </w:rPr>
              <w:t>(0.8)</w:t>
            </w:r>
          </w:p>
        </w:tc>
      </w:tr>
      <w:tr>
        <w:trPr>
          <w:trHeight w:val="303"/>
        </w:trPr>
        <w:tc>
          <w:tcPr>
            <w:tcW w:w="7620" w:type="dxa"/>
            <w:vAlign w:val="bottom"/>
            <w:shd w:val="clear" w:color="auto" w:fill="E4E4E4"/>
          </w:tcPr>
          <w:p>
            <w:pPr>
              <w:ind w:left="40"/>
              <w:spacing w:after="0"/>
              <w:rPr>
                <w:sz w:val="20"/>
                <w:szCs w:val="20"/>
                <w:color w:val="auto"/>
              </w:rPr>
            </w:pPr>
            <w:r>
              <w:rPr>
                <w:rFonts w:ascii="Arial" w:cs="Arial" w:eastAsia="Arial" w:hAnsi="Arial"/>
                <w:sz w:val="20"/>
                <w:szCs w:val="20"/>
                <w:color w:val="auto"/>
              </w:rPr>
              <w:t>Tax credits</w:t>
            </w:r>
          </w:p>
        </w:tc>
        <w:tc>
          <w:tcPr>
            <w:tcW w:w="132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(0.2)</w:t>
            </w:r>
          </w:p>
        </w:tc>
        <w:tc>
          <w:tcPr>
            <w:tcW w:w="1320" w:type="dxa"/>
            <w:vAlign w:val="bottom"/>
            <w:shd w:val="clear" w:color="auto" w:fill="E4E4E4"/>
          </w:tcPr>
          <w:p>
            <w:pPr>
              <w:jc w:val="right"/>
              <w:ind w:right="100"/>
              <w:spacing w:after="0"/>
              <w:rPr>
                <w:sz w:val="20"/>
                <w:szCs w:val="20"/>
                <w:color w:val="auto"/>
              </w:rPr>
            </w:pPr>
            <w:r>
              <w:rPr>
                <w:rFonts w:ascii="Arial" w:cs="Arial" w:eastAsia="Arial" w:hAnsi="Arial"/>
                <w:sz w:val="20"/>
                <w:szCs w:val="20"/>
                <w:color w:val="auto"/>
              </w:rPr>
              <w:t>(0.2)</w:t>
            </w:r>
          </w:p>
        </w:tc>
      </w:tr>
      <w:tr>
        <w:trPr>
          <w:trHeight w:val="297"/>
        </w:trPr>
        <w:tc>
          <w:tcPr>
            <w:tcW w:w="7620" w:type="dxa"/>
            <w:vAlign w:val="bottom"/>
            <w:shd w:val="clear" w:color="auto" w:fill="FEFEFE"/>
          </w:tcPr>
          <w:p>
            <w:pPr>
              <w:ind w:left="40"/>
              <w:spacing w:after="0"/>
              <w:rPr>
                <w:sz w:val="20"/>
                <w:szCs w:val="20"/>
                <w:color w:val="auto"/>
              </w:rPr>
            </w:pPr>
            <w:r>
              <w:rPr>
                <w:rFonts w:ascii="Arial" w:cs="Arial" w:eastAsia="Arial" w:hAnsi="Arial"/>
                <w:sz w:val="20"/>
                <w:szCs w:val="20"/>
                <w:color w:val="auto"/>
              </w:rPr>
              <w:t>Nondeductible nontaxable items</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0.1</w:t>
            </w:r>
          </w:p>
        </w:tc>
        <w:tc>
          <w:tcPr>
            <w:tcW w:w="1320" w:type="dxa"/>
            <w:vAlign w:val="bottom"/>
            <w:shd w:val="clear" w:color="auto" w:fill="FEFEFE"/>
          </w:tcPr>
          <w:p>
            <w:pPr>
              <w:jc w:val="right"/>
              <w:ind w:right="160"/>
              <w:spacing w:after="0"/>
              <w:rPr>
                <w:sz w:val="20"/>
                <w:szCs w:val="20"/>
                <w:color w:val="auto"/>
              </w:rPr>
            </w:pPr>
            <w:r>
              <w:rPr>
                <w:rFonts w:ascii="Arial" w:cs="Arial" w:eastAsia="Arial" w:hAnsi="Arial"/>
                <w:sz w:val="20"/>
                <w:szCs w:val="20"/>
                <w:color w:val="auto"/>
              </w:rPr>
              <w:t>0.1</w:t>
            </w:r>
          </w:p>
        </w:tc>
      </w:tr>
      <w:tr>
        <w:trPr>
          <w:trHeight w:val="293"/>
        </w:trPr>
        <w:tc>
          <w:tcPr>
            <w:tcW w:w="7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ther</w:t>
            </w:r>
          </w:p>
        </w:tc>
        <w:tc>
          <w:tcPr>
            <w:tcW w:w="132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(0.1)</w:t>
            </w:r>
          </w:p>
        </w:tc>
        <w:tc>
          <w:tcPr>
            <w:tcW w:w="1320" w:type="dxa"/>
            <w:vAlign w:val="bottom"/>
            <w:tcBorders>
              <w:bottom w:val="single" w:sz="8" w:color="auto"/>
            </w:tcBorders>
            <w:shd w:val="clear" w:color="auto" w:fill="E4E4E4"/>
          </w:tcPr>
          <w:p>
            <w:pPr>
              <w:jc w:val="right"/>
              <w:ind w:right="100"/>
              <w:spacing w:after="0"/>
              <w:rPr>
                <w:sz w:val="20"/>
                <w:szCs w:val="20"/>
                <w:color w:val="auto"/>
              </w:rPr>
            </w:pPr>
            <w:r>
              <w:rPr>
                <w:rFonts w:ascii="Arial" w:cs="Arial" w:eastAsia="Arial" w:hAnsi="Arial"/>
                <w:sz w:val="20"/>
                <w:szCs w:val="20"/>
                <w:color w:val="auto"/>
              </w:rPr>
              <w:t>(0.2)</w:t>
            </w:r>
          </w:p>
        </w:tc>
      </w:tr>
      <w:tr>
        <w:trPr>
          <w:trHeight w:val="280"/>
        </w:trPr>
        <w:tc>
          <w:tcPr>
            <w:tcW w:w="7620" w:type="dxa"/>
            <w:vAlign w:val="bottom"/>
            <w:tcBorders>
              <w:bottom w:val="single" w:sz="8" w:color="auto"/>
            </w:tcBorders>
            <w:shd w:val="clear" w:color="auto" w:fill="FEFEFE"/>
          </w:tcPr>
          <w:p>
            <w:pPr>
              <w:ind w:left="480"/>
              <w:spacing w:after="0"/>
              <w:rPr>
                <w:sz w:val="20"/>
                <w:szCs w:val="20"/>
                <w:color w:val="auto"/>
              </w:rPr>
            </w:pPr>
            <w:r>
              <w:rPr>
                <w:rFonts w:ascii="Arial" w:cs="Arial" w:eastAsia="Arial" w:hAnsi="Arial"/>
                <w:sz w:val="20"/>
                <w:szCs w:val="20"/>
                <w:color w:val="auto"/>
              </w:rPr>
              <w:t>orldwide effective income tax rate</w:t>
            </w:r>
          </w:p>
        </w:tc>
        <w:tc>
          <w:tcPr>
            <w:tcW w:w="132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25.0</w:t>
            </w:r>
          </w:p>
        </w:tc>
        <w:tc>
          <w:tcPr>
            <w:tcW w:w="132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25.0</w:t>
            </w:r>
          </w:p>
        </w:tc>
      </w:tr>
    </w:tbl>
    <w:p>
      <w:pPr>
        <w:spacing w:after="0" w:line="147" w:lineRule="exact"/>
        <w:rPr>
          <w:sz w:val="20"/>
          <w:szCs w:val="20"/>
          <w:color w:val="auto"/>
        </w:rPr>
      </w:pPr>
    </w:p>
    <w:p>
      <w:pPr>
        <w:ind w:right="400"/>
        <w:spacing w:after="0" w:line="283" w:lineRule="auto"/>
        <w:rPr>
          <w:sz w:val="20"/>
          <w:szCs w:val="20"/>
          <w:color w:val="auto"/>
        </w:rPr>
      </w:pPr>
      <w:r>
        <w:rPr>
          <w:rFonts w:ascii="Arial" w:cs="Arial" w:eastAsia="Arial" w:hAnsi="Arial"/>
          <w:sz w:val="20"/>
          <w:szCs w:val="20"/>
          <w:color w:val="auto"/>
        </w:rPr>
        <w:t>TJX’s effective income tax rate decreased for fiscal 2026 compared to fiscal 2025. The decrease in the fiscal 2026 effective income tax rate is primarily due to a benefit from the ac uisition of federal tax credits.</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F-34</w:t>
      </w:r>
    </w:p>
    <w:p>
      <w:pPr>
        <w:sectPr>
          <w:pgSz w:w="12240" w:h="15841" w:orient="portrait"/>
          <w:cols w:equalWidth="0" w:num="1">
            <w:col w:w="10260"/>
          </w:cols>
          <w:pgMar w:left="1000" w:top="792" w:right="981"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Cash paid (net of refunds received) for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60"/>
              <w:spacing w:after="0"/>
              <w:rPr>
                <w:sz w:val="20"/>
                <w:szCs w:val="20"/>
                <w:color w:val="auto"/>
              </w:rPr>
            </w:pPr>
            <w:r>
              <w:rPr>
                <w:rFonts w:ascii="Arial" w:cs="Arial" w:eastAsia="Arial" w:hAnsi="Arial"/>
                <w:sz w:val="20"/>
                <w:szCs w:val="20"/>
                <w:color w:val="auto"/>
                <w:w w:val="89"/>
              </w:rPr>
              <w:t>Fiscal Year</w:t>
            </w:r>
          </w:p>
        </w:tc>
      </w:tr>
      <w:tr>
        <w:trPr>
          <w:trHeight w:val="263"/>
        </w:trPr>
        <w:tc>
          <w:tcPr>
            <w:tcW w:w="8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6"/>
              </w:rPr>
              <w:t>Ended</w:t>
            </w:r>
          </w:p>
        </w:tc>
      </w:tr>
      <w:tr>
        <w:trPr>
          <w:trHeight w:val="182"/>
        </w:trPr>
        <w:tc>
          <w:tcPr>
            <w:tcW w:w="8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0"/>
              <w:spacing w:after="0" w:line="182" w:lineRule="exact"/>
              <w:rPr>
                <w:sz w:val="20"/>
                <w:szCs w:val="20"/>
                <w:color w:val="auto"/>
              </w:rPr>
            </w:pPr>
            <w:r>
              <w:rPr>
                <w:rFonts w:ascii="Arial" w:cs="Arial" w:eastAsia="Arial" w:hAnsi="Arial"/>
                <w:sz w:val="20"/>
                <w:szCs w:val="20"/>
                <w:color w:val="auto"/>
                <w:w w:val="97"/>
              </w:rPr>
              <w:t>January 31,</w:t>
            </w:r>
          </w:p>
        </w:tc>
      </w:tr>
      <w:tr>
        <w:trPr>
          <w:trHeight w:val="263"/>
        </w:trPr>
        <w:tc>
          <w:tcPr>
            <w:tcW w:w="8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20"/>
                <w:szCs w:val="20"/>
                <w:color w:val="auto"/>
                <w:w w:val="89"/>
              </w:rPr>
              <w:t>2026</w:t>
            </w:r>
          </w:p>
        </w:tc>
      </w:tr>
      <w:tr>
        <w:trPr>
          <w:trHeight w:val="290"/>
        </w:trPr>
        <w:tc>
          <w:tcPr>
            <w:tcW w:w="8940" w:type="dxa"/>
            <w:vAlign w:val="bottom"/>
            <w:shd w:val="clear" w:color="auto" w:fill="E4E4E4"/>
          </w:tcPr>
          <w:p>
            <w:pPr>
              <w:ind w:left="180"/>
              <w:spacing w:after="0"/>
              <w:rPr>
                <w:sz w:val="20"/>
                <w:szCs w:val="20"/>
                <w:color w:val="auto"/>
              </w:rPr>
            </w:pPr>
            <w:r>
              <w:rPr>
                <w:rFonts w:ascii="Arial" w:cs="Arial" w:eastAsia="Arial" w:hAnsi="Arial"/>
                <w:sz w:val="20"/>
                <w:szCs w:val="20"/>
                <w:color w:val="auto"/>
              </w:rPr>
              <w:t>.S. federal tax</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869</w:t>
            </w:r>
          </w:p>
        </w:tc>
      </w:tr>
      <w:tr>
        <w:trPr>
          <w:trHeight w:val="293"/>
        </w:trPr>
        <w:tc>
          <w:tcPr>
            <w:tcW w:w="8940" w:type="dxa"/>
            <w:vAlign w:val="bottom"/>
            <w:shd w:val="clear" w:color="auto" w:fill="FEFEFE"/>
          </w:tcPr>
          <w:p>
            <w:pPr>
              <w:ind w:left="40"/>
              <w:spacing w:after="0"/>
              <w:rPr>
                <w:sz w:val="20"/>
                <w:szCs w:val="20"/>
                <w:color w:val="auto"/>
              </w:rPr>
            </w:pPr>
            <w:r>
              <w:rPr>
                <w:rFonts w:ascii="Arial" w:cs="Arial" w:eastAsia="Arial" w:hAnsi="Arial"/>
                <w:sz w:val="20"/>
                <w:szCs w:val="20"/>
                <w:color w:val="auto"/>
              </w:rPr>
              <w:t>State and local taxes</w:t>
            </w:r>
          </w:p>
        </w:tc>
        <w:tc>
          <w:tcPr>
            <w:tcW w:w="140" w:type="dxa"/>
            <w:vAlign w:val="bottom"/>
            <w:shd w:val="clear" w:color="auto" w:fill="FEFEFE"/>
          </w:tcPr>
          <w:p>
            <w:pPr>
              <w:spacing w:after="0"/>
              <w:rPr>
                <w:sz w:val="24"/>
                <w:szCs w:val="24"/>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330</w:t>
            </w:r>
          </w:p>
        </w:tc>
      </w:tr>
      <w:tr>
        <w:trPr>
          <w:trHeight w:val="287"/>
        </w:trPr>
        <w:tc>
          <w:tcPr>
            <w:tcW w:w="89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Foreign taxes:</w:t>
            </w:r>
          </w:p>
        </w:tc>
        <w:tc>
          <w:tcPr>
            <w:tcW w:w="140" w:type="dxa"/>
            <w:vAlign w:val="bottom"/>
            <w:tcBorders>
              <w:bottom w:val="single" w:sz="8" w:color="E4E4E4"/>
            </w:tcBorders>
            <w:shd w:val="clear" w:color="auto" w:fill="E4E4E4"/>
          </w:tcPr>
          <w:p>
            <w:pPr>
              <w:spacing w:after="0"/>
              <w:rPr>
                <w:sz w:val="24"/>
                <w:szCs w:val="24"/>
                <w:color w:val="auto"/>
              </w:rPr>
            </w:pPr>
          </w:p>
        </w:tc>
        <w:tc>
          <w:tcPr>
            <w:tcW w:w="1180" w:type="dxa"/>
            <w:vAlign w:val="bottom"/>
            <w:tcBorders>
              <w:bottom w:val="single" w:sz="8" w:color="E4E4E4"/>
            </w:tcBorders>
            <w:shd w:val="clear" w:color="auto" w:fill="E4E4E4"/>
          </w:tcPr>
          <w:p>
            <w:pPr>
              <w:spacing w:after="0"/>
              <w:rPr>
                <w:sz w:val="24"/>
                <w:szCs w:val="24"/>
                <w:color w:val="auto"/>
              </w:rPr>
            </w:pPr>
          </w:p>
        </w:tc>
      </w:tr>
      <w:tr>
        <w:trPr>
          <w:trHeight w:val="293"/>
        </w:trPr>
        <w:tc>
          <w:tcPr>
            <w:tcW w:w="8940" w:type="dxa"/>
            <w:vAlign w:val="bottom"/>
            <w:shd w:val="clear" w:color="auto" w:fill="FEFEFE"/>
          </w:tcPr>
          <w:p>
            <w:pPr>
              <w:ind w:left="280"/>
              <w:spacing w:after="0"/>
              <w:rPr>
                <w:sz w:val="20"/>
                <w:szCs w:val="20"/>
                <w:color w:val="auto"/>
              </w:rPr>
            </w:pPr>
            <w:r>
              <w:rPr>
                <w:rFonts w:ascii="Arial" w:cs="Arial" w:eastAsia="Arial" w:hAnsi="Arial"/>
                <w:sz w:val="20"/>
                <w:szCs w:val="20"/>
                <w:color w:val="auto"/>
              </w:rPr>
              <w:t>Canada</w:t>
            </w:r>
          </w:p>
        </w:tc>
        <w:tc>
          <w:tcPr>
            <w:tcW w:w="140" w:type="dxa"/>
            <w:vAlign w:val="bottom"/>
            <w:shd w:val="clear" w:color="auto" w:fill="FEFEFE"/>
          </w:tcPr>
          <w:p>
            <w:pPr>
              <w:spacing w:after="0"/>
              <w:rPr>
                <w:sz w:val="24"/>
                <w:szCs w:val="24"/>
                <w:color w:val="auto"/>
              </w:rPr>
            </w:pPr>
          </w:p>
        </w:tc>
        <w:tc>
          <w:tcPr>
            <w:tcW w:w="1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195</w:t>
            </w:r>
          </w:p>
        </w:tc>
      </w:tr>
      <w:tr>
        <w:trPr>
          <w:trHeight w:val="297"/>
        </w:trPr>
        <w:tc>
          <w:tcPr>
            <w:tcW w:w="8940" w:type="dxa"/>
            <w:vAlign w:val="bottom"/>
            <w:tcBorders>
              <w:bottom w:val="single" w:sz="8" w:color="auto"/>
            </w:tcBorders>
            <w:shd w:val="clear" w:color="auto" w:fill="E4E4E4"/>
          </w:tcPr>
          <w:p>
            <w:pPr>
              <w:ind w:left="420"/>
              <w:spacing w:after="0"/>
              <w:rPr>
                <w:sz w:val="20"/>
                <w:szCs w:val="20"/>
                <w:color w:val="auto"/>
              </w:rPr>
            </w:pPr>
            <w:r>
              <w:rPr>
                <w:rFonts w:ascii="Arial" w:cs="Arial" w:eastAsia="Arial" w:hAnsi="Arial"/>
                <w:sz w:val="20"/>
                <w:szCs w:val="20"/>
                <w:color w:val="auto"/>
              </w:rPr>
              <w:t>ther foreign jurisdictions</w:t>
            </w:r>
          </w:p>
        </w:tc>
        <w:tc>
          <w:tcPr>
            <w:tcW w:w="140" w:type="dxa"/>
            <w:vAlign w:val="bottom"/>
            <w:tcBorders>
              <w:bottom w:val="single" w:sz="8" w:color="auto"/>
            </w:tcBorders>
            <w:shd w:val="clear" w:color="auto" w:fill="E4E4E4"/>
          </w:tcPr>
          <w:p>
            <w:pPr>
              <w:spacing w:after="0"/>
              <w:rPr>
                <w:sz w:val="24"/>
                <w:szCs w:val="24"/>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77</w:t>
            </w:r>
          </w:p>
        </w:tc>
      </w:tr>
      <w:tr>
        <w:trPr>
          <w:trHeight w:val="280"/>
        </w:trPr>
        <w:tc>
          <w:tcPr>
            <w:tcW w:w="8940" w:type="dxa"/>
            <w:vAlign w:val="bottom"/>
            <w:tcBorders>
              <w:bottom w:val="single" w:sz="8" w:color="auto"/>
            </w:tcBorders>
            <w:shd w:val="clear" w:color="auto" w:fill="FEFEFE"/>
          </w:tcPr>
          <w:p>
            <w:pPr>
              <w:ind w:left="420"/>
              <w:spacing w:after="0"/>
              <w:rPr>
                <w:sz w:val="20"/>
                <w:szCs w:val="20"/>
                <w:color w:val="auto"/>
              </w:rPr>
            </w:pPr>
            <w:r>
              <w:rPr>
                <w:rFonts w:ascii="Arial" w:cs="Arial" w:eastAsia="Arial" w:hAnsi="Arial"/>
                <w:sz w:val="20"/>
                <w:szCs w:val="20"/>
                <w:color w:val="auto"/>
              </w:rPr>
              <w:t>otal income ta es paid</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1,471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unrecogni ed tax benefits, excluding interest and penalties,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0"/>
              </w:rPr>
              <w:t>Fiscal Year Ended</w:t>
            </w:r>
          </w:p>
        </w:tc>
        <w:tc>
          <w:tcPr>
            <w:tcW w:w="1140" w:type="dxa"/>
            <w:vAlign w:val="bottom"/>
            <w:tcBorders>
              <w:bottom w:val="single" w:sz="8" w:color="auto"/>
            </w:tcBorders>
          </w:tcPr>
          <w:p>
            <w:pPr>
              <w:spacing w:after="0"/>
              <w:rPr>
                <w:sz w:val="22"/>
                <w:szCs w:val="22"/>
                <w:color w:val="auto"/>
              </w:rPr>
            </w:pPr>
          </w:p>
        </w:tc>
      </w:tr>
      <w:tr>
        <w:trPr>
          <w:trHeight w:val="182"/>
        </w:trPr>
        <w:tc>
          <w:tcPr>
            <w:tcW w:w="6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20"/>
                <w:szCs w:val="20"/>
                <w:color w:val="auto"/>
                <w:w w:val="95"/>
              </w:rPr>
              <w:t>January 31,</w:t>
            </w:r>
          </w:p>
        </w:tc>
        <w:tc>
          <w:tcPr>
            <w:tcW w:w="260" w:type="dxa"/>
            <w:vAlign w:val="bottom"/>
          </w:tcPr>
          <w:p>
            <w:pPr>
              <w:spacing w:after="0"/>
              <w:rPr>
                <w:sz w:val="15"/>
                <w:szCs w:val="15"/>
                <w:color w:val="auto"/>
              </w:rPr>
            </w:pPr>
          </w:p>
        </w:tc>
        <w:tc>
          <w:tcPr>
            <w:tcW w:w="1160" w:type="dxa"/>
            <w:vAlign w:val="bottom"/>
          </w:tcPr>
          <w:p>
            <w:pPr>
              <w:jc w:val="center"/>
              <w:ind w:right="100"/>
              <w:spacing w:after="0" w:line="182" w:lineRule="exact"/>
              <w:rPr>
                <w:sz w:val="20"/>
                <w:szCs w:val="20"/>
                <w:color w:val="auto"/>
              </w:rPr>
            </w:pPr>
            <w:r>
              <w:rPr>
                <w:rFonts w:ascii="Arial" w:cs="Arial" w:eastAsia="Arial" w:hAnsi="Arial"/>
                <w:sz w:val="20"/>
                <w:szCs w:val="20"/>
                <w:color w:val="auto"/>
                <w:w w:val="89"/>
              </w:rPr>
              <w:t>February 1,</w:t>
            </w:r>
          </w:p>
        </w:tc>
        <w:tc>
          <w:tcPr>
            <w:tcW w:w="160" w:type="dxa"/>
            <w:vAlign w:val="bottom"/>
          </w:tcPr>
          <w:p>
            <w:pPr>
              <w:spacing w:after="0"/>
              <w:rPr>
                <w:sz w:val="15"/>
                <w:szCs w:val="15"/>
                <w:color w:val="auto"/>
              </w:rPr>
            </w:pPr>
          </w:p>
        </w:tc>
        <w:tc>
          <w:tcPr>
            <w:tcW w:w="1140" w:type="dxa"/>
            <w:vAlign w:val="bottom"/>
          </w:tcPr>
          <w:p>
            <w:pPr>
              <w:jc w:val="right"/>
              <w:ind w:right="100"/>
              <w:spacing w:after="0" w:line="182" w:lineRule="exact"/>
              <w:rPr>
                <w:sz w:val="20"/>
                <w:szCs w:val="20"/>
                <w:color w:val="auto"/>
              </w:rPr>
            </w:pPr>
            <w:r>
              <w:rPr>
                <w:rFonts w:ascii="Arial" w:cs="Arial" w:eastAsia="Arial" w:hAnsi="Arial"/>
                <w:sz w:val="20"/>
                <w:szCs w:val="20"/>
                <w:color w:val="auto"/>
                <w:w w:val="89"/>
              </w:rPr>
              <w:t>February 3,</w:t>
            </w:r>
          </w:p>
        </w:tc>
      </w:tr>
      <w:tr>
        <w:trPr>
          <w:trHeight w:val="26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20"/>
                <w:szCs w:val="20"/>
                <w:color w:val="auto"/>
                <w:w w:val="89"/>
              </w:rPr>
              <w:t>2025</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2024</w:t>
            </w:r>
          </w:p>
        </w:tc>
      </w:tr>
      <w:tr>
        <w:trPr>
          <w:trHeight w:val="290"/>
        </w:trPr>
        <w:tc>
          <w:tcPr>
            <w:tcW w:w="62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alance, beginning of year</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261</w:t>
            </w:r>
          </w:p>
        </w:tc>
        <w:tc>
          <w:tcPr>
            <w:tcW w:w="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226</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266</w:t>
            </w:r>
          </w:p>
        </w:tc>
      </w:tr>
      <w:tr>
        <w:trPr>
          <w:trHeight w:val="294"/>
        </w:trPr>
        <w:tc>
          <w:tcPr>
            <w:tcW w:w="6280" w:type="dxa"/>
            <w:vAlign w:val="bottom"/>
            <w:shd w:val="clear" w:color="auto" w:fill="FEFEFE"/>
          </w:tcPr>
          <w:p>
            <w:pPr>
              <w:ind w:left="40"/>
              <w:spacing w:after="0"/>
              <w:rPr>
                <w:sz w:val="20"/>
                <w:szCs w:val="20"/>
                <w:color w:val="auto"/>
              </w:rPr>
            </w:pPr>
            <w:r>
              <w:rPr>
                <w:rFonts w:ascii="Arial" w:cs="Arial" w:eastAsia="Arial" w:hAnsi="Arial"/>
                <w:sz w:val="20"/>
                <w:szCs w:val="20"/>
                <w:color w:val="auto"/>
              </w:rPr>
              <w:t>Additions for uncertain tax positions taken in current year</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15</w:t>
            </w:r>
          </w:p>
        </w:tc>
        <w:tc>
          <w:tcPr>
            <w:tcW w:w="26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w:t>
            </w: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6</w:t>
            </w:r>
          </w:p>
        </w:tc>
      </w:tr>
      <w:tr>
        <w:trPr>
          <w:trHeight w:val="306"/>
        </w:trPr>
        <w:tc>
          <w:tcPr>
            <w:tcW w:w="6280" w:type="dxa"/>
            <w:vAlign w:val="bottom"/>
            <w:shd w:val="clear" w:color="auto" w:fill="E4E4E4"/>
          </w:tcPr>
          <w:p>
            <w:pPr>
              <w:ind w:left="40"/>
              <w:spacing w:after="0"/>
              <w:rPr>
                <w:sz w:val="20"/>
                <w:szCs w:val="20"/>
                <w:color w:val="auto"/>
              </w:rPr>
            </w:pPr>
            <w:r>
              <w:rPr>
                <w:rFonts w:ascii="Arial" w:cs="Arial" w:eastAsia="Arial" w:hAnsi="Arial"/>
                <w:sz w:val="20"/>
                <w:szCs w:val="20"/>
                <w:color w:val="auto"/>
              </w:rPr>
              <w:t>Additions for uncertain tax positions taken in prior years</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w:t>
            </w:r>
          </w:p>
        </w:tc>
        <w:tc>
          <w:tcPr>
            <w:tcW w:w="26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61</w:t>
            </w: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r>
      <w:tr>
        <w:trPr>
          <w:trHeight w:val="293"/>
        </w:trPr>
        <w:tc>
          <w:tcPr>
            <w:tcW w:w="6280" w:type="dxa"/>
            <w:vAlign w:val="bottom"/>
            <w:shd w:val="clear" w:color="auto" w:fill="FEFEFE"/>
          </w:tcPr>
          <w:p>
            <w:pPr>
              <w:ind w:left="180"/>
              <w:spacing w:after="0"/>
              <w:rPr>
                <w:sz w:val="20"/>
                <w:szCs w:val="20"/>
                <w:color w:val="auto"/>
              </w:rPr>
            </w:pPr>
            <w:r>
              <w:rPr>
                <w:rFonts w:ascii="Arial" w:cs="Arial" w:eastAsia="Arial" w:hAnsi="Arial"/>
                <w:sz w:val="20"/>
                <w:szCs w:val="20"/>
                <w:color w:val="auto"/>
              </w:rPr>
              <w:t>eductions for uncertain tax positions taken in prior years</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26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w:t>
            </w:r>
          </w:p>
        </w:tc>
        <w:tc>
          <w:tcPr>
            <w:tcW w:w="16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r>
      <w:tr>
        <w:trPr>
          <w:trHeight w:val="307"/>
        </w:trPr>
        <w:tc>
          <w:tcPr>
            <w:tcW w:w="6280" w:type="dxa"/>
            <w:vAlign w:val="bottom"/>
            <w:shd w:val="clear" w:color="auto" w:fill="E4E4E4"/>
          </w:tcPr>
          <w:p>
            <w:pPr>
              <w:ind w:left="180"/>
              <w:spacing w:after="0"/>
              <w:rPr>
                <w:sz w:val="20"/>
                <w:szCs w:val="20"/>
                <w:color w:val="auto"/>
              </w:rPr>
            </w:pPr>
            <w:r>
              <w:rPr>
                <w:rFonts w:ascii="Arial" w:cs="Arial" w:eastAsia="Arial" w:hAnsi="Arial"/>
                <w:sz w:val="20"/>
                <w:szCs w:val="20"/>
                <w:color w:val="auto"/>
              </w:rPr>
              <w:t>eductions resulting from lapse of statute of limitations</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w:t>
            </w:r>
          </w:p>
        </w:tc>
        <w:tc>
          <w:tcPr>
            <w:tcW w:w="16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(1 )</w:t>
            </w:r>
          </w:p>
        </w:tc>
      </w:tr>
      <w:tr>
        <w:trPr>
          <w:trHeight w:val="290"/>
        </w:trPr>
        <w:tc>
          <w:tcPr>
            <w:tcW w:w="628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Settlements with tax authorities</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26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(8)</w:t>
            </w:r>
          </w:p>
        </w:tc>
        <w:tc>
          <w:tcPr>
            <w:tcW w:w="16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(27)</w:t>
            </w:r>
          </w:p>
        </w:tc>
      </w:tr>
      <w:tr>
        <w:trPr>
          <w:trHeight w:val="280"/>
        </w:trPr>
        <w:tc>
          <w:tcPr>
            <w:tcW w:w="628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20"/>
                <w:szCs w:val="20"/>
                <w:color w:val="auto"/>
              </w:rPr>
              <w:t>alance, end of year</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286</w:t>
            </w: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261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226</w:t>
            </w:r>
          </w:p>
        </w:tc>
      </w:tr>
    </w:tbl>
    <w:p>
      <w:pPr>
        <w:spacing w:after="0" w:line="147" w:lineRule="exact"/>
        <w:rPr>
          <w:sz w:val="20"/>
          <w:szCs w:val="20"/>
          <w:color w:val="auto"/>
        </w:rPr>
      </w:pPr>
    </w:p>
    <w:p>
      <w:pPr>
        <w:ind w:right="600"/>
        <w:spacing w:after="0" w:line="283" w:lineRule="auto"/>
        <w:rPr>
          <w:sz w:val="20"/>
          <w:szCs w:val="20"/>
          <w:color w:val="auto"/>
        </w:rPr>
      </w:pPr>
      <w:r>
        <w:rPr>
          <w:rFonts w:ascii="Arial" w:cs="Arial" w:eastAsia="Arial" w:hAnsi="Arial"/>
          <w:sz w:val="20"/>
          <w:szCs w:val="20"/>
          <w:color w:val="auto"/>
        </w:rPr>
        <w:t>The amount of unrecogni ed tax benefits that, if recogni ed, would impact TJX’s effective tax rates is $214 million as of January 31, 2026, $212 million as of February 1, 2025 and $221 million as of February 3, 2024.</w:t>
      </w:r>
    </w:p>
    <w:p>
      <w:pPr>
        <w:spacing w:after="0" w:line="58" w:lineRule="exact"/>
        <w:rPr>
          <w:sz w:val="20"/>
          <w:szCs w:val="20"/>
          <w:color w:val="auto"/>
        </w:rPr>
      </w:pPr>
    </w:p>
    <w:p>
      <w:pPr>
        <w:ind w:right="600"/>
        <w:spacing w:after="0" w:line="261" w:lineRule="auto"/>
        <w:rPr>
          <w:sz w:val="20"/>
          <w:szCs w:val="20"/>
          <w:color w:val="auto"/>
        </w:rPr>
      </w:pPr>
      <w:r>
        <w:rPr>
          <w:rFonts w:ascii="Arial" w:cs="Arial" w:eastAsia="Arial" w:hAnsi="Arial"/>
          <w:sz w:val="20"/>
          <w:szCs w:val="20"/>
          <w:color w:val="auto"/>
        </w:rPr>
        <w:t>TJX is subject to .S. federal income tax as well as income tax in multiple state, local and foreign jurisdictions. For .S. federal income tax purposes, fiscal years through 2010 are no longer subject to examination. The Company is under examination in various jurisdictions, including the .S. (federal, state and local) as well as foreign, and believes it has ade uately provided for all tax positions in such jurisdictions.</w:t>
      </w:r>
    </w:p>
    <w:p>
      <w:pPr>
        <w:spacing w:after="0" w:line="80" w:lineRule="exact"/>
        <w:rPr>
          <w:sz w:val="20"/>
          <w:szCs w:val="20"/>
          <w:color w:val="auto"/>
        </w:rPr>
      </w:pPr>
    </w:p>
    <w:p>
      <w:pPr>
        <w:ind w:right="200"/>
        <w:spacing w:after="0" w:line="299" w:lineRule="auto"/>
        <w:rPr>
          <w:sz w:val="20"/>
          <w:szCs w:val="20"/>
          <w:color w:val="auto"/>
        </w:rPr>
      </w:pPr>
      <w:r>
        <w:rPr>
          <w:rFonts w:ascii="Arial" w:cs="Arial" w:eastAsia="Arial" w:hAnsi="Arial"/>
          <w:sz w:val="18"/>
          <w:szCs w:val="18"/>
          <w:color w:val="auto"/>
        </w:rPr>
        <w:t>TJX’s accounting policy is to classify interest and penalties related to income taxes as part of income tax expense. The Company accrued interest and penalties of $ million for the fiscal year ended January 31, 2026, $7 million for the fiscal year ended February 1, 2025 and $10 million for the fiscal year ended February 3, 2024. The total accrued amount of interest and penalties was $22 million as of January 31, 2026, $28 million as of February 1, 2025 and $32 million as of February 3, 2024.</w:t>
      </w:r>
    </w:p>
    <w:p>
      <w:pPr>
        <w:sectPr>
          <w:pgSz w:w="12240" w:h="15841" w:orient="portrait"/>
          <w:cols w:equalWidth="0" w:num="1">
            <w:col w:w="10260"/>
          </w:cols>
          <w:pgMar w:left="100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F-35</w:t>
      </w:r>
    </w:p>
    <w:p>
      <w:pPr>
        <w:sectPr>
          <w:pgSz w:w="12240" w:h="15841" w:orient="portrait"/>
          <w:cols w:equalWidth="0" w:num="1">
            <w:col w:w="10260"/>
          </w:cols>
          <w:pgMar w:left="1000" w:top="792" w:right="981" w:bottom="0" w:gutter="0" w:footer="0" w:header="0"/>
          <w:type w:val="continuous"/>
        </w:sectPr>
      </w:pPr>
    </w:p>
    <w:bookmarkStart w:id="91" w:name="page92"/>
    <w:bookmarkEnd w:id="91"/>
    <w:p>
      <w:pPr>
        <w:spacing w:after="0"/>
        <w:tabs>
          <w:tab w:leader="none" w:pos="660" w:val="left"/>
          <w:tab w:leader="none" w:pos="940" w:val="left"/>
        </w:tabs>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Note</w:t>
        <w:tab/>
        <w:t>.</w:t>
      </w:r>
      <w:r>
        <w:rPr>
          <w:sz w:val="20"/>
          <w:szCs w:val="20"/>
          <w:color w:val="auto"/>
        </w:rPr>
        <w:tab/>
      </w:r>
      <w:r>
        <w:rPr>
          <w:rFonts w:ascii="Arial" w:cs="Arial" w:eastAsia="Arial" w:hAnsi="Arial"/>
          <w:sz w:val="19"/>
          <w:szCs w:val="19"/>
          <w:color w:val="auto"/>
        </w:rPr>
        <w:t>eases</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TJX is committed under long-term leases related to its continuing operations for the rental of real estate and certain service contracts containing embedded leases, all of which are operating leases. eal estate leases represent virtually all of the Company’s store locations as well as some of its distribution and fulfillment centers and office space. ost of TJX’s leases in the .S. and Canada are store operating leases, generally for an initial term of ten years with options to extend the lease term for one or more five year periods. Leases in Europe generally have an initial term of ten to fifteen years and leases in Australia generally have an initial term of ten years, some of which have options to extend. Some of the Company s leases have options to terminate prior to the lease expiration date. The exercise of both lease renewal and termination options is at the Company’s sole discretion, as opposed to the landlord’s discretion, and is not reasonably certain at lease commencement. The Company has deemed that the expense of store renovations makes the renewal of the next lease option reasonably certain to be exercised after these renovations occur.</w:t>
      </w:r>
    </w:p>
    <w:p>
      <w:pPr>
        <w:spacing w:after="0" w:line="80" w:lineRule="exact"/>
        <w:rPr>
          <w:sz w:val="20"/>
          <w:szCs w:val="20"/>
          <w:color w:val="auto"/>
        </w:rPr>
      </w:pPr>
    </w:p>
    <w:p>
      <w:pPr>
        <w:ind w:right="180" w:firstLine="189"/>
        <w:spacing w:after="0" w:line="294" w:lineRule="auto"/>
        <w:rPr>
          <w:sz w:val="20"/>
          <w:szCs w:val="20"/>
          <w:color w:val="auto"/>
        </w:rPr>
      </w:pPr>
      <w:r>
        <w:rPr>
          <w:rFonts w:ascii="Arial" w:cs="Arial" w:eastAsia="Arial" w:hAnsi="Arial"/>
          <w:sz w:val="17"/>
          <w:szCs w:val="17"/>
          <w:color w:val="auto"/>
        </w:rPr>
        <w:t>hile the overwhelming majority of leases have fixed payment schedules, some leases have variable lease payments based on market indices adjusted periodically for inflation, or include rental payments based on a percentage of retail sales over contractual levels. In addition, for real estate leases, TJX is generally re uired to pay insurance, real estate taxes and certain other expenses including common area maintenance based on a proportionate share of premises as compared to the shopping center, and some of these costs are based on a market index, primarily in Canada. For leases with these payments based on a market index, the initial lease payment amount is used in the calculation of the operating lease liability and corresponding</w:t>
      </w:r>
    </w:p>
    <w:p>
      <w:pPr>
        <w:spacing w:after="0" w:line="3" w:lineRule="exact"/>
        <w:rPr>
          <w:sz w:val="20"/>
          <w:szCs w:val="20"/>
          <w:color w:val="auto"/>
        </w:rPr>
      </w:pPr>
    </w:p>
    <w:p>
      <w:pPr>
        <w:jc w:val="both"/>
        <w:ind w:right="260"/>
        <w:spacing w:after="0" w:line="278" w:lineRule="auto"/>
        <w:rPr>
          <w:sz w:val="20"/>
          <w:szCs w:val="20"/>
          <w:color w:val="auto"/>
        </w:rPr>
      </w:pPr>
      <w:r>
        <w:rPr>
          <w:rFonts w:ascii="Arial" w:cs="Arial" w:eastAsia="Arial" w:hAnsi="Arial"/>
          <w:sz w:val="18"/>
          <w:szCs w:val="18"/>
          <w:color w:val="auto"/>
        </w:rPr>
        <w:t>operating lease assets included on the Consolidated Balance Sheets. Future payment changes to these market index rate leases are not reflected in the operating lease liability and are instead included in variable lease cost. ariable lease cost also includes variable operating expenses for third party service centers and dedicated transportation contracts that are deemed</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20"/>
          <w:szCs w:val="20"/>
          <w:color w:val="auto"/>
        </w:rPr>
        <w:t>embedded leases. The operating lease assets also includes any lease payments made in advance of the assets’ use and is reduced by lease incentives received. Lease expense for lease payments is recogni ed on a straight-line basis over the lease term.</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20" w:type="dxa"/>
            <w:vAlign w:val="bottom"/>
          </w:tcPr>
          <w:p>
            <w:pPr>
              <w:spacing w:after="0"/>
              <w:rPr>
                <w:sz w:val="20"/>
                <w:szCs w:val="20"/>
                <w:color w:val="auto"/>
              </w:rPr>
            </w:pPr>
            <w:r>
              <w:rPr>
                <w:rFonts w:ascii="Arial" w:cs="Arial" w:eastAsia="Arial" w:hAnsi="Arial"/>
                <w:sz w:val="20"/>
                <w:szCs w:val="20"/>
                <w:color w:val="auto"/>
              </w:rPr>
              <w:t>Supplemental balance sheet information related to leases is as follows:</w:t>
            </w: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31"/>
        </w:trPr>
        <w:tc>
          <w:tcPr>
            <w:tcW w:w="7620" w:type="dxa"/>
            <w:vAlign w:val="bottom"/>
          </w:tcPr>
          <w:p>
            <w:pPr>
              <w:spacing w:after="0"/>
              <w:rPr>
                <w:sz w:val="24"/>
                <w:szCs w:val="24"/>
                <w:color w:val="auto"/>
              </w:rPr>
            </w:pPr>
          </w:p>
        </w:tc>
        <w:tc>
          <w:tcPr>
            <w:tcW w:w="26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20"/>
                <w:szCs w:val="20"/>
                <w:color w:val="auto"/>
              </w:rPr>
              <w:t>Fiscal Year Ended</w:t>
            </w:r>
          </w:p>
        </w:tc>
      </w:tr>
      <w:tr>
        <w:trPr>
          <w:trHeight w:val="212"/>
        </w:trPr>
        <w:tc>
          <w:tcPr>
            <w:tcW w:w="7620" w:type="dxa"/>
            <w:vAlign w:val="bottom"/>
          </w:tcPr>
          <w:p>
            <w:pPr>
              <w:spacing w:after="0"/>
              <w:rPr>
                <w:sz w:val="18"/>
                <w:szCs w:val="18"/>
                <w:color w:val="auto"/>
              </w:rPr>
            </w:pPr>
          </w:p>
        </w:tc>
        <w:tc>
          <w:tcPr>
            <w:tcW w:w="1380" w:type="dxa"/>
            <w:vAlign w:val="bottom"/>
          </w:tcPr>
          <w:p>
            <w:pPr>
              <w:jc w:val="center"/>
              <w:spacing w:after="0" w:line="212" w:lineRule="exact"/>
              <w:rPr>
                <w:sz w:val="20"/>
                <w:szCs w:val="20"/>
                <w:color w:val="auto"/>
              </w:rPr>
            </w:pPr>
            <w:r>
              <w:rPr>
                <w:rFonts w:ascii="Arial" w:cs="Arial" w:eastAsia="Arial" w:hAnsi="Arial"/>
                <w:sz w:val="20"/>
                <w:szCs w:val="20"/>
                <w:color w:val="auto"/>
                <w:w w:val="97"/>
              </w:rPr>
              <w:t>January 31,</w:t>
            </w:r>
          </w:p>
        </w:tc>
        <w:tc>
          <w:tcPr>
            <w:tcW w:w="1260" w:type="dxa"/>
            <w:vAlign w:val="bottom"/>
          </w:tcPr>
          <w:p>
            <w:pPr>
              <w:jc w:val="center"/>
              <w:spacing w:after="0" w:line="212" w:lineRule="exact"/>
              <w:rPr>
                <w:sz w:val="20"/>
                <w:szCs w:val="20"/>
                <w:color w:val="auto"/>
              </w:rPr>
            </w:pPr>
            <w:r>
              <w:rPr>
                <w:rFonts w:ascii="Arial" w:cs="Arial" w:eastAsia="Arial" w:hAnsi="Arial"/>
                <w:sz w:val="20"/>
                <w:szCs w:val="20"/>
                <w:color w:val="auto"/>
                <w:w w:val="91"/>
              </w:rPr>
              <w:t>February 1,</w:t>
            </w:r>
          </w:p>
        </w:tc>
      </w:tr>
      <w:tr>
        <w:trPr>
          <w:trHeight w:val="263"/>
        </w:trPr>
        <w:tc>
          <w:tcPr>
            <w:tcW w:w="7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color w:val="auto"/>
              </w:rPr>
              <w:t>2026</w:t>
            </w:r>
          </w:p>
        </w:tc>
        <w:tc>
          <w:tcPr>
            <w:tcW w:w="126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7620" w:type="dxa"/>
            <w:vAlign w:val="bottom"/>
            <w:shd w:val="clear" w:color="auto" w:fill="E4E4E4"/>
          </w:tcPr>
          <w:p>
            <w:pPr>
              <w:ind w:left="240"/>
              <w:spacing w:after="0"/>
              <w:rPr>
                <w:sz w:val="20"/>
                <w:szCs w:val="20"/>
                <w:color w:val="auto"/>
              </w:rPr>
            </w:pPr>
            <w:r>
              <w:rPr>
                <w:rFonts w:ascii="Arial" w:cs="Arial" w:eastAsia="Arial" w:hAnsi="Arial"/>
                <w:sz w:val="20"/>
                <w:szCs w:val="20"/>
                <w:color w:val="auto"/>
              </w:rPr>
              <w:t>eighted-average remaining lease term</w:t>
            </w:r>
          </w:p>
        </w:tc>
        <w:tc>
          <w:tcPr>
            <w:tcW w:w="1380" w:type="dxa"/>
            <w:vAlign w:val="bottom"/>
            <w:shd w:val="clear" w:color="auto" w:fill="E4E4E4"/>
          </w:tcPr>
          <w:p>
            <w:pPr>
              <w:jc w:val="center"/>
              <w:ind w:left="280"/>
              <w:spacing w:after="0"/>
              <w:rPr>
                <w:sz w:val="20"/>
                <w:szCs w:val="20"/>
                <w:color w:val="auto"/>
              </w:rPr>
            </w:pPr>
            <w:r>
              <w:rPr>
                <w:rFonts w:ascii="Arial" w:cs="Arial" w:eastAsia="Arial" w:hAnsi="Arial"/>
                <w:sz w:val="20"/>
                <w:szCs w:val="20"/>
                <w:color w:val="auto"/>
                <w:w w:val="92"/>
              </w:rPr>
              <w:t>6.6 years</w:t>
            </w:r>
          </w:p>
        </w:tc>
        <w:tc>
          <w:tcPr>
            <w:tcW w:w="12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6.5 years</w:t>
            </w:r>
          </w:p>
        </w:tc>
      </w:tr>
      <w:tr>
        <w:trPr>
          <w:trHeight w:val="290"/>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eighted-average discount rate</w:t>
            </w:r>
          </w:p>
        </w:tc>
        <w:tc>
          <w:tcPr>
            <w:tcW w:w="1380" w:type="dxa"/>
            <w:vAlign w:val="bottom"/>
            <w:tcBorders>
              <w:bottom w:val="single" w:sz="8" w:color="auto"/>
            </w:tcBorders>
            <w:shd w:val="clear" w:color="auto" w:fill="FEFEFE"/>
          </w:tcPr>
          <w:p>
            <w:pPr>
              <w:jc w:val="right"/>
              <w:ind w:right="260"/>
              <w:spacing w:after="0"/>
              <w:rPr>
                <w:sz w:val="20"/>
                <w:szCs w:val="20"/>
                <w:color w:val="auto"/>
              </w:rPr>
            </w:pPr>
            <w:r>
              <w:rPr>
                <w:rFonts w:ascii="Arial" w:cs="Arial" w:eastAsia="Arial" w:hAnsi="Arial"/>
                <w:sz w:val="20"/>
                <w:szCs w:val="20"/>
                <w:color w:val="auto"/>
              </w:rPr>
              <w:t>3.9</w:t>
            </w:r>
          </w:p>
        </w:tc>
        <w:tc>
          <w:tcPr>
            <w:tcW w:w="1260" w:type="dxa"/>
            <w:vAlign w:val="bottom"/>
            <w:tcBorders>
              <w:bottom w:val="single" w:sz="8" w:color="auto"/>
            </w:tcBorders>
            <w:shd w:val="clear" w:color="auto" w:fill="FEFEFE"/>
          </w:tcPr>
          <w:p>
            <w:pPr>
              <w:jc w:val="right"/>
              <w:ind w:right="160"/>
              <w:spacing w:after="0"/>
              <w:rPr>
                <w:sz w:val="20"/>
                <w:szCs w:val="20"/>
                <w:color w:val="auto"/>
              </w:rPr>
            </w:pPr>
            <w:r>
              <w:rPr>
                <w:rFonts w:ascii="Arial" w:cs="Arial" w:eastAsia="Arial" w:hAnsi="Arial"/>
                <w:sz w:val="20"/>
                <w:szCs w:val="20"/>
                <w:color w:val="auto"/>
              </w:rPr>
              <w:t>3.6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the Company’s components of net lease cost for the fiscal years ended:</w:t>
      </w:r>
    </w:p>
    <w:p>
      <w:pPr>
        <w:spacing w:after="0" w:line="98"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3320" w:type="dxa"/>
            <w:vAlign w:val="bottom"/>
            <w:vMerge w:val="restart"/>
          </w:tcPr>
          <w:p>
            <w:pPr>
              <w:jc w:val="center"/>
              <w:spacing w:after="0"/>
              <w:rPr>
                <w:sz w:val="20"/>
                <w:szCs w:val="20"/>
                <w:color w:val="auto"/>
              </w:rPr>
            </w:pPr>
            <w:r>
              <w:rPr>
                <w:rFonts w:ascii="Arial" w:cs="Arial" w:eastAsia="Arial" w:hAnsi="Arial"/>
                <w:sz w:val="20"/>
                <w:szCs w:val="20"/>
                <w:color w:val="auto"/>
                <w:w w:val="93"/>
              </w:rPr>
              <w:t>Classification</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line="215" w:lineRule="exact"/>
              <w:rPr>
                <w:sz w:val="20"/>
                <w:szCs w:val="20"/>
                <w:color w:val="auto"/>
              </w:rPr>
            </w:pPr>
            <w:r>
              <w:rPr>
                <w:rFonts w:ascii="Arial" w:cs="Arial" w:eastAsia="Arial" w:hAnsi="Arial"/>
                <w:sz w:val="20"/>
                <w:szCs w:val="20"/>
                <w:color w:val="auto"/>
                <w:w w:val="95"/>
              </w:rPr>
              <w:t>January 31,</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0"/>
              <w:spacing w:after="0" w:line="215" w:lineRule="exact"/>
              <w:rPr>
                <w:sz w:val="20"/>
                <w:szCs w:val="20"/>
                <w:color w:val="auto"/>
              </w:rPr>
            </w:pPr>
            <w:r>
              <w:rPr>
                <w:rFonts w:ascii="Arial" w:cs="Arial" w:eastAsia="Arial" w:hAnsi="Arial"/>
                <w:sz w:val="20"/>
                <w:szCs w:val="20"/>
                <w:color w:val="auto"/>
                <w:w w:val="91"/>
              </w:rPr>
              <w:t>February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80"/>
              <w:spacing w:after="0" w:line="215" w:lineRule="exact"/>
              <w:rPr>
                <w:sz w:val="20"/>
                <w:szCs w:val="20"/>
                <w:color w:val="auto"/>
              </w:rPr>
            </w:pPr>
            <w:r>
              <w:rPr>
                <w:rFonts w:ascii="Arial" w:cs="Arial" w:eastAsia="Arial" w:hAnsi="Arial"/>
                <w:sz w:val="20"/>
                <w:szCs w:val="20"/>
                <w:color w:val="auto"/>
                <w:w w:val="91"/>
              </w:rPr>
              <w:t>February 3,</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33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2024</w:t>
            </w:r>
          </w:p>
        </w:tc>
        <w:tc>
          <w:tcPr>
            <w:tcW w:w="0" w:type="dxa"/>
            <w:vAlign w:val="bottom"/>
          </w:tcPr>
          <w:p>
            <w:pPr>
              <w:spacing w:after="0"/>
              <w:rPr>
                <w:sz w:val="1"/>
                <w:szCs w:val="1"/>
                <w:color w:val="auto"/>
              </w:rPr>
            </w:pPr>
          </w:p>
        </w:tc>
      </w:tr>
      <w:tr>
        <w:trPr>
          <w:trHeight w:val="268"/>
        </w:trPr>
        <w:tc>
          <w:tcPr>
            <w:tcW w:w="29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center"/>
              <w:ind w:right="40"/>
              <w:spacing w:after="0"/>
              <w:rPr>
                <w:sz w:val="20"/>
                <w:szCs w:val="20"/>
                <w:color w:val="auto"/>
              </w:rPr>
            </w:pPr>
            <w:r>
              <w:rPr>
                <w:rFonts w:ascii="Arial" w:cs="Arial" w:eastAsia="Arial" w:hAnsi="Arial"/>
                <w:sz w:val="20"/>
                <w:szCs w:val="20"/>
                <w:color w:val="auto"/>
                <w:w w:val="91"/>
              </w:rPr>
              <w:t>(53 weeks)</w:t>
            </w:r>
          </w:p>
        </w:tc>
        <w:tc>
          <w:tcPr>
            <w:tcW w:w="0" w:type="dxa"/>
            <w:vAlign w:val="bottom"/>
          </w:tcPr>
          <w:p>
            <w:pPr>
              <w:spacing w:after="0"/>
              <w:rPr>
                <w:sz w:val="1"/>
                <w:szCs w:val="1"/>
                <w:color w:val="auto"/>
              </w:rPr>
            </w:pPr>
          </w:p>
        </w:tc>
      </w:tr>
      <w:tr>
        <w:trPr>
          <w:trHeight w:val="220"/>
        </w:trPr>
        <w:tc>
          <w:tcPr>
            <w:tcW w:w="2980" w:type="dxa"/>
            <w:vAlign w:val="bottom"/>
            <w:shd w:val="clear" w:color="auto" w:fill="E4E4E4"/>
          </w:tcPr>
          <w:p>
            <w:pPr>
              <w:ind w:left="180"/>
              <w:spacing w:after="0" w:line="220" w:lineRule="exact"/>
              <w:rPr>
                <w:sz w:val="20"/>
                <w:szCs w:val="20"/>
                <w:color w:val="auto"/>
              </w:rPr>
            </w:pPr>
            <w:r>
              <w:rPr>
                <w:rFonts w:ascii="Arial" w:cs="Arial" w:eastAsia="Arial" w:hAnsi="Arial"/>
                <w:sz w:val="20"/>
                <w:szCs w:val="20"/>
                <w:color w:val="auto"/>
              </w:rPr>
              <w:t>perating lease cost</w:t>
            </w:r>
          </w:p>
        </w:tc>
        <w:tc>
          <w:tcPr>
            <w:tcW w:w="3320" w:type="dxa"/>
            <w:vAlign w:val="bottom"/>
            <w:shd w:val="clear" w:color="auto" w:fill="E4E4E4"/>
          </w:tcPr>
          <w:p>
            <w:pPr>
              <w:jc w:val="center"/>
              <w:spacing w:after="0" w:line="220" w:lineRule="exact"/>
              <w:rPr>
                <w:sz w:val="20"/>
                <w:szCs w:val="20"/>
                <w:color w:val="auto"/>
              </w:rPr>
            </w:pPr>
            <w:r>
              <w:rPr>
                <w:rFonts w:ascii="Arial" w:cs="Arial" w:eastAsia="Arial" w:hAnsi="Arial"/>
                <w:sz w:val="20"/>
                <w:szCs w:val="20"/>
                <w:color w:val="auto"/>
                <w:w w:val="91"/>
              </w:rPr>
              <w:t>Cost of sales, including buying and</w:t>
            </w:r>
          </w:p>
        </w:tc>
        <w:tc>
          <w:tcPr>
            <w:tcW w:w="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2,196</w:t>
            </w:r>
          </w:p>
        </w:tc>
        <w:tc>
          <w:tcPr>
            <w:tcW w:w="1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2,101</w:t>
            </w:r>
          </w:p>
        </w:tc>
        <w:tc>
          <w:tcPr>
            <w:tcW w:w="18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81"/>
        </w:trPr>
        <w:tc>
          <w:tcPr>
            <w:tcW w:w="2980" w:type="dxa"/>
            <w:vAlign w:val="bottom"/>
            <w:shd w:val="clear" w:color="auto" w:fill="E4E4E4"/>
          </w:tcPr>
          <w:p>
            <w:pPr>
              <w:spacing w:after="0"/>
              <w:rPr>
                <w:sz w:val="24"/>
                <w:szCs w:val="24"/>
                <w:color w:val="auto"/>
              </w:rPr>
            </w:pPr>
          </w:p>
        </w:tc>
        <w:tc>
          <w:tcPr>
            <w:tcW w:w="3320" w:type="dxa"/>
            <w:vAlign w:val="bottom"/>
            <w:shd w:val="clear" w:color="auto" w:fill="E4E4E4"/>
          </w:tcPr>
          <w:p>
            <w:pPr>
              <w:jc w:val="center"/>
              <w:spacing w:after="0"/>
              <w:rPr>
                <w:sz w:val="20"/>
                <w:szCs w:val="20"/>
                <w:color w:val="auto"/>
              </w:rPr>
            </w:pPr>
            <w:r>
              <w:rPr>
                <w:rFonts w:ascii="Arial" w:cs="Arial" w:eastAsia="Arial" w:hAnsi="Arial"/>
                <w:sz w:val="20"/>
                <w:szCs w:val="20"/>
                <w:color w:val="auto"/>
                <w:w w:val="87"/>
              </w:rPr>
              <w:t>occupancy costs</w:t>
            </w:r>
          </w:p>
        </w:tc>
        <w:tc>
          <w:tcPr>
            <w:tcW w:w="140" w:type="dxa"/>
            <w:vAlign w:val="bottom"/>
            <w:vMerge w:val="continue"/>
            <w:shd w:val="clear" w:color="auto" w:fill="E4E4E4"/>
          </w:tcPr>
          <w:p>
            <w:pPr>
              <w:spacing w:after="0"/>
              <w:rPr>
                <w:sz w:val="24"/>
                <w:szCs w:val="24"/>
                <w:color w:val="auto"/>
              </w:rPr>
            </w:pPr>
          </w:p>
        </w:tc>
        <w:tc>
          <w:tcPr>
            <w:tcW w:w="1160" w:type="dxa"/>
            <w:vAlign w:val="bottom"/>
            <w:vMerge w:val="continue"/>
            <w:shd w:val="clear" w:color="auto" w:fill="E4E4E4"/>
          </w:tcPr>
          <w:p>
            <w:pPr>
              <w:spacing w:after="0"/>
              <w:rPr>
                <w:sz w:val="24"/>
                <w:szCs w:val="24"/>
                <w:color w:val="auto"/>
              </w:rPr>
            </w:pPr>
          </w:p>
        </w:tc>
        <w:tc>
          <w:tcPr>
            <w:tcW w:w="180" w:type="dxa"/>
            <w:vAlign w:val="bottom"/>
            <w:vMerge w:val="continue"/>
            <w:shd w:val="clear" w:color="auto" w:fill="E4E4E4"/>
          </w:tcPr>
          <w:p>
            <w:pPr>
              <w:spacing w:after="0"/>
              <w:rPr>
                <w:sz w:val="24"/>
                <w:szCs w:val="24"/>
                <w:color w:val="auto"/>
              </w:rPr>
            </w:pPr>
          </w:p>
        </w:tc>
        <w:tc>
          <w:tcPr>
            <w:tcW w:w="1140" w:type="dxa"/>
            <w:vAlign w:val="bottom"/>
            <w:vMerge w:val="continue"/>
            <w:shd w:val="clear" w:color="auto" w:fill="E4E4E4"/>
          </w:tcPr>
          <w:p>
            <w:pPr>
              <w:spacing w:after="0"/>
              <w:rPr>
                <w:sz w:val="24"/>
                <w:szCs w:val="24"/>
                <w:color w:val="auto"/>
              </w:rPr>
            </w:pPr>
          </w:p>
        </w:tc>
        <w:tc>
          <w:tcPr>
            <w:tcW w:w="180" w:type="dxa"/>
            <w:vAlign w:val="bottom"/>
            <w:vMerge w:val="continue"/>
            <w:shd w:val="clear" w:color="auto" w:fill="E4E4E4"/>
          </w:tcPr>
          <w:p>
            <w:pPr>
              <w:spacing w:after="0"/>
              <w:rPr>
                <w:sz w:val="24"/>
                <w:szCs w:val="24"/>
                <w:color w:val="auto"/>
              </w:rPr>
            </w:pPr>
          </w:p>
        </w:tc>
        <w:tc>
          <w:tcPr>
            <w:tcW w:w="1160" w:type="dxa"/>
            <w:vAlign w:val="bottom"/>
            <w:vMerge w:val="continue"/>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FEFEFE"/>
          </w:tcPr>
          <w:p>
            <w:pPr>
              <w:ind w:left="180"/>
              <w:spacing w:after="0" w:line="213" w:lineRule="exact"/>
              <w:rPr>
                <w:sz w:val="20"/>
                <w:szCs w:val="20"/>
                <w:color w:val="auto"/>
              </w:rPr>
            </w:pPr>
            <w:r>
              <w:rPr>
                <w:rFonts w:ascii="Arial" w:cs="Arial" w:eastAsia="Arial" w:hAnsi="Arial"/>
                <w:sz w:val="20"/>
                <w:szCs w:val="20"/>
                <w:color w:val="auto"/>
                <w:w w:val="95"/>
              </w:rPr>
              <w:t>ariable and short term lease cost</w:t>
            </w:r>
          </w:p>
        </w:tc>
        <w:tc>
          <w:tcPr>
            <w:tcW w:w="3320" w:type="dxa"/>
            <w:vAlign w:val="bottom"/>
            <w:shd w:val="clear" w:color="auto" w:fill="FEFEFE"/>
          </w:tcPr>
          <w:p>
            <w:pPr>
              <w:jc w:val="center"/>
              <w:spacing w:after="0" w:line="213" w:lineRule="exact"/>
              <w:rPr>
                <w:sz w:val="20"/>
                <w:szCs w:val="20"/>
                <w:color w:val="auto"/>
              </w:rPr>
            </w:pPr>
            <w:r>
              <w:rPr>
                <w:rFonts w:ascii="Arial" w:cs="Arial" w:eastAsia="Arial" w:hAnsi="Arial"/>
                <w:sz w:val="20"/>
                <w:szCs w:val="20"/>
                <w:color w:val="auto"/>
                <w:w w:val="91"/>
              </w:rPr>
              <w:t>Cost of sales, including buying and</w:t>
            </w:r>
          </w:p>
        </w:tc>
        <w:tc>
          <w:tcPr>
            <w:tcW w:w="140" w:type="dxa"/>
            <w:vAlign w:val="bottom"/>
            <w:shd w:val="clear" w:color="auto" w:fill="FEFEFE"/>
          </w:tcPr>
          <w:p>
            <w:pPr>
              <w:spacing w:after="0"/>
              <w:rPr>
                <w:sz w:val="18"/>
                <w:szCs w:val="18"/>
                <w:color w:val="auto"/>
              </w:rPr>
            </w:pPr>
          </w:p>
        </w:tc>
        <w:tc>
          <w:tcPr>
            <w:tcW w:w="1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1,618</w:t>
            </w:r>
          </w:p>
        </w:tc>
        <w:tc>
          <w:tcPr>
            <w:tcW w:w="180" w:type="dxa"/>
            <w:vAlign w:val="bottom"/>
            <w:shd w:val="clear" w:color="auto" w:fill="FEFEFE"/>
          </w:tcPr>
          <w:p>
            <w:pPr>
              <w:spacing w:after="0"/>
              <w:rPr>
                <w:sz w:val="18"/>
                <w:szCs w:val="18"/>
                <w:color w:val="auto"/>
              </w:rPr>
            </w:pPr>
          </w:p>
        </w:tc>
        <w:tc>
          <w:tcPr>
            <w:tcW w:w="114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1,555</w:t>
            </w:r>
          </w:p>
        </w:tc>
        <w:tc>
          <w:tcPr>
            <w:tcW w:w="180" w:type="dxa"/>
            <w:vAlign w:val="bottom"/>
            <w:shd w:val="clear" w:color="auto" w:fill="FEFEFE"/>
          </w:tcPr>
          <w:p>
            <w:pPr>
              <w:spacing w:after="0"/>
              <w:rPr>
                <w:sz w:val="18"/>
                <w:szCs w:val="18"/>
                <w:color w:val="auto"/>
              </w:rPr>
            </w:pPr>
          </w:p>
        </w:tc>
        <w:tc>
          <w:tcPr>
            <w:tcW w:w="1160" w:type="dxa"/>
            <w:vAlign w:val="bottom"/>
            <w:vMerge w:val="restart"/>
            <w:shd w:val="clear" w:color="auto" w:fill="FEFEFE"/>
          </w:tcPr>
          <w:p>
            <w:pPr>
              <w:jc w:val="right"/>
              <w:spacing w:after="0"/>
              <w:rPr>
                <w:sz w:val="20"/>
                <w:szCs w:val="20"/>
                <w:color w:val="auto"/>
              </w:rPr>
            </w:pPr>
            <w:r>
              <w:rPr>
                <w:rFonts w:ascii="Arial" w:cs="Arial" w:eastAsia="Arial" w:hAnsi="Arial"/>
                <w:sz w:val="20"/>
                <w:szCs w:val="20"/>
                <w:color w:val="auto"/>
              </w:rPr>
              <w:t>1,4 0</w:t>
            </w:r>
          </w:p>
        </w:tc>
        <w:tc>
          <w:tcPr>
            <w:tcW w:w="0" w:type="dxa"/>
            <w:vAlign w:val="bottom"/>
          </w:tcPr>
          <w:p>
            <w:pPr>
              <w:spacing w:after="0"/>
              <w:rPr>
                <w:sz w:val="1"/>
                <w:szCs w:val="1"/>
                <w:color w:val="auto"/>
              </w:rPr>
            </w:pPr>
          </w:p>
        </w:tc>
      </w:tr>
      <w:tr>
        <w:trPr>
          <w:trHeight w:val="271"/>
        </w:trPr>
        <w:tc>
          <w:tcPr>
            <w:tcW w:w="2980" w:type="dxa"/>
            <w:vAlign w:val="bottom"/>
            <w:tcBorders>
              <w:bottom w:val="single" w:sz="8" w:color="auto"/>
            </w:tcBorders>
            <w:shd w:val="clear" w:color="auto" w:fill="FEFEFE"/>
          </w:tcPr>
          <w:p>
            <w:pPr>
              <w:spacing w:after="0"/>
              <w:rPr>
                <w:sz w:val="23"/>
                <w:szCs w:val="23"/>
                <w:color w:val="auto"/>
              </w:rPr>
            </w:pPr>
          </w:p>
        </w:tc>
        <w:tc>
          <w:tcPr>
            <w:tcW w:w="332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20"/>
                <w:szCs w:val="20"/>
                <w:color w:val="auto"/>
                <w:w w:val="87"/>
              </w:rPr>
              <w:t>occupancy costs</w:t>
            </w:r>
          </w:p>
        </w:tc>
        <w:tc>
          <w:tcPr>
            <w:tcW w:w="140" w:type="dxa"/>
            <w:vAlign w:val="bottom"/>
            <w:tcBorders>
              <w:bottom w:val="single" w:sz="8" w:color="auto"/>
            </w:tcBorders>
            <w:shd w:val="clear" w:color="auto" w:fill="FEFEFE"/>
          </w:tcPr>
          <w:p>
            <w:pPr>
              <w:spacing w:after="0"/>
              <w:rPr>
                <w:sz w:val="23"/>
                <w:szCs w:val="23"/>
                <w:color w:val="auto"/>
              </w:rPr>
            </w:pPr>
          </w:p>
        </w:tc>
        <w:tc>
          <w:tcPr>
            <w:tcW w:w="1160" w:type="dxa"/>
            <w:vAlign w:val="bottom"/>
            <w:tcBorders>
              <w:bottom w:val="single" w:sz="8" w:color="auto"/>
            </w:tcBorders>
            <w:vMerge w:val="continue"/>
            <w:shd w:val="clear" w:color="auto" w:fill="FEFEFE"/>
          </w:tcPr>
          <w:p>
            <w:pPr>
              <w:spacing w:after="0"/>
              <w:rPr>
                <w:sz w:val="23"/>
                <w:szCs w:val="23"/>
                <w:color w:val="auto"/>
              </w:rPr>
            </w:pPr>
          </w:p>
        </w:tc>
        <w:tc>
          <w:tcPr>
            <w:tcW w:w="180" w:type="dxa"/>
            <w:vAlign w:val="bottom"/>
            <w:tcBorders>
              <w:bottom w:val="single" w:sz="8" w:color="auto"/>
            </w:tcBorders>
            <w:shd w:val="clear" w:color="auto" w:fill="FEFEFE"/>
          </w:tcPr>
          <w:p>
            <w:pPr>
              <w:spacing w:after="0"/>
              <w:rPr>
                <w:sz w:val="23"/>
                <w:szCs w:val="23"/>
                <w:color w:val="auto"/>
              </w:rPr>
            </w:pPr>
          </w:p>
        </w:tc>
        <w:tc>
          <w:tcPr>
            <w:tcW w:w="1140" w:type="dxa"/>
            <w:vAlign w:val="bottom"/>
            <w:tcBorders>
              <w:bottom w:val="single" w:sz="8" w:color="auto"/>
            </w:tcBorders>
            <w:vMerge w:val="continue"/>
            <w:shd w:val="clear" w:color="auto" w:fill="FEFEFE"/>
          </w:tcPr>
          <w:p>
            <w:pPr>
              <w:spacing w:after="0"/>
              <w:rPr>
                <w:sz w:val="23"/>
                <w:szCs w:val="23"/>
                <w:color w:val="auto"/>
              </w:rPr>
            </w:pPr>
          </w:p>
        </w:tc>
        <w:tc>
          <w:tcPr>
            <w:tcW w:w="180" w:type="dxa"/>
            <w:vAlign w:val="bottom"/>
            <w:tcBorders>
              <w:bottom w:val="single" w:sz="8" w:color="auto"/>
            </w:tcBorders>
            <w:shd w:val="clear" w:color="auto" w:fill="FEFEFE"/>
          </w:tcPr>
          <w:p>
            <w:pPr>
              <w:spacing w:after="0"/>
              <w:rPr>
                <w:sz w:val="23"/>
                <w:szCs w:val="23"/>
                <w:color w:val="auto"/>
              </w:rPr>
            </w:pPr>
          </w:p>
        </w:tc>
        <w:tc>
          <w:tcPr>
            <w:tcW w:w="1160" w:type="dxa"/>
            <w:vAlign w:val="bottom"/>
            <w:tcBorders>
              <w:bottom w:val="single" w:sz="8" w:color="auto"/>
            </w:tcBorders>
            <w:vMerge w:val="continue"/>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98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Total lease cost</w:t>
            </w:r>
          </w:p>
        </w:tc>
        <w:tc>
          <w:tcPr>
            <w:tcW w:w="332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3,814</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3,656</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3,505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1" w:orient="portrait"/>
          <w:cols w:equalWidth="0" w:num="1">
            <w:col w:w="10260"/>
          </w:cols>
          <w:pgMar w:left="1000" w:top="77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F-36</w:t>
      </w:r>
    </w:p>
    <w:p>
      <w:pPr>
        <w:sectPr>
          <w:pgSz w:w="12240" w:h="15841" w:orient="portrait"/>
          <w:cols w:equalWidth="0" w:num="1">
            <w:col w:w="10260"/>
          </w:cols>
          <w:pgMar w:left="1000" w:top="771" w:right="981" w:bottom="0" w:gutter="0" w:footer="0" w:header="0"/>
          <w:type w:val="continuous"/>
        </w:sectPr>
      </w:pPr>
    </w:p>
    <w:bookmarkStart w:id="92" w:name="page93"/>
    <w:bookmarkEnd w:id="92"/>
    <w:p>
      <w:pPr>
        <w:ind w:left="1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t>Supplemental cash flow information related to leases is as follows:</w:t>
      </w:r>
    </w:p>
    <w:p>
      <w:pPr>
        <w:spacing w:after="0" w:line="98" w:lineRule="exact"/>
        <w:rPr>
          <w:sz w:val="20"/>
          <w:szCs w:val="20"/>
          <w:color w:val="auto"/>
        </w:rPr>
      </w:pPr>
    </w:p>
    <w:p>
      <w:pPr>
        <w:ind w:left="7550"/>
        <w:spacing w:after="0"/>
        <w:rPr>
          <w:sz w:val="20"/>
          <w:szCs w:val="20"/>
          <w:color w:val="auto"/>
        </w:rPr>
      </w:pPr>
      <w:r>
        <w:rPr>
          <w:rFonts w:ascii="Arial" w:cs="Arial" w:eastAsia="Arial" w:hAnsi="Arial"/>
          <w:sz w:val="20"/>
          <w:szCs w:val="20"/>
          <w:color w:val="auto"/>
        </w:rPr>
        <w:t>Fiscal Year Ended</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line="215" w:lineRule="exact"/>
              <w:rPr>
                <w:sz w:val="20"/>
                <w:szCs w:val="20"/>
                <w:color w:val="auto"/>
              </w:rPr>
            </w:pPr>
            <w:r>
              <w:rPr>
                <w:rFonts w:ascii="Arial" w:cs="Arial" w:eastAsia="Arial" w:hAnsi="Arial"/>
                <w:sz w:val="20"/>
                <w:szCs w:val="20"/>
                <w:color w:val="auto"/>
                <w:w w:val="95"/>
              </w:rPr>
              <w:t>January 31,</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0"/>
              <w:spacing w:after="0" w:line="215" w:lineRule="exact"/>
              <w:rPr>
                <w:sz w:val="20"/>
                <w:szCs w:val="20"/>
                <w:color w:val="auto"/>
              </w:rPr>
            </w:pPr>
            <w:r>
              <w:rPr>
                <w:rFonts w:ascii="Arial" w:cs="Arial" w:eastAsia="Arial" w:hAnsi="Arial"/>
                <w:sz w:val="20"/>
                <w:szCs w:val="20"/>
                <w:color w:val="auto"/>
                <w:w w:val="91"/>
              </w:rPr>
              <w:t>February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80"/>
              <w:spacing w:after="0" w:line="215" w:lineRule="exact"/>
              <w:rPr>
                <w:sz w:val="20"/>
                <w:szCs w:val="20"/>
                <w:color w:val="auto"/>
              </w:rPr>
            </w:pPr>
            <w:r>
              <w:rPr>
                <w:rFonts w:ascii="Arial" w:cs="Arial" w:eastAsia="Arial" w:hAnsi="Arial"/>
                <w:sz w:val="20"/>
                <w:szCs w:val="20"/>
                <w:color w:val="auto"/>
                <w:w w:val="91"/>
              </w:rPr>
              <w:t>February 3,</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2025</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color w:val="auto"/>
                <w:w w:val="89"/>
              </w:rPr>
              <w:t>2024</w:t>
            </w:r>
          </w:p>
        </w:tc>
      </w:tr>
      <w:tr>
        <w:trPr>
          <w:trHeight w:val="283"/>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Arial" w:cs="Arial" w:eastAsia="Arial" w:hAnsi="Arial"/>
                <w:sz w:val="20"/>
                <w:szCs w:val="20"/>
                <w:color w:val="auto"/>
                <w:w w:val="91"/>
              </w:rPr>
              <w:t>(53 weeks)</w:t>
            </w:r>
          </w:p>
        </w:tc>
      </w:tr>
      <w:tr>
        <w:trPr>
          <w:trHeight w:val="287"/>
        </w:trPr>
        <w:tc>
          <w:tcPr>
            <w:tcW w:w="6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w w:val="99"/>
              </w:rPr>
              <w:t>Cash paid for amounts included in the measurement of lease liabilities:</w:t>
            </w:r>
          </w:p>
        </w:tc>
        <w:tc>
          <w:tcPr>
            <w:tcW w:w="1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spacing w:after="0"/>
              <w:rPr>
                <w:sz w:val="24"/>
                <w:szCs w:val="24"/>
                <w:color w:val="auto"/>
              </w:rPr>
            </w:pPr>
          </w:p>
        </w:tc>
      </w:tr>
      <w:tr>
        <w:trPr>
          <w:trHeight w:val="293"/>
        </w:trPr>
        <w:tc>
          <w:tcPr>
            <w:tcW w:w="6300" w:type="dxa"/>
            <w:vAlign w:val="bottom"/>
            <w:shd w:val="clear" w:color="auto" w:fill="FEFEFE"/>
          </w:tcPr>
          <w:p>
            <w:pPr>
              <w:ind w:left="420"/>
              <w:spacing w:after="0"/>
              <w:rPr>
                <w:sz w:val="20"/>
                <w:szCs w:val="20"/>
                <w:color w:val="auto"/>
              </w:rPr>
            </w:pPr>
            <w:r>
              <w:rPr>
                <w:rFonts w:ascii="Arial" w:cs="Arial" w:eastAsia="Arial" w:hAnsi="Arial"/>
                <w:sz w:val="20"/>
                <w:szCs w:val="20"/>
                <w:color w:val="auto"/>
              </w:rPr>
              <w:t>perating cash flows paid for operating leases</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2,214</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2,116</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2,030</w:t>
            </w:r>
          </w:p>
        </w:tc>
      </w:tr>
      <w:tr>
        <w:trPr>
          <w:trHeight w:val="297"/>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Lease liabilities arising from obtaining right of use assets</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2,243</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2,140</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2,055</w:t>
            </w:r>
          </w:p>
        </w:tc>
      </w:tr>
      <w:tr>
        <w:trPr>
          <w:trHeight w:val="409"/>
        </w:trPr>
        <w:tc>
          <w:tcPr>
            <w:tcW w:w="8920" w:type="dxa"/>
            <w:vAlign w:val="bottom"/>
            <w:gridSpan w:val="5"/>
          </w:tcPr>
          <w:p>
            <w:pPr>
              <w:spacing w:after="0"/>
              <w:rPr>
                <w:sz w:val="20"/>
                <w:szCs w:val="20"/>
                <w:color w:val="auto"/>
              </w:rPr>
            </w:pPr>
            <w:r>
              <w:rPr>
                <w:rFonts w:ascii="Arial" w:cs="Arial" w:eastAsia="Arial" w:hAnsi="Arial"/>
                <w:sz w:val="20"/>
                <w:szCs w:val="20"/>
                <w:color w:val="auto"/>
                <w:w w:val="92"/>
              </w:rPr>
              <w:t>The following table as of January 31, 2026 summari es the maturity of lease liabilities under operating leases: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6"/>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0"/>
        </w:trPr>
        <w:tc>
          <w:tcPr>
            <w:tcW w:w="6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Fiscal Year:</w:t>
            </w:r>
          </w:p>
        </w:tc>
        <w:tc>
          <w:tcPr>
            <w:tcW w:w="140" w:type="dxa"/>
            <w:vAlign w:val="bottom"/>
            <w:tcBorders>
              <w:bottom w:val="single" w:sz="8" w:color="E4E4E4"/>
            </w:tcBorders>
            <w:shd w:val="clear" w:color="auto" w:fill="E4E4E4"/>
          </w:tcPr>
          <w:p>
            <w:pPr>
              <w:spacing w:after="0"/>
              <w:rPr>
                <w:sz w:val="23"/>
                <w:szCs w:val="23"/>
                <w:color w:val="auto"/>
              </w:rPr>
            </w:pPr>
          </w:p>
        </w:tc>
        <w:tc>
          <w:tcPr>
            <w:tcW w:w="1160" w:type="dxa"/>
            <w:vAlign w:val="bottom"/>
            <w:tcBorders>
              <w:bottom w:val="single" w:sz="8" w:color="E4E4E4"/>
            </w:tcBorders>
            <w:shd w:val="clear" w:color="auto" w:fill="E4E4E4"/>
          </w:tcPr>
          <w:p>
            <w:pPr>
              <w:spacing w:after="0"/>
              <w:rPr>
                <w:sz w:val="23"/>
                <w:szCs w:val="23"/>
                <w:color w:val="auto"/>
              </w:rPr>
            </w:pPr>
          </w:p>
        </w:tc>
        <w:tc>
          <w:tcPr>
            <w:tcW w:w="180" w:type="dxa"/>
            <w:vAlign w:val="bottom"/>
            <w:tcBorders>
              <w:bottom w:val="single" w:sz="8" w:color="E4E4E4"/>
            </w:tcBorders>
            <w:shd w:val="clear" w:color="auto" w:fill="E4E4E4"/>
          </w:tcPr>
          <w:p>
            <w:pPr>
              <w:spacing w:after="0"/>
              <w:rPr>
                <w:sz w:val="23"/>
                <w:szCs w:val="23"/>
                <w:color w:val="auto"/>
              </w:rPr>
            </w:pPr>
          </w:p>
        </w:tc>
        <w:tc>
          <w:tcPr>
            <w:tcW w:w="1140" w:type="dxa"/>
            <w:vAlign w:val="bottom"/>
            <w:tcBorders>
              <w:bottom w:val="single" w:sz="8" w:color="E4E4E4"/>
            </w:tcBorders>
            <w:shd w:val="clear" w:color="auto" w:fill="E4E4E4"/>
          </w:tcPr>
          <w:p>
            <w:pPr>
              <w:spacing w:after="0"/>
              <w:rPr>
                <w:sz w:val="23"/>
                <w:szCs w:val="23"/>
                <w:color w:val="auto"/>
              </w:rPr>
            </w:pPr>
          </w:p>
        </w:tc>
        <w:tc>
          <w:tcPr>
            <w:tcW w:w="180" w:type="dxa"/>
            <w:vAlign w:val="bottom"/>
            <w:tcBorders>
              <w:bottom w:val="single" w:sz="8" w:color="E4E4E4"/>
            </w:tcBorders>
            <w:shd w:val="clear" w:color="auto" w:fill="E4E4E4"/>
          </w:tcPr>
          <w:p>
            <w:pPr>
              <w:spacing w:after="0"/>
              <w:rPr>
                <w:sz w:val="23"/>
                <w:szCs w:val="23"/>
                <w:color w:val="auto"/>
              </w:rPr>
            </w:pPr>
          </w:p>
        </w:tc>
        <w:tc>
          <w:tcPr>
            <w:tcW w:w="1160" w:type="dxa"/>
            <w:vAlign w:val="bottom"/>
            <w:tcBorders>
              <w:bottom w:val="single" w:sz="8" w:color="E4E4E4"/>
            </w:tcBorders>
            <w:shd w:val="clear" w:color="auto" w:fill="E4E4E4"/>
          </w:tcPr>
          <w:p>
            <w:pPr>
              <w:spacing w:after="0"/>
              <w:rPr>
                <w:sz w:val="23"/>
                <w:szCs w:val="23"/>
                <w:color w:val="auto"/>
              </w:rPr>
            </w:pPr>
          </w:p>
        </w:tc>
      </w:tr>
      <w:tr>
        <w:trPr>
          <w:trHeight w:val="293"/>
        </w:trPr>
        <w:tc>
          <w:tcPr>
            <w:tcW w:w="63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2027</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2,259</w:t>
            </w:r>
          </w:p>
        </w:tc>
      </w:tr>
      <w:tr>
        <w:trPr>
          <w:trHeight w:val="307"/>
        </w:trPr>
        <w:tc>
          <w:tcPr>
            <w:tcW w:w="630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2028</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2,123</w:t>
            </w:r>
          </w:p>
        </w:tc>
      </w:tr>
      <w:tr>
        <w:trPr>
          <w:trHeight w:val="293"/>
        </w:trPr>
        <w:tc>
          <w:tcPr>
            <w:tcW w:w="63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202</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1,886</w:t>
            </w:r>
          </w:p>
        </w:tc>
      </w:tr>
      <w:tr>
        <w:trPr>
          <w:trHeight w:val="307"/>
        </w:trPr>
        <w:tc>
          <w:tcPr>
            <w:tcW w:w="6300" w:type="dxa"/>
            <w:vAlign w:val="bottom"/>
            <w:shd w:val="clear" w:color="auto" w:fill="E4E4E4"/>
          </w:tcPr>
          <w:p>
            <w:pPr>
              <w:ind w:left="280"/>
              <w:spacing w:after="0"/>
              <w:rPr>
                <w:sz w:val="20"/>
                <w:szCs w:val="20"/>
                <w:color w:val="auto"/>
              </w:rPr>
            </w:pPr>
            <w:r>
              <w:rPr>
                <w:rFonts w:ascii="Arial" w:cs="Arial" w:eastAsia="Arial" w:hAnsi="Arial"/>
                <w:sz w:val="20"/>
                <w:szCs w:val="20"/>
                <w:color w:val="auto"/>
              </w:rPr>
              <w:t>2030</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1,609</w:t>
            </w:r>
          </w:p>
        </w:tc>
      </w:tr>
      <w:tr>
        <w:trPr>
          <w:trHeight w:val="294"/>
        </w:trPr>
        <w:tc>
          <w:tcPr>
            <w:tcW w:w="6300" w:type="dxa"/>
            <w:vAlign w:val="bottom"/>
            <w:shd w:val="clear" w:color="auto" w:fill="FEFEFE"/>
          </w:tcPr>
          <w:p>
            <w:pPr>
              <w:ind w:left="280"/>
              <w:spacing w:after="0"/>
              <w:rPr>
                <w:sz w:val="20"/>
                <w:szCs w:val="20"/>
                <w:color w:val="auto"/>
              </w:rPr>
            </w:pPr>
            <w:r>
              <w:rPr>
                <w:rFonts w:ascii="Arial" w:cs="Arial" w:eastAsia="Arial" w:hAnsi="Arial"/>
                <w:sz w:val="20"/>
                <w:szCs w:val="20"/>
                <w:color w:val="auto"/>
              </w:rPr>
              <w:t>2031</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1,312</w:t>
            </w:r>
          </w:p>
        </w:tc>
      </w:tr>
      <w:tr>
        <w:trPr>
          <w:trHeight w:val="296"/>
        </w:trPr>
        <w:tc>
          <w:tcPr>
            <w:tcW w:w="6300" w:type="dxa"/>
            <w:vAlign w:val="bottom"/>
            <w:tcBorders>
              <w:bottom w:val="single" w:sz="8" w:color="auto"/>
            </w:tcBorders>
            <w:shd w:val="clear" w:color="auto" w:fill="E4E4E4"/>
          </w:tcPr>
          <w:p>
            <w:pPr>
              <w:ind w:left="280"/>
              <w:spacing w:after="0"/>
              <w:rPr>
                <w:sz w:val="20"/>
                <w:szCs w:val="20"/>
                <w:color w:val="auto"/>
              </w:rPr>
            </w:pPr>
            <w:r>
              <w:rPr>
                <w:rFonts w:ascii="Arial" w:cs="Arial" w:eastAsia="Arial" w:hAnsi="Arial"/>
                <w:sz w:val="20"/>
                <w:szCs w:val="20"/>
                <w:color w:val="auto"/>
              </w:rPr>
              <w:t>Later years</w:t>
            </w:r>
          </w:p>
        </w:tc>
        <w:tc>
          <w:tcPr>
            <w:tcW w:w="1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2,930</w:t>
            </w:r>
          </w:p>
        </w:tc>
      </w:tr>
      <w:tr>
        <w:trPr>
          <w:trHeight w:val="283"/>
        </w:trPr>
        <w:tc>
          <w:tcPr>
            <w:tcW w:w="6300" w:type="dxa"/>
            <w:vAlign w:val="bottom"/>
            <w:shd w:val="clear" w:color="auto" w:fill="FEFEFE"/>
          </w:tcPr>
          <w:p>
            <w:pPr>
              <w:ind w:left="500"/>
              <w:spacing w:after="0"/>
              <w:rPr>
                <w:sz w:val="20"/>
                <w:szCs w:val="20"/>
                <w:color w:val="auto"/>
              </w:rPr>
            </w:pPr>
            <w:r>
              <w:rPr>
                <w:rFonts w:ascii="Arial" w:cs="Arial" w:eastAsia="Arial" w:hAnsi="Arial"/>
                <w:sz w:val="20"/>
                <w:szCs w:val="20"/>
                <w:color w:val="auto"/>
              </w:rPr>
              <w:t>Total lease payments</w:t>
            </w:r>
            <w:r>
              <w:rPr>
                <w:rFonts w:ascii="Arial" w:cs="Arial" w:eastAsia="Arial" w:hAnsi="Arial"/>
                <w:sz w:val="10"/>
                <w:szCs w:val="10"/>
                <w:color w:val="auto"/>
              </w:rPr>
              <w:t>(a)</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12,119</w:t>
            </w:r>
          </w:p>
        </w:tc>
      </w:tr>
      <w:tr>
        <w:trPr>
          <w:trHeight w:val="297"/>
        </w:trPr>
        <w:tc>
          <w:tcPr>
            <w:tcW w:w="63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Less: imputed interest</w:t>
            </w:r>
            <w:r>
              <w:rPr>
                <w:rFonts w:ascii="Arial" w:cs="Arial" w:eastAsia="Arial" w:hAnsi="Arial"/>
                <w:sz w:val="10"/>
                <w:szCs w:val="10"/>
                <w:color w:val="auto"/>
              </w:rPr>
              <w:t>(b)</w:t>
            </w:r>
          </w:p>
        </w:tc>
        <w:tc>
          <w:tcPr>
            <w:tcW w:w="1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1,499</w:t>
            </w:r>
          </w:p>
        </w:tc>
      </w:tr>
      <w:tr>
        <w:trPr>
          <w:trHeight w:val="280"/>
        </w:trPr>
        <w:tc>
          <w:tcPr>
            <w:tcW w:w="6300" w:type="dxa"/>
            <w:vAlign w:val="bottom"/>
            <w:tcBorders>
              <w:bottom w:val="single" w:sz="8" w:color="auto"/>
            </w:tcBorders>
            <w:shd w:val="clear" w:color="auto" w:fill="FEFEFE"/>
          </w:tcPr>
          <w:p>
            <w:pPr>
              <w:ind w:left="640"/>
              <w:spacing w:after="0"/>
              <w:rPr>
                <w:sz w:val="20"/>
                <w:szCs w:val="20"/>
                <w:color w:val="auto"/>
              </w:rPr>
            </w:pPr>
            <w:r>
              <w:rPr>
                <w:rFonts w:ascii="Arial" w:cs="Arial" w:eastAsia="Arial" w:hAnsi="Arial"/>
                <w:sz w:val="20"/>
                <w:szCs w:val="20"/>
                <w:color w:val="auto"/>
              </w:rPr>
              <w:t xml:space="preserve">otal lease liabilities </w:t>
            </w:r>
            <w:r>
              <w:rPr>
                <w:rFonts w:ascii="Arial" w:cs="Arial" w:eastAsia="Arial" w:hAnsi="Arial"/>
                <w:sz w:val="10"/>
                <w:szCs w:val="10"/>
                <w:color w:val="auto"/>
              </w:rPr>
              <w:t>c</w:t>
            </w:r>
          </w:p>
        </w:tc>
        <w:tc>
          <w:tcPr>
            <w:tcW w:w="1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10,620</w:t>
            </w:r>
          </w:p>
        </w:tc>
      </w:tr>
    </w:tbl>
    <w:p>
      <w:pPr>
        <w:spacing w:after="0" w:line="100" w:lineRule="exact"/>
        <w:rPr>
          <w:sz w:val="20"/>
          <w:szCs w:val="20"/>
          <w:color w:val="auto"/>
        </w:rPr>
      </w:pPr>
    </w:p>
    <w:p>
      <w:pPr>
        <w:ind w:left="370" w:right="120" w:hanging="370"/>
        <w:spacing w:after="0" w:line="283" w:lineRule="auto"/>
        <w:tabs>
          <w:tab w:leader="none" w:pos="4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perating lease payments exclude legally binding minimum lease payments for leases signed but not yet commenced and include options to extend lease terms that are now deemed reasonably certain of being exercised according to the Company’s Lease Accounting Policy.</w:t>
      </w:r>
    </w:p>
    <w:p>
      <w:pPr>
        <w:spacing w:after="0" w:line="10" w:lineRule="exact"/>
        <w:rPr>
          <w:rFonts w:ascii="Arial" w:cs="Arial" w:eastAsia="Arial" w:hAnsi="Arial"/>
          <w:sz w:val="16"/>
          <w:szCs w:val="16"/>
          <w:color w:val="auto"/>
        </w:rPr>
      </w:pPr>
    </w:p>
    <w:p>
      <w:pPr>
        <w:ind w:left="370" w:hanging="370"/>
        <w:spacing w:after="0"/>
        <w:tabs>
          <w:tab w:leader="none" w:pos="3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using the incremental borrowing rate for each lease.</w:t>
      </w:r>
    </w:p>
    <w:p>
      <w:pPr>
        <w:spacing w:after="0" w:line="68" w:lineRule="exact"/>
        <w:rPr>
          <w:rFonts w:ascii="Arial" w:cs="Arial" w:eastAsia="Arial" w:hAnsi="Arial"/>
          <w:sz w:val="16"/>
          <w:szCs w:val="16"/>
          <w:color w:val="auto"/>
        </w:rPr>
      </w:pPr>
    </w:p>
    <w:p>
      <w:pPr>
        <w:ind w:left="370" w:right="220" w:hanging="370"/>
        <w:spacing w:after="0" w:line="283" w:lineRule="auto"/>
        <w:tabs>
          <w:tab w:leader="none" w:pos="3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lease liabilities are broken out on the Consolidated Balance Sheets between Current portion of operating lease liabilities and Long-term operating lease liabilities.</w:t>
      </w:r>
    </w:p>
    <w:p>
      <w:pPr>
        <w:spacing w:after="0" w:line="37" w:lineRule="exact"/>
        <w:rPr>
          <w:sz w:val="20"/>
          <w:szCs w:val="20"/>
          <w:color w:val="auto"/>
        </w:rPr>
      </w:pPr>
    </w:p>
    <w:p>
      <w:pPr>
        <w:ind w:left="10"/>
        <w:spacing w:after="0"/>
        <w:tabs>
          <w:tab w:leader="none" w:pos="749" w:val="left"/>
          <w:tab w:leader="none" w:pos="1029" w:val="left"/>
          <w:tab w:leader="none" w:pos="2069" w:val="left"/>
          <w:tab w:leader="none" w:pos="4069" w:val="left"/>
          <w:tab w:leader="none" w:pos="6569" w:val="left"/>
          <w:tab w:leader="none" w:pos="7189" w:val="left"/>
        </w:tabs>
        <w:rPr>
          <w:sz w:val="20"/>
          <w:szCs w:val="20"/>
          <w:color w:val="auto"/>
        </w:rPr>
      </w:pPr>
      <w:r>
        <w:rPr>
          <w:rFonts w:ascii="Arial" w:cs="Arial" w:eastAsia="Arial" w:hAnsi="Arial"/>
          <w:sz w:val="24"/>
          <w:szCs w:val="24"/>
          <w:color w:val="auto"/>
        </w:rPr>
        <w:t>Note</w:t>
        <w:tab/>
        <w:t>.</w:t>
        <w:tab/>
        <w:t>ccrued</w:t>
        <w:tab/>
        <w:t>penses and Other</w:t>
        <w:tab/>
        <w:t>iabilities, Current and</w:t>
        <w:tab/>
        <w:t>ong</w:t>
        <w:tab/>
        <w:t>erm</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600" w:type="dxa"/>
            <w:vAlign w:val="bottom"/>
          </w:tcPr>
          <w:p>
            <w:pPr>
              <w:spacing w:after="0"/>
              <w:rPr>
                <w:sz w:val="20"/>
                <w:szCs w:val="20"/>
                <w:color w:val="auto"/>
              </w:rPr>
            </w:pPr>
            <w:r>
              <w:rPr>
                <w:rFonts w:ascii="Arial" w:cs="Arial" w:eastAsia="Arial" w:hAnsi="Arial"/>
                <w:sz w:val="20"/>
                <w:szCs w:val="20"/>
                <w:color w:val="auto"/>
                <w:w w:val="98"/>
              </w:rPr>
              <w:t>The major components of accrued expenses and other current liabilities are as follows: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color w:val="auto"/>
              </w:rPr>
              <w:t>Fiscal Year Ended</w:t>
            </w:r>
          </w:p>
        </w:tc>
      </w:tr>
      <w:tr>
        <w:trPr>
          <w:trHeight w:val="212"/>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line="212" w:lineRule="exact"/>
              <w:rPr>
                <w:sz w:val="20"/>
                <w:szCs w:val="20"/>
                <w:color w:val="auto"/>
              </w:rPr>
            </w:pPr>
            <w:r>
              <w:rPr>
                <w:rFonts w:ascii="Arial" w:cs="Arial" w:eastAsia="Arial" w:hAnsi="Arial"/>
                <w:sz w:val="20"/>
                <w:szCs w:val="20"/>
                <w:color w:val="auto"/>
                <w:w w:val="95"/>
              </w:rPr>
              <w:t>January 31,</w:t>
            </w:r>
          </w:p>
        </w:tc>
        <w:tc>
          <w:tcPr>
            <w:tcW w:w="200" w:type="dxa"/>
            <w:vAlign w:val="bottom"/>
          </w:tcPr>
          <w:p>
            <w:pPr>
              <w:spacing w:after="0"/>
              <w:rPr>
                <w:sz w:val="18"/>
                <w:szCs w:val="18"/>
                <w:color w:val="auto"/>
              </w:rPr>
            </w:pPr>
          </w:p>
        </w:tc>
        <w:tc>
          <w:tcPr>
            <w:tcW w:w="114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89"/>
              </w:rPr>
              <w:t>February 1,</w:t>
            </w:r>
          </w:p>
        </w:tc>
      </w:tr>
      <w:tr>
        <w:trPr>
          <w:trHeight w:val="263"/>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7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Employee compensation and benefits, current</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1,727</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1,370</w:t>
            </w:r>
          </w:p>
        </w:tc>
      </w:tr>
      <w:tr>
        <w:trPr>
          <w:trHeight w:val="293"/>
        </w:trPr>
        <w:tc>
          <w:tcPr>
            <w:tcW w:w="7600" w:type="dxa"/>
            <w:vAlign w:val="bottom"/>
            <w:shd w:val="clear" w:color="auto" w:fill="FEFEFE"/>
          </w:tcPr>
          <w:p>
            <w:pPr>
              <w:ind w:left="220"/>
              <w:spacing w:after="0"/>
              <w:rPr>
                <w:sz w:val="20"/>
                <w:szCs w:val="20"/>
                <w:color w:val="auto"/>
              </w:rPr>
            </w:pPr>
            <w:r>
              <w:rPr>
                <w:rFonts w:ascii="Arial" w:cs="Arial" w:eastAsia="Arial" w:hAnsi="Arial"/>
                <w:sz w:val="20"/>
                <w:szCs w:val="20"/>
                <w:color w:val="auto"/>
              </w:rPr>
              <w:t>erchandise credits and gift certificates</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897</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824</w:t>
            </w:r>
          </w:p>
        </w:tc>
      </w:tr>
      <w:tr>
        <w:trPr>
          <w:trHeight w:val="306"/>
        </w:trPr>
        <w:tc>
          <w:tcPr>
            <w:tcW w:w="7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Dividends payable</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477</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427</w:t>
            </w:r>
          </w:p>
        </w:tc>
      </w:tr>
      <w:tr>
        <w:trPr>
          <w:trHeight w:val="294"/>
        </w:trPr>
        <w:tc>
          <w:tcPr>
            <w:tcW w:w="7600" w:type="dxa"/>
            <w:vAlign w:val="bottom"/>
            <w:shd w:val="clear" w:color="auto" w:fill="FEFEFE"/>
          </w:tcPr>
          <w:p>
            <w:pPr>
              <w:ind w:left="180"/>
              <w:spacing w:after="0"/>
              <w:rPr>
                <w:sz w:val="20"/>
                <w:szCs w:val="20"/>
                <w:color w:val="auto"/>
              </w:rPr>
            </w:pPr>
            <w:r>
              <w:rPr>
                <w:rFonts w:ascii="Arial" w:cs="Arial" w:eastAsia="Arial" w:hAnsi="Arial"/>
                <w:sz w:val="20"/>
                <w:szCs w:val="20"/>
                <w:color w:val="auto"/>
              </w:rPr>
              <w:t>ccupancy costs, including rent, utilities and real estate taxes</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419</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ind w:right="80"/>
              <w:spacing w:after="0"/>
              <w:rPr>
                <w:sz w:val="20"/>
                <w:szCs w:val="20"/>
                <w:color w:val="auto"/>
              </w:rPr>
            </w:pPr>
            <w:r>
              <w:rPr>
                <w:rFonts w:ascii="Arial" w:cs="Arial" w:eastAsia="Arial" w:hAnsi="Arial"/>
                <w:sz w:val="20"/>
                <w:szCs w:val="20"/>
                <w:color w:val="auto"/>
              </w:rPr>
              <w:t>37</w:t>
            </w:r>
          </w:p>
        </w:tc>
      </w:tr>
      <w:tr>
        <w:trPr>
          <w:trHeight w:val="306"/>
        </w:trPr>
        <w:tc>
          <w:tcPr>
            <w:tcW w:w="7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Accrued capital additions</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308</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260</w:t>
            </w:r>
          </w:p>
        </w:tc>
      </w:tr>
      <w:tr>
        <w:trPr>
          <w:trHeight w:val="297"/>
        </w:trPr>
        <w:tc>
          <w:tcPr>
            <w:tcW w:w="7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Sales tax collections and  .A.T. taxes</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230</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222</w:t>
            </w:r>
          </w:p>
        </w:tc>
      </w:tr>
      <w:tr>
        <w:trPr>
          <w:trHeight w:val="293"/>
        </w:trPr>
        <w:tc>
          <w:tcPr>
            <w:tcW w:w="7600" w:type="dxa"/>
            <w:vAlign w:val="bottom"/>
            <w:tcBorders>
              <w:bottom w:val="single" w:sz="8" w:color="auto"/>
            </w:tcBorders>
            <w:shd w:val="clear" w:color="auto" w:fill="E4E4E4"/>
          </w:tcPr>
          <w:p>
            <w:pPr>
              <w:ind w:left="40"/>
              <w:spacing w:after="0"/>
              <w:rPr>
                <w:sz w:val="20"/>
                <w:szCs w:val="20"/>
                <w:color w:val="auto"/>
              </w:rPr>
            </w:pPr>
            <w:r>
              <w:rPr>
                <w:rFonts w:ascii="Arial" w:cs="Arial" w:eastAsia="Arial" w:hAnsi="Arial"/>
                <w:sz w:val="20"/>
                <w:szCs w:val="20"/>
                <w:color w:val="auto"/>
              </w:rPr>
              <w:t>All other current liabilities</w:t>
            </w:r>
          </w:p>
        </w:tc>
        <w:tc>
          <w:tcPr>
            <w:tcW w:w="140" w:type="dxa"/>
            <w:vAlign w:val="bottom"/>
            <w:tcBorders>
              <w:bottom w:val="single" w:sz="8" w:color="auto"/>
            </w:tcBorders>
            <w:shd w:val="clear" w:color="auto" w:fill="E4E4E4"/>
          </w:tcPr>
          <w:p>
            <w:pPr>
              <w:spacing w:after="0"/>
              <w:rPr>
                <w:sz w:val="24"/>
                <w:szCs w:val="24"/>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1,833</w:t>
            </w:r>
          </w:p>
        </w:tc>
        <w:tc>
          <w:tcPr>
            <w:tcW w:w="20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1,558</w:t>
            </w:r>
          </w:p>
        </w:tc>
      </w:tr>
      <w:tr>
        <w:trPr>
          <w:trHeight w:val="280"/>
        </w:trPr>
        <w:tc>
          <w:tcPr>
            <w:tcW w:w="760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Total accrued expenses and other current liabilities</w:t>
            </w:r>
          </w:p>
        </w:tc>
        <w:tc>
          <w:tcPr>
            <w:tcW w:w="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5,891</w:t>
            </w:r>
          </w:p>
        </w:tc>
        <w:tc>
          <w:tcPr>
            <w:tcW w:w="2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5,040</w:t>
            </w:r>
          </w:p>
        </w:tc>
      </w:tr>
    </w:tbl>
    <w:p>
      <w:pPr>
        <w:spacing w:after="0" w:line="147" w:lineRule="exact"/>
        <w:rPr>
          <w:sz w:val="20"/>
          <w:szCs w:val="20"/>
          <w:color w:val="auto"/>
        </w:rPr>
      </w:pPr>
    </w:p>
    <w:p>
      <w:pPr>
        <w:ind w:left="10" w:right="20"/>
        <w:spacing w:after="0" w:line="266" w:lineRule="auto"/>
        <w:rPr>
          <w:sz w:val="20"/>
          <w:szCs w:val="20"/>
          <w:color w:val="auto"/>
        </w:rPr>
      </w:pPr>
      <w:r>
        <w:rPr>
          <w:rFonts w:ascii="Arial" w:cs="Arial" w:eastAsia="Arial" w:hAnsi="Arial"/>
          <w:sz w:val="20"/>
          <w:szCs w:val="20"/>
          <w:color w:val="auto"/>
        </w:rPr>
        <w:t>All other current liabilities primarily include accruals for insurance, customer rewards liability, expenses payable, reserve for sales returns, professional fees, reserve for taxes, warehouse services, advertising, and other items, each of which is individually less than 5 of current liabilities.</w:t>
      </w:r>
    </w:p>
    <w:p>
      <w:pPr>
        <w:sectPr>
          <w:pgSz w:w="12240" w:h="15841" w:orient="portrait"/>
          <w:cols w:equalWidth="0" w:num="1">
            <w:col w:w="10270"/>
          </w:cols>
          <w:pgMar w:left="990" w:top="792"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F-37</w:t>
      </w:r>
    </w:p>
    <w:p>
      <w:pPr>
        <w:sectPr>
          <w:pgSz w:w="12240" w:h="15841" w:orient="portrait"/>
          <w:cols w:equalWidth="0" w:num="1">
            <w:col w:w="10270"/>
          </w:cols>
          <w:pgMar w:left="990" w:top="792" w:right="981"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61"/>
        </w:trPr>
        <w:tc>
          <w:tcPr>
            <w:tcW w:w="7600" w:type="dxa"/>
            <w:vAlign w:val="bottom"/>
          </w:tcPr>
          <w:p>
            <w:pPr>
              <w:spacing w:after="0"/>
              <w:rPr>
                <w:sz w:val="20"/>
                <w:szCs w:val="20"/>
                <w:color w:val="auto"/>
              </w:rPr>
            </w:pPr>
            <w:r>
              <w:rPr>
                <w:rFonts w:ascii="Arial" w:cs="Arial" w:eastAsia="Arial" w:hAnsi="Arial"/>
                <w:sz w:val="20"/>
                <w:szCs w:val="20"/>
                <w:color w:val="auto"/>
              </w:rPr>
              <w:t>The major components of other long-term liabilities are as follows: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color w:val="auto"/>
              </w:rPr>
              <w:t>Fiscal Year Ended</w:t>
            </w:r>
          </w:p>
        </w:tc>
      </w:tr>
      <w:tr>
        <w:trPr>
          <w:trHeight w:val="212"/>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0"/>
              <w:spacing w:after="0" w:line="212" w:lineRule="exact"/>
              <w:rPr>
                <w:sz w:val="20"/>
                <w:szCs w:val="20"/>
                <w:color w:val="auto"/>
              </w:rPr>
            </w:pPr>
            <w:r>
              <w:rPr>
                <w:rFonts w:ascii="Arial" w:cs="Arial" w:eastAsia="Arial" w:hAnsi="Arial"/>
                <w:sz w:val="20"/>
                <w:szCs w:val="20"/>
                <w:color w:val="auto"/>
                <w:w w:val="95"/>
              </w:rPr>
              <w:t>January 31,</w:t>
            </w:r>
          </w:p>
        </w:tc>
        <w:tc>
          <w:tcPr>
            <w:tcW w:w="200" w:type="dxa"/>
            <w:vAlign w:val="bottom"/>
          </w:tcPr>
          <w:p>
            <w:pPr>
              <w:spacing w:after="0"/>
              <w:rPr>
                <w:sz w:val="18"/>
                <w:szCs w:val="18"/>
                <w:color w:val="auto"/>
              </w:rPr>
            </w:pPr>
          </w:p>
        </w:tc>
        <w:tc>
          <w:tcPr>
            <w:tcW w:w="1140" w:type="dxa"/>
            <w:vAlign w:val="bottom"/>
          </w:tcPr>
          <w:p>
            <w:pPr>
              <w:jc w:val="right"/>
              <w:ind w:right="100"/>
              <w:spacing w:after="0" w:line="212" w:lineRule="exact"/>
              <w:rPr>
                <w:sz w:val="20"/>
                <w:szCs w:val="20"/>
                <w:color w:val="auto"/>
              </w:rPr>
            </w:pPr>
            <w:r>
              <w:rPr>
                <w:rFonts w:ascii="Arial" w:cs="Arial" w:eastAsia="Arial" w:hAnsi="Arial"/>
                <w:sz w:val="20"/>
                <w:szCs w:val="20"/>
                <w:color w:val="auto"/>
                <w:w w:val="89"/>
              </w:rPr>
              <w:t>February 1,</w:t>
            </w:r>
          </w:p>
        </w:tc>
      </w:tr>
      <w:tr>
        <w:trPr>
          <w:trHeight w:val="263"/>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color w:val="auto"/>
              </w:rPr>
              <w:t>2026</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color w:val="auto"/>
              </w:rPr>
              <w:t>2025</w:t>
            </w:r>
          </w:p>
        </w:tc>
      </w:tr>
      <w:tr>
        <w:trPr>
          <w:trHeight w:val="290"/>
        </w:trPr>
        <w:tc>
          <w:tcPr>
            <w:tcW w:w="7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Employee compensation and benefits, long-term</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835</w:t>
            </w:r>
          </w:p>
        </w:tc>
        <w:tc>
          <w:tcPr>
            <w:tcW w:w="2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730</w:t>
            </w:r>
          </w:p>
        </w:tc>
      </w:tr>
      <w:tr>
        <w:trPr>
          <w:trHeight w:val="293"/>
        </w:trPr>
        <w:tc>
          <w:tcPr>
            <w:tcW w:w="7600" w:type="dxa"/>
            <w:vAlign w:val="bottom"/>
            <w:shd w:val="clear" w:color="auto" w:fill="FEFEFE"/>
          </w:tcPr>
          <w:p>
            <w:pPr>
              <w:ind w:left="40"/>
              <w:spacing w:after="0"/>
              <w:rPr>
                <w:sz w:val="20"/>
                <w:szCs w:val="20"/>
                <w:color w:val="auto"/>
              </w:rPr>
            </w:pPr>
            <w:r>
              <w:rPr>
                <w:rFonts w:ascii="Arial" w:cs="Arial" w:eastAsia="Arial" w:hAnsi="Arial"/>
                <w:sz w:val="20"/>
                <w:szCs w:val="20"/>
                <w:color w:val="auto"/>
              </w:rPr>
              <w:t>Tax reserve, long-term</w:t>
            </w:r>
          </w:p>
        </w:tc>
        <w:tc>
          <w:tcPr>
            <w:tcW w:w="140" w:type="dxa"/>
            <w:vAlign w:val="bottom"/>
            <w:shd w:val="clear" w:color="auto" w:fill="FEFEFE"/>
          </w:tcPr>
          <w:p>
            <w:pPr>
              <w:spacing w:after="0"/>
              <w:rPr>
                <w:sz w:val="24"/>
                <w:szCs w:val="24"/>
                <w:color w:val="auto"/>
              </w:rPr>
            </w:pPr>
          </w:p>
        </w:tc>
        <w:tc>
          <w:tcPr>
            <w:tcW w:w="116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229</w:t>
            </w:r>
          </w:p>
        </w:tc>
        <w:tc>
          <w:tcPr>
            <w:tcW w:w="200" w:type="dxa"/>
            <w:vAlign w:val="bottom"/>
            <w:shd w:val="clear" w:color="auto" w:fill="FEFEFE"/>
          </w:tcPr>
          <w:p>
            <w:pPr>
              <w:spacing w:after="0"/>
              <w:rPr>
                <w:sz w:val="24"/>
                <w:szCs w:val="24"/>
                <w:color w:val="auto"/>
              </w:rPr>
            </w:pP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221</w:t>
            </w:r>
          </w:p>
        </w:tc>
      </w:tr>
      <w:tr>
        <w:trPr>
          <w:trHeight w:val="307"/>
        </w:trPr>
        <w:tc>
          <w:tcPr>
            <w:tcW w:w="7600" w:type="dxa"/>
            <w:vAlign w:val="bottom"/>
            <w:shd w:val="clear" w:color="auto" w:fill="E4E4E4"/>
          </w:tcPr>
          <w:p>
            <w:pPr>
              <w:ind w:left="40"/>
              <w:spacing w:after="0"/>
              <w:rPr>
                <w:sz w:val="20"/>
                <w:szCs w:val="20"/>
                <w:color w:val="auto"/>
              </w:rPr>
            </w:pPr>
            <w:r>
              <w:rPr>
                <w:rFonts w:ascii="Arial" w:cs="Arial" w:eastAsia="Arial" w:hAnsi="Arial"/>
                <w:sz w:val="20"/>
                <w:szCs w:val="20"/>
                <w:color w:val="auto"/>
              </w:rPr>
              <w:t>Asset retirement obligation</w:t>
            </w:r>
          </w:p>
        </w:tc>
        <w:tc>
          <w:tcPr>
            <w:tcW w:w="140" w:type="dxa"/>
            <w:vAlign w:val="bottom"/>
            <w:shd w:val="clear" w:color="auto" w:fill="E4E4E4"/>
          </w:tcPr>
          <w:p>
            <w:pPr>
              <w:spacing w:after="0"/>
              <w:rPr>
                <w:sz w:val="24"/>
                <w:szCs w:val="24"/>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20"/>
                <w:szCs w:val="20"/>
                <w:color w:val="auto"/>
              </w:rPr>
              <w:t>90</w:t>
            </w:r>
          </w:p>
        </w:tc>
        <w:tc>
          <w:tcPr>
            <w:tcW w:w="20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81</w:t>
            </w:r>
          </w:p>
        </w:tc>
      </w:tr>
      <w:tr>
        <w:trPr>
          <w:trHeight w:val="290"/>
        </w:trPr>
        <w:tc>
          <w:tcPr>
            <w:tcW w:w="7600" w:type="dxa"/>
            <w:vAlign w:val="bottom"/>
            <w:tcBorders>
              <w:bottom w:val="single" w:sz="8" w:color="auto"/>
            </w:tcBorders>
            <w:shd w:val="clear" w:color="auto" w:fill="FEFEFE"/>
          </w:tcPr>
          <w:p>
            <w:pPr>
              <w:ind w:left="40"/>
              <w:spacing w:after="0"/>
              <w:rPr>
                <w:sz w:val="20"/>
                <w:szCs w:val="20"/>
                <w:color w:val="auto"/>
              </w:rPr>
            </w:pPr>
            <w:r>
              <w:rPr>
                <w:rFonts w:ascii="Arial" w:cs="Arial" w:eastAsia="Arial" w:hAnsi="Arial"/>
                <w:sz w:val="20"/>
                <w:szCs w:val="20"/>
                <w:color w:val="auto"/>
              </w:rPr>
              <w:t>All other long-term liabilities</w:t>
            </w:r>
          </w:p>
        </w:tc>
        <w:tc>
          <w:tcPr>
            <w:tcW w:w="140" w:type="dxa"/>
            <w:vAlign w:val="bottom"/>
            <w:tcBorders>
              <w:bottom w:val="single" w:sz="8" w:color="auto"/>
            </w:tcBorders>
            <w:shd w:val="clear" w:color="auto" w:fill="FEFEFE"/>
          </w:tcPr>
          <w:p>
            <w:pPr>
              <w:spacing w:after="0"/>
              <w:rPr>
                <w:sz w:val="24"/>
                <w:szCs w:val="24"/>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30</w:t>
            </w:r>
          </w:p>
        </w:tc>
        <w:tc>
          <w:tcPr>
            <w:tcW w:w="20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18</w:t>
            </w:r>
          </w:p>
        </w:tc>
      </w:tr>
      <w:tr>
        <w:trPr>
          <w:trHeight w:val="280"/>
        </w:trPr>
        <w:tc>
          <w:tcPr>
            <w:tcW w:w="7600" w:type="dxa"/>
            <w:vAlign w:val="bottom"/>
            <w:tcBorders>
              <w:bottom w:val="single" w:sz="8" w:color="auto"/>
            </w:tcBorders>
            <w:shd w:val="clear" w:color="auto" w:fill="E4E4E4"/>
          </w:tcPr>
          <w:p>
            <w:pPr>
              <w:ind w:left="260"/>
              <w:spacing w:after="0"/>
              <w:rPr>
                <w:sz w:val="20"/>
                <w:szCs w:val="20"/>
                <w:color w:val="auto"/>
              </w:rPr>
            </w:pPr>
            <w:r>
              <w:rPr>
                <w:rFonts w:ascii="Arial" w:cs="Arial" w:eastAsia="Arial" w:hAnsi="Arial"/>
                <w:sz w:val="20"/>
                <w:szCs w:val="20"/>
                <w:color w:val="auto"/>
              </w:rPr>
              <w:t>Total other long-term liabilities</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1,184</w:t>
            </w:r>
          </w:p>
        </w:tc>
        <w:tc>
          <w:tcPr>
            <w:tcW w:w="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20"/>
                <w:szCs w:val="20"/>
                <w:color w:val="auto"/>
              </w:rPr>
              <w:t>1,050</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color w:val="auto"/>
        </w:rPr>
        <w:t>Note N. Contingent Obligations, Contingencies, and Commitments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Contingent Contractual Obligations</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Legal Contingencies</w:t>
      </w:r>
    </w:p>
    <w:p>
      <w:pPr>
        <w:spacing w:after="0" w:line="146" w:lineRule="exact"/>
        <w:rPr>
          <w:sz w:val="20"/>
          <w:szCs w:val="20"/>
          <w:color w:val="auto"/>
        </w:rPr>
      </w:pPr>
    </w:p>
    <w:p>
      <w:pPr>
        <w:ind w:right="180"/>
        <w:spacing w:after="0" w:line="266" w:lineRule="auto"/>
        <w:rPr>
          <w:sz w:val="20"/>
          <w:szCs w:val="20"/>
          <w:color w:val="auto"/>
        </w:rPr>
      </w:pPr>
      <w:r>
        <w:rPr>
          <w:rFonts w:ascii="Arial" w:cs="Arial" w:eastAsia="Arial" w:hAnsi="Arial"/>
          <w:sz w:val="20"/>
          <w:szCs w:val="20"/>
          <w:color w:val="auto"/>
        </w:rPr>
        <w:t>TJX is subject to certain legal proceedings, lawsuits, disputes and claims that arise from time to time in the ordinary course of its business. TJX has accrued immaterial amounts in the accompanying Consolidated Financial Statements for certain of its legal proceedings.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Letters of Credit</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TJX had outstanding letters of credit totaling $13 million as of January 31, 2026 and $36 million as of February 1, 2025. Letters of credit are issued by TJX primarily for the purchase of inventory.</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auto"/>
        </w:rPr>
        <w:t>Note O. Supplemental Cash Flow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TJX’s cash payments for interest and income taxes and non-cash investing and financing activities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0"/>
              </w:rPr>
              <w:t>Fiscal Year Ended</w:t>
            </w:r>
          </w:p>
        </w:tc>
        <w:tc>
          <w:tcPr>
            <w:tcW w:w="1140" w:type="dxa"/>
            <w:vAlign w:val="bottom"/>
            <w:tcBorders>
              <w:bottom w:val="single" w:sz="8" w:color="auto"/>
            </w:tcBorders>
          </w:tcPr>
          <w:p>
            <w:pPr>
              <w:spacing w:after="0"/>
              <w:rPr>
                <w:sz w:val="22"/>
                <w:szCs w:val="22"/>
                <w:color w:val="auto"/>
              </w:rPr>
            </w:pPr>
          </w:p>
        </w:tc>
      </w:tr>
      <w:tr>
        <w:trPr>
          <w:trHeight w:val="212"/>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Arial" w:cs="Arial" w:eastAsia="Arial" w:hAnsi="Arial"/>
                <w:sz w:val="20"/>
                <w:szCs w:val="20"/>
                <w:color w:val="auto"/>
                <w:w w:val="95"/>
              </w:rPr>
              <w:t>January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89"/>
              </w:rPr>
              <w:t>February 1,</w:t>
            </w:r>
          </w:p>
        </w:tc>
        <w:tc>
          <w:tcPr>
            <w:tcW w:w="180" w:type="dxa"/>
            <w:vAlign w:val="bottom"/>
          </w:tcPr>
          <w:p>
            <w:pPr>
              <w:spacing w:after="0"/>
              <w:rPr>
                <w:sz w:val="18"/>
                <w:szCs w:val="18"/>
                <w:color w:val="auto"/>
              </w:rPr>
            </w:pPr>
          </w:p>
        </w:tc>
        <w:tc>
          <w:tcPr>
            <w:tcW w:w="1140" w:type="dxa"/>
            <w:vAlign w:val="bottom"/>
          </w:tcPr>
          <w:p>
            <w:pPr>
              <w:jc w:val="center"/>
              <w:ind w:right="80"/>
              <w:spacing w:after="0" w:line="212" w:lineRule="exact"/>
              <w:rPr>
                <w:sz w:val="20"/>
                <w:szCs w:val="20"/>
                <w:color w:val="auto"/>
              </w:rPr>
            </w:pPr>
            <w:r>
              <w:rPr>
                <w:rFonts w:ascii="Arial" w:cs="Arial" w:eastAsia="Arial" w:hAnsi="Arial"/>
                <w:sz w:val="20"/>
                <w:szCs w:val="20"/>
                <w:color w:val="auto"/>
                <w:w w:val="89"/>
              </w:rPr>
              <w:t>February 3,</w:t>
            </w:r>
          </w:p>
        </w:tc>
      </w:tr>
      <w:tr>
        <w:trPr>
          <w:trHeight w:val="26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color w:val="auto"/>
              </w:rPr>
              <w:t>2026</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2025</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20"/>
                <w:szCs w:val="20"/>
                <w:color w:val="auto"/>
                <w:w w:val="89"/>
              </w:rPr>
              <w:t>2024</w:t>
            </w:r>
          </w:p>
        </w:tc>
      </w:tr>
      <w:tr>
        <w:trPr>
          <w:trHeight w:val="284"/>
        </w:trPr>
        <w:tc>
          <w:tcPr>
            <w:tcW w:w="6280" w:type="dxa"/>
            <w:vAlign w:val="bottom"/>
            <w:shd w:val="clear" w:color="auto" w:fill="FEFEFE"/>
          </w:tcPr>
          <w:p>
            <w:pPr>
              <w:spacing w:after="0"/>
              <w:rPr>
                <w:sz w:val="24"/>
                <w:szCs w:val="24"/>
                <w:color w:val="auto"/>
              </w:rPr>
            </w:pP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jc w:val="center"/>
              <w:ind w:right="80"/>
              <w:spacing w:after="0"/>
              <w:rPr>
                <w:sz w:val="20"/>
                <w:szCs w:val="20"/>
                <w:color w:val="auto"/>
              </w:rPr>
            </w:pPr>
            <w:r>
              <w:rPr>
                <w:rFonts w:ascii="Arial" w:cs="Arial" w:eastAsia="Arial" w:hAnsi="Arial"/>
                <w:sz w:val="20"/>
                <w:szCs w:val="20"/>
                <w:color w:val="auto"/>
                <w:w w:val="89"/>
              </w:rPr>
              <w:t>(53 weeks)</w:t>
            </w:r>
          </w:p>
        </w:tc>
      </w:tr>
      <w:tr>
        <w:trPr>
          <w:trHeight w:val="287"/>
        </w:trPr>
        <w:tc>
          <w:tcPr>
            <w:tcW w:w="62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20"/>
                <w:szCs w:val="20"/>
                <w:color w:val="auto"/>
              </w:rPr>
              <w:t>Cash paid for:</w:t>
            </w:r>
          </w:p>
        </w:tc>
        <w:tc>
          <w:tcPr>
            <w:tcW w:w="14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spacing w:after="0"/>
              <w:rPr>
                <w:sz w:val="24"/>
                <w:szCs w:val="24"/>
                <w:color w:val="auto"/>
              </w:rPr>
            </w:pPr>
          </w:p>
        </w:tc>
      </w:tr>
      <w:tr>
        <w:trPr>
          <w:trHeight w:val="293"/>
        </w:trPr>
        <w:tc>
          <w:tcPr>
            <w:tcW w:w="6280" w:type="dxa"/>
            <w:vAlign w:val="bottom"/>
            <w:shd w:val="clear" w:color="auto" w:fill="FEFEFE"/>
          </w:tcPr>
          <w:p>
            <w:pPr>
              <w:ind w:left="260"/>
              <w:spacing w:after="0"/>
              <w:rPr>
                <w:sz w:val="20"/>
                <w:szCs w:val="20"/>
                <w:color w:val="auto"/>
              </w:rPr>
            </w:pPr>
            <w:r>
              <w:rPr>
                <w:rFonts w:ascii="Arial" w:cs="Arial" w:eastAsia="Arial" w:hAnsi="Arial"/>
                <w:sz w:val="20"/>
                <w:szCs w:val="20"/>
                <w:color w:val="auto"/>
              </w:rPr>
              <w:t>Interest on debt</w:t>
            </w:r>
          </w:p>
        </w:tc>
        <w:tc>
          <w:tcPr>
            <w:tcW w:w="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74</w:t>
            </w:r>
          </w:p>
        </w:tc>
        <w:tc>
          <w:tcPr>
            <w:tcW w:w="260" w:type="dxa"/>
            <w:vAlign w:val="bottom"/>
            <w:gridSpan w:val="2"/>
            <w:shd w:val="clear" w:color="auto" w:fill="FEFEFE"/>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74</w:t>
            </w:r>
          </w:p>
        </w:tc>
        <w:tc>
          <w:tcPr>
            <w:tcW w:w="180" w:type="dxa"/>
            <w:vAlign w:val="bottom"/>
            <w:shd w:val="clear" w:color="auto" w:fill="FEFEFE"/>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FEFEFE"/>
          </w:tcPr>
          <w:p>
            <w:pPr>
              <w:jc w:val="right"/>
              <w:spacing w:after="0"/>
              <w:rPr>
                <w:sz w:val="20"/>
                <w:szCs w:val="20"/>
                <w:color w:val="auto"/>
              </w:rPr>
            </w:pPr>
            <w:r>
              <w:rPr>
                <w:rFonts w:ascii="Arial" w:cs="Arial" w:eastAsia="Arial" w:hAnsi="Arial"/>
                <w:sz w:val="20"/>
                <w:szCs w:val="20"/>
                <w:color w:val="auto"/>
              </w:rPr>
              <w:t>80</w:t>
            </w:r>
          </w:p>
        </w:tc>
      </w:tr>
      <w:tr>
        <w:trPr>
          <w:trHeight w:val="306"/>
        </w:trPr>
        <w:tc>
          <w:tcPr>
            <w:tcW w:w="6280" w:type="dxa"/>
            <w:vAlign w:val="bottom"/>
            <w:shd w:val="clear" w:color="auto" w:fill="E4E4E4"/>
          </w:tcPr>
          <w:p>
            <w:pPr>
              <w:ind w:left="260"/>
              <w:spacing w:after="0"/>
              <w:rPr>
                <w:sz w:val="20"/>
                <w:szCs w:val="20"/>
                <w:color w:val="auto"/>
              </w:rPr>
            </w:pPr>
            <w:r>
              <w:rPr>
                <w:rFonts w:ascii="Arial" w:cs="Arial" w:eastAsia="Arial" w:hAnsi="Arial"/>
                <w:sz w:val="20"/>
                <w:szCs w:val="20"/>
                <w:color w:val="auto"/>
              </w:rPr>
              <w:t>Income taxes</w:t>
            </w:r>
          </w:p>
        </w:tc>
        <w:tc>
          <w:tcPr>
            <w:tcW w:w="14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1,471</w:t>
            </w:r>
          </w:p>
        </w:tc>
        <w:tc>
          <w:tcPr>
            <w:tcW w:w="8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1,632</w:t>
            </w:r>
          </w:p>
        </w:tc>
        <w:tc>
          <w:tcPr>
            <w:tcW w:w="18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1,432</w:t>
            </w:r>
          </w:p>
        </w:tc>
      </w:tr>
      <w:tr>
        <w:trPr>
          <w:trHeight w:val="297"/>
        </w:trPr>
        <w:tc>
          <w:tcPr>
            <w:tcW w:w="6280" w:type="dxa"/>
            <w:vAlign w:val="bottom"/>
            <w:shd w:val="clear" w:color="auto" w:fill="FEFEFE"/>
          </w:tcPr>
          <w:p>
            <w:pPr>
              <w:ind w:left="40"/>
              <w:spacing w:after="0"/>
              <w:rPr>
                <w:sz w:val="20"/>
                <w:szCs w:val="20"/>
                <w:color w:val="auto"/>
              </w:rPr>
            </w:pPr>
            <w:r>
              <w:rPr>
                <w:rFonts w:ascii="Arial" w:cs="Arial" w:eastAsia="Arial" w:hAnsi="Arial"/>
                <w:sz w:val="20"/>
                <w:szCs w:val="20"/>
                <w:color w:val="auto"/>
              </w:rPr>
              <w:t>Non-cash investing and financing activity:</w:t>
            </w:r>
          </w:p>
        </w:tc>
        <w:tc>
          <w:tcPr>
            <w:tcW w:w="140" w:type="dxa"/>
            <w:vAlign w:val="bottom"/>
            <w:shd w:val="clear" w:color="auto" w:fill="FEFEFE"/>
          </w:tcPr>
          <w:p>
            <w:pPr>
              <w:spacing w:after="0"/>
              <w:rPr>
                <w:sz w:val="24"/>
                <w:szCs w:val="24"/>
                <w:color w:val="auto"/>
              </w:rPr>
            </w:pPr>
          </w:p>
        </w:tc>
        <w:tc>
          <w:tcPr>
            <w:tcW w:w="110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1140" w:type="dxa"/>
            <w:vAlign w:val="bottom"/>
            <w:shd w:val="clear" w:color="auto" w:fill="FEFEFE"/>
          </w:tcPr>
          <w:p>
            <w:pPr>
              <w:spacing w:after="0"/>
              <w:rPr>
                <w:sz w:val="24"/>
                <w:szCs w:val="24"/>
                <w:color w:val="auto"/>
              </w:rPr>
            </w:pPr>
          </w:p>
        </w:tc>
      </w:tr>
      <w:tr>
        <w:trPr>
          <w:trHeight w:val="303"/>
        </w:trPr>
        <w:tc>
          <w:tcPr>
            <w:tcW w:w="6280" w:type="dxa"/>
            <w:vAlign w:val="bottom"/>
            <w:shd w:val="clear" w:color="auto" w:fill="E4E4E4"/>
          </w:tcPr>
          <w:p>
            <w:pPr>
              <w:ind w:left="260"/>
              <w:spacing w:after="0"/>
              <w:rPr>
                <w:sz w:val="20"/>
                <w:szCs w:val="20"/>
                <w:color w:val="auto"/>
              </w:rPr>
            </w:pPr>
            <w:r>
              <w:rPr>
                <w:rFonts w:ascii="Arial" w:cs="Arial" w:eastAsia="Arial" w:hAnsi="Arial"/>
                <w:sz w:val="20"/>
                <w:szCs w:val="20"/>
                <w:color w:val="auto"/>
              </w:rPr>
              <w:t>Dividends payable</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auto"/>
              </w:rPr>
              <w:t>50</w:t>
            </w:r>
          </w:p>
        </w:tc>
        <w:tc>
          <w:tcPr>
            <w:tcW w:w="26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44</w:t>
            </w:r>
          </w:p>
        </w:tc>
        <w:tc>
          <w:tcPr>
            <w:tcW w:w="180" w:type="dxa"/>
            <w:vAlign w:val="bottom"/>
            <w:shd w:val="clear" w:color="auto" w:fill="E4E4E4"/>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E4E4E4"/>
          </w:tcPr>
          <w:p>
            <w:pPr>
              <w:jc w:val="right"/>
              <w:spacing w:after="0"/>
              <w:rPr>
                <w:sz w:val="20"/>
                <w:szCs w:val="20"/>
                <w:color w:val="auto"/>
              </w:rPr>
            </w:pPr>
            <w:r>
              <w:rPr>
                <w:rFonts w:ascii="Arial" w:cs="Arial" w:eastAsia="Arial" w:hAnsi="Arial"/>
                <w:sz w:val="20"/>
                <w:szCs w:val="20"/>
                <w:color w:val="auto"/>
              </w:rPr>
              <w:t>37</w:t>
            </w:r>
          </w:p>
        </w:tc>
      </w:tr>
      <w:tr>
        <w:trPr>
          <w:trHeight w:val="290"/>
        </w:trPr>
        <w:tc>
          <w:tcPr>
            <w:tcW w:w="6280" w:type="dxa"/>
            <w:vAlign w:val="bottom"/>
            <w:tcBorders>
              <w:bottom w:val="single" w:sz="8" w:color="auto"/>
            </w:tcBorders>
            <w:shd w:val="clear" w:color="auto" w:fill="FEFEFE"/>
          </w:tcPr>
          <w:p>
            <w:pPr>
              <w:ind w:left="260"/>
              <w:spacing w:after="0"/>
              <w:rPr>
                <w:sz w:val="20"/>
                <w:szCs w:val="20"/>
                <w:color w:val="auto"/>
              </w:rPr>
            </w:pPr>
            <w:r>
              <w:rPr>
                <w:rFonts w:ascii="Arial" w:cs="Arial" w:eastAsia="Arial" w:hAnsi="Arial"/>
                <w:sz w:val="20"/>
                <w:szCs w:val="20"/>
                <w:color w:val="auto"/>
              </w:rPr>
              <w:t>Property additions</w:t>
            </w:r>
          </w:p>
        </w:tc>
        <w:tc>
          <w:tcPr>
            <w:tcW w:w="140" w:type="dxa"/>
            <w:vAlign w:val="bottom"/>
            <w:tcBorders>
              <w:bottom w:val="single" w:sz="8" w:color="auto"/>
            </w:tcBorders>
            <w:shd w:val="clear" w:color="auto" w:fill="FEFEFE"/>
          </w:tcPr>
          <w:p>
            <w:pPr>
              <w:spacing w:after="0"/>
              <w:rPr>
                <w:sz w:val="24"/>
                <w:szCs w:val="24"/>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48</w:t>
            </w:r>
          </w:p>
        </w:tc>
        <w:tc>
          <w:tcPr>
            <w:tcW w:w="80" w:type="dxa"/>
            <w:vAlign w:val="bottom"/>
            <w:tcBorders>
              <w:bottom w:val="single" w:sz="8" w:color="auto"/>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14</w:t>
            </w:r>
          </w:p>
        </w:tc>
        <w:tc>
          <w:tcPr>
            <w:tcW w:w="180" w:type="dxa"/>
            <w:vAlign w:val="bottom"/>
            <w:tcBorders>
              <w:bottom w:val="single" w:sz="8" w:color="auto"/>
            </w:tcBorders>
            <w:shd w:val="clear" w:color="auto" w:fill="FEFEFE"/>
          </w:tcPr>
          <w:p>
            <w:pPr>
              <w:spacing w:after="0"/>
              <w:rPr>
                <w:sz w:val="24"/>
                <w:szCs w:val="24"/>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Arial" w:cs="Arial" w:eastAsia="Arial" w:hAnsi="Arial"/>
                <w:sz w:val="20"/>
                <w:szCs w:val="20"/>
                <w:color w:val="auto"/>
              </w:rPr>
              <w:t>47</w:t>
            </w:r>
          </w:p>
        </w:tc>
      </w:tr>
    </w:tbl>
    <w:p>
      <w:pPr>
        <w:spacing w:after="0" w:line="200" w:lineRule="exact"/>
        <w:rPr>
          <w:sz w:val="20"/>
          <w:szCs w:val="20"/>
          <w:color w:val="auto"/>
        </w:rPr>
      </w:pPr>
    </w:p>
    <w:p>
      <w:pPr>
        <w:sectPr>
          <w:pgSz w:w="12240" w:h="15841" w:orient="portrait"/>
          <w:cols w:equalWidth="0" w:num="1">
            <w:col w:w="10240"/>
          </w:cols>
          <w:pgMar w:left="1000" w:top="792"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2240" w:h="15841" w:orient="portrait"/>
          <w:cols w:equalWidth="0" w:num="1">
            <w:col w:w="10240"/>
          </w:cols>
          <w:pgMar w:left="1000" w:top="792" w:right="1001" w:bottom="0"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3035" cy="10059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73035" cy="1005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Franklin Gothic Book" w:cs="Franklin Gothic Book" w:eastAsia="Franklin Gothic Book" w:hAnsi="Franklin Gothic Book"/>
          <w:sz w:val="20"/>
          <w:szCs w:val="20"/>
          <w:color w:val="auto"/>
        </w:rPr>
        <w:t>[THIS PAGE INTENTIONALLY LEFT BLANK]</w:t>
      </w:r>
    </w:p>
    <w:p>
      <w:pPr>
        <w:sectPr>
          <w:pgSz w:w="12240" w:h="15841" w:orient="portrait"/>
          <w:cols w:equalWidth="0" w:num="1">
            <w:col w:w="9361"/>
          </w:cols>
          <w:pgMar w:left="1440" w:top="1440"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71"/>
        </w:trPr>
        <w:tc>
          <w:tcPr>
            <w:tcW w:w="3440" w:type="dxa"/>
            <w:vAlign w:val="bottom"/>
          </w:tcPr>
          <w:p>
            <w:pPr>
              <w:spacing w:after="0"/>
              <w:rPr>
                <w:sz w:val="20"/>
                <w:szCs w:val="20"/>
                <w:color w:val="auto"/>
              </w:rPr>
            </w:pPr>
            <w:r>
              <w:rPr>
                <w:rFonts w:ascii="Arial" w:cs="Arial" w:eastAsia="Arial" w:hAnsi="Arial"/>
                <w:sz w:val="30"/>
                <w:szCs w:val="30"/>
                <w:b w:val="1"/>
                <w:bCs w:val="1"/>
                <w:color w:val="auto"/>
                <w:w w:val="99"/>
              </w:rPr>
              <w:t>BOARD OF DIRECTORS</w:t>
            </w:r>
          </w:p>
        </w:tc>
        <w:tc>
          <w:tcPr>
            <w:tcW w:w="3040" w:type="dxa"/>
            <w:vAlign w:val="bottom"/>
          </w:tcPr>
          <w:p>
            <w:pPr>
              <w:spacing w:after="0"/>
              <w:rPr>
                <w:sz w:val="24"/>
                <w:szCs w:val="24"/>
                <w:color w:val="auto"/>
              </w:rPr>
            </w:pPr>
          </w:p>
        </w:tc>
        <w:tc>
          <w:tcPr>
            <w:tcW w:w="3680" w:type="dxa"/>
            <w:vAlign w:val="bottom"/>
          </w:tcPr>
          <w:p>
            <w:pPr>
              <w:ind w:left="240"/>
              <w:spacing w:after="0"/>
              <w:rPr>
                <w:sz w:val="20"/>
                <w:szCs w:val="20"/>
                <w:color w:val="auto"/>
              </w:rPr>
            </w:pPr>
            <w:r>
              <w:rPr>
                <w:rFonts w:ascii="Arial" w:cs="Arial" w:eastAsia="Arial" w:hAnsi="Arial"/>
                <w:sz w:val="30"/>
                <w:szCs w:val="30"/>
                <w:b w:val="1"/>
                <w:bCs w:val="1"/>
                <w:color w:val="auto"/>
              </w:rPr>
              <w:t>COMMITTEES OF THE</w:t>
            </w:r>
          </w:p>
        </w:tc>
      </w:tr>
      <w:tr>
        <w:trPr>
          <w:trHeight w:val="360"/>
        </w:trPr>
        <w:tc>
          <w:tcPr>
            <w:tcW w:w="3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80" w:type="dxa"/>
            <w:vAlign w:val="bottom"/>
          </w:tcPr>
          <w:p>
            <w:pPr>
              <w:ind w:left="240"/>
              <w:spacing w:after="0"/>
              <w:rPr>
                <w:sz w:val="20"/>
                <w:szCs w:val="20"/>
                <w:color w:val="auto"/>
              </w:rPr>
            </w:pPr>
            <w:r>
              <w:rPr>
                <w:rFonts w:ascii="Arial" w:cs="Arial" w:eastAsia="Arial" w:hAnsi="Arial"/>
                <w:sz w:val="30"/>
                <w:szCs w:val="30"/>
                <w:b w:val="1"/>
                <w:bCs w:val="1"/>
                <w:color w:val="auto"/>
                <w:w w:val="99"/>
              </w:rPr>
              <w:t>BOARD OF DIRECTORS</w:t>
            </w:r>
          </w:p>
        </w:tc>
      </w:tr>
      <w:tr>
        <w:trPr>
          <w:trHeight w:val="892"/>
        </w:trPr>
        <w:tc>
          <w:tcPr>
            <w:tcW w:w="3440" w:type="dxa"/>
            <w:vAlign w:val="bottom"/>
          </w:tcPr>
          <w:p>
            <w:pPr>
              <w:spacing w:after="0"/>
              <w:rPr>
                <w:sz w:val="20"/>
                <w:szCs w:val="20"/>
                <w:color w:val="auto"/>
              </w:rPr>
            </w:pPr>
            <w:r>
              <w:rPr>
                <w:rFonts w:ascii="Arial" w:cs="Arial" w:eastAsia="Arial" w:hAnsi="Arial"/>
                <w:sz w:val="22"/>
                <w:szCs w:val="22"/>
                <w:b w:val="1"/>
                <w:bCs w:val="1"/>
                <w:color w:val="auto"/>
              </w:rPr>
              <w:t>Carol Meyrowitz</w:t>
            </w:r>
          </w:p>
        </w:tc>
        <w:tc>
          <w:tcPr>
            <w:tcW w:w="3040" w:type="dxa"/>
            <w:vAlign w:val="bottom"/>
          </w:tcPr>
          <w:p>
            <w:pPr>
              <w:spacing w:after="0"/>
              <w:rPr>
                <w:sz w:val="20"/>
                <w:szCs w:val="20"/>
                <w:color w:val="auto"/>
              </w:rPr>
            </w:pPr>
            <w:r>
              <w:rPr>
                <w:rFonts w:ascii="Arial" w:cs="Arial" w:eastAsia="Arial" w:hAnsi="Arial"/>
                <w:sz w:val="22"/>
                <w:szCs w:val="22"/>
                <w:b w:val="1"/>
                <w:bCs w:val="1"/>
                <w:color w:val="auto"/>
              </w:rPr>
              <w:t>Ernie Herrman</w:t>
            </w: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AUDIT &amp; FINANCE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Executive Chairman of the Board,</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Chief Executive Officer</w:t>
            </w: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COMMITTEE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The TJX Companies, Inc.</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and President,</w:t>
            </w:r>
          </w:p>
        </w:tc>
        <w:tc>
          <w:tcPr>
            <w:tcW w:w="3680" w:type="dxa"/>
            <w:vAlign w:val="bottom"/>
          </w:tcPr>
          <w:p>
            <w:pPr>
              <w:ind w:left="420"/>
              <w:spacing w:after="0"/>
              <w:rPr>
                <w:sz w:val="20"/>
                <w:szCs w:val="20"/>
                <w:color w:val="auto"/>
              </w:rPr>
            </w:pPr>
            <w:r>
              <w:rPr>
                <w:rFonts w:ascii="Arial" w:cs="Arial" w:eastAsia="Arial" w:hAnsi="Arial"/>
                <w:sz w:val="22"/>
                <w:szCs w:val="22"/>
                <w:color w:val="auto"/>
              </w:rPr>
              <w:t>Amy B. Lane, Chair</w:t>
            </w:r>
          </w:p>
        </w:tc>
      </w:tr>
      <w:tr>
        <w:trPr>
          <w:trHeight w:val="300"/>
        </w:trPr>
        <w:tc>
          <w:tcPr>
            <w:tcW w:w="344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22"/>
                <w:szCs w:val="22"/>
                <w:i w:val="1"/>
                <w:iCs w:val="1"/>
                <w:color w:val="auto"/>
              </w:rPr>
              <w:t>The TJX Companies, Inc.</w:t>
            </w:r>
          </w:p>
        </w:tc>
        <w:tc>
          <w:tcPr>
            <w:tcW w:w="3680" w:type="dxa"/>
            <w:vAlign w:val="bottom"/>
          </w:tcPr>
          <w:p>
            <w:pPr>
              <w:ind w:left="420"/>
              <w:spacing w:after="0"/>
              <w:rPr>
                <w:sz w:val="20"/>
                <w:szCs w:val="20"/>
                <w:color w:val="auto"/>
              </w:rPr>
            </w:pPr>
            <w:r>
              <w:rPr>
                <w:rFonts w:ascii="Arial" w:cs="Arial" w:eastAsia="Arial" w:hAnsi="Arial"/>
                <w:sz w:val="22"/>
                <w:szCs w:val="22"/>
                <w:color w:val="auto"/>
              </w:rPr>
              <w:t>Rosemary T. Berkery</w:t>
            </w:r>
          </w:p>
        </w:tc>
      </w:tr>
      <w:tr>
        <w:trPr>
          <w:trHeight w:val="300"/>
        </w:trPr>
        <w:tc>
          <w:tcPr>
            <w:tcW w:w="3440" w:type="dxa"/>
            <w:vAlign w:val="bottom"/>
          </w:tcPr>
          <w:p>
            <w:pPr>
              <w:spacing w:after="0"/>
              <w:rPr>
                <w:sz w:val="20"/>
                <w:szCs w:val="20"/>
                <w:color w:val="auto"/>
              </w:rPr>
            </w:pPr>
            <w:r>
              <w:rPr>
                <w:rFonts w:ascii="Arial" w:cs="Arial" w:eastAsia="Arial" w:hAnsi="Arial"/>
                <w:sz w:val="22"/>
                <w:szCs w:val="22"/>
                <w:b w:val="1"/>
                <w:bCs w:val="1"/>
                <w:color w:val="auto"/>
              </w:rPr>
              <w:t>José B. Alvarez</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color w:val="auto"/>
              </w:rPr>
              <w:t>David T. Ching</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Clinical Professor of Business</w:t>
            </w:r>
          </w:p>
        </w:tc>
        <w:tc>
          <w:tcPr>
            <w:tcW w:w="3040" w:type="dxa"/>
            <w:vAlign w:val="bottom"/>
          </w:tcPr>
          <w:p>
            <w:pPr>
              <w:spacing w:after="0"/>
              <w:rPr>
                <w:sz w:val="20"/>
                <w:szCs w:val="20"/>
                <w:color w:val="auto"/>
              </w:rPr>
            </w:pPr>
            <w:r>
              <w:rPr>
                <w:rFonts w:ascii="Arial" w:cs="Arial" w:eastAsia="Arial" w:hAnsi="Arial"/>
                <w:sz w:val="22"/>
                <w:szCs w:val="22"/>
                <w:b w:val="1"/>
                <w:bCs w:val="1"/>
                <w:color w:val="auto"/>
              </w:rPr>
              <w:t>Amy B. Lane</w:t>
            </w:r>
          </w:p>
        </w:tc>
        <w:tc>
          <w:tcPr>
            <w:tcW w:w="3680" w:type="dxa"/>
            <w:vAlign w:val="bottom"/>
          </w:tcPr>
          <w:p>
            <w:pPr>
              <w:ind w:left="420"/>
              <w:spacing w:after="0"/>
              <w:rPr>
                <w:sz w:val="20"/>
                <w:szCs w:val="20"/>
                <w:color w:val="auto"/>
              </w:rPr>
            </w:pPr>
            <w:r>
              <w:rPr>
                <w:rFonts w:ascii="Arial" w:cs="Arial" w:eastAsia="Arial" w:hAnsi="Arial"/>
                <w:sz w:val="22"/>
                <w:szCs w:val="22"/>
                <w:color w:val="auto"/>
              </w:rPr>
              <w:t>C. Kim Goodwin</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Administration, Tuck School of</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Former Managing Director</w:t>
            </w:r>
          </w:p>
        </w:tc>
        <w:tc>
          <w:tcPr>
            <w:tcW w:w="3680" w:type="dxa"/>
            <w:vAlign w:val="bottom"/>
          </w:tcPr>
          <w:p>
            <w:pPr>
              <w:ind w:left="420"/>
              <w:spacing w:after="0"/>
              <w:rPr>
                <w:sz w:val="20"/>
                <w:szCs w:val="20"/>
                <w:color w:val="auto"/>
              </w:rPr>
            </w:pPr>
            <w:r>
              <w:rPr>
                <w:rFonts w:ascii="Arial" w:cs="Arial" w:eastAsia="Arial" w:hAnsi="Arial"/>
                <w:sz w:val="22"/>
                <w:szCs w:val="22"/>
                <w:color w:val="auto"/>
              </w:rPr>
              <w:t>Charles F. Wagner, Jr.</w:t>
            </w:r>
          </w:p>
        </w:tc>
      </w:tr>
      <w:tr>
        <w:trPr>
          <w:trHeight w:val="299"/>
        </w:trPr>
        <w:tc>
          <w:tcPr>
            <w:tcW w:w="3440" w:type="dxa"/>
            <w:vAlign w:val="bottom"/>
          </w:tcPr>
          <w:p>
            <w:pPr>
              <w:spacing w:after="0"/>
              <w:rPr>
                <w:sz w:val="20"/>
                <w:szCs w:val="20"/>
                <w:color w:val="auto"/>
              </w:rPr>
            </w:pPr>
            <w:r>
              <w:rPr>
                <w:rFonts w:ascii="Arial" w:cs="Arial" w:eastAsia="Arial" w:hAnsi="Arial"/>
                <w:sz w:val="22"/>
                <w:szCs w:val="22"/>
                <w:i w:val="1"/>
                <w:iCs w:val="1"/>
                <w:color w:val="auto"/>
              </w:rPr>
              <w:t>Business at Dartmouth</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and Group Leader,</w:t>
            </w:r>
          </w:p>
        </w:tc>
        <w:tc>
          <w:tcPr>
            <w:tcW w:w="3680" w:type="dxa"/>
            <w:vAlign w:val="bottom"/>
          </w:tcPr>
          <w:p>
            <w:pPr>
              <w:spacing w:after="0"/>
              <w:rPr>
                <w:sz w:val="24"/>
                <w:szCs w:val="24"/>
                <w:color w:val="auto"/>
              </w:rPr>
            </w:pPr>
          </w:p>
        </w:tc>
      </w:tr>
      <w:tr>
        <w:trPr>
          <w:trHeight w:val="301"/>
        </w:trPr>
        <w:tc>
          <w:tcPr>
            <w:tcW w:w="344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22"/>
                <w:szCs w:val="22"/>
                <w:i w:val="1"/>
                <w:iCs w:val="1"/>
                <w:color w:val="auto"/>
              </w:rPr>
              <w:t>Global Retailing Investment</w:t>
            </w: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COMPENSATION</w:t>
            </w:r>
          </w:p>
        </w:tc>
      </w:tr>
      <w:tr>
        <w:trPr>
          <w:trHeight w:val="300"/>
        </w:trPr>
        <w:tc>
          <w:tcPr>
            <w:tcW w:w="3440" w:type="dxa"/>
            <w:vAlign w:val="bottom"/>
          </w:tcPr>
          <w:p>
            <w:pPr>
              <w:spacing w:after="0"/>
              <w:rPr>
                <w:sz w:val="20"/>
                <w:szCs w:val="20"/>
                <w:color w:val="auto"/>
              </w:rPr>
            </w:pPr>
            <w:r>
              <w:rPr>
                <w:rFonts w:ascii="Arial" w:cs="Arial" w:eastAsia="Arial" w:hAnsi="Arial"/>
                <w:sz w:val="22"/>
                <w:szCs w:val="22"/>
                <w:b w:val="1"/>
                <w:bCs w:val="1"/>
                <w:color w:val="auto"/>
              </w:rPr>
              <w:t>Alan M. Bennett</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Banking Group,</w:t>
            </w: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COMMITTEE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Lead Director,</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Merrill Lynch &amp; Co., Inc.</w:t>
            </w:r>
          </w:p>
        </w:tc>
        <w:tc>
          <w:tcPr>
            <w:tcW w:w="3680" w:type="dxa"/>
            <w:vAlign w:val="bottom"/>
          </w:tcPr>
          <w:p>
            <w:pPr>
              <w:ind w:left="420"/>
              <w:spacing w:after="0"/>
              <w:rPr>
                <w:sz w:val="20"/>
                <w:szCs w:val="20"/>
                <w:color w:val="auto"/>
              </w:rPr>
            </w:pPr>
            <w:r>
              <w:rPr>
                <w:rFonts w:ascii="Arial" w:cs="Arial" w:eastAsia="Arial" w:hAnsi="Arial"/>
                <w:sz w:val="22"/>
                <w:szCs w:val="22"/>
                <w:color w:val="auto"/>
              </w:rPr>
              <w:t>Rosemary T. Berkery, Chair</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The TJX Companies, Inc.;</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color w:val="auto"/>
              </w:rPr>
              <w:t>José B. Alvarez</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Former President and</w:t>
            </w:r>
          </w:p>
        </w:tc>
        <w:tc>
          <w:tcPr>
            <w:tcW w:w="3040" w:type="dxa"/>
            <w:vAlign w:val="bottom"/>
          </w:tcPr>
          <w:p>
            <w:pPr>
              <w:spacing w:after="0"/>
              <w:rPr>
                <w:sz w:val="20"/>
                <w:szCs w:val="20"/>
                <w:color w:val="auto"/>
              </w:rPr>
            </w:pPr>
            <w:r>
              <w:rPr>
                <w:rFonts w:ascii="Arial" w:cs="Arial" w:eastAsia="Arial" w:hAnsi="Arial"/>
                <w:sz w:val="22"/>
                <w:szCs w:val="22"/>
                <w:b w:val="1"/>
                <w:bCs w:val="1"/>
                <w:color w:val="auto"/>
              </w:rPr>
              <w:t>Jackwyn L. Nemerov</w:t>
            </w:r>
          </w:p>
        </w:tc>
        <w:tc>
          <w:tcPr>
            <w:tcW w:w="3680" w:type="dxa"/>
            <w:vAlign w:val="bottom"/>
          </w:tcPr>
          <w:p>
            <w:pPr>
              <w:ind w:left="420"/>
              <w:spacing w:after="0"/>
              <w:rPr>
                <w:sz w:val="20"/>
                <w:szCs w:val="20"/>
                <w:color w:val="auto"/>
              </w:rPr>
            </w:pPr>
            <w:r>
              <w:rPr>
                <w:rFonts w:ascii="Arial" w:cs="Arial" w:eastAsia="Arial" w:hAnsi="Arial"/>
                <w:sz w:val="22"/>
                <w:szCs w:val="22"/>
                <w:color w:val="auto"/>
              </w:rPr>
              <w:t>Alan M. Bennett</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Chief Executive Officer,</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Former President and</w:t>
            </w:r>
          </w:p>
        </w:tc>
        <w:tc>
          <w:tcPr>
            <w:tcW w:w="3680" w:type="dxa"/>
            <w:vAlign w:val="bottom"/>
          </w:tcPr>
          <w:p>
            <w:pPr>
              <w:ind w:left="420"/>
              <w:spacing w:after="0"/>
              <w:rPr>
                <w:sz w:val="20"/>
                <w:szCs w:val="20"/>
                <w:color w:val="auto"/>
              </w:rPr>
            </w:pPr>
            <w:r>
              <w:rPr>
                <w:rFonts w:ascii="Arial" w:cs="Arial" w:eastAsia="Arial" w:hAnsi="Arial"/>
                <w:sz w:val="22"/>
                <w:szCs w:val="22"/>
                <w:color w:val="auto"/>
              </w:rPr>
              <w:t>C. Kim Goodwin</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H&amp;R Block, Inc.</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Chief Operating Officer,</w:t>
            </w:r>
          </w:p>
        </w:tc>
        <w:tc>
          <w:tcPr>
            <w:tcW w:w="3680" w:type="dxa"/>
            <w:vAlign w:val="bottom"/>
          </w:tcPr>
          <w:p>
            <w:pPr>
              <w:ind w:left="420"/>
              <w:spacing w:after="0"/>
              <w:rPr>
                <w:sz w:val="20"/>
                <w:szCs w:val="20"/>
                <w:color w:val="auto"/>
              </w:rPr>
            </w:pPr>
            <w:r>
              <w:rPr>
                <w:rFonts w:ascii="Arial" w:cs="Arial" w:eastAsia="Arial" w:hAnsi="Arial"/>
                <w:sz w:val="22"/>
                <w:szCs w:val="22"/>
                <w:color w:val="auto"/>
              </w:rPr>
              <w:t>Jackwyn L. Nemerov</w:t>
            </w:r>
          </w:p>
        </w:tc>
      </w:tr>
      <w:tr>
        <w:trPr>
          <w:trHeight w:val="299"/>
        </w:trPr>
        <w:tc>
          <w:tcPr>
            <w:tcW w:w="344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22"/>
                <w:szCs w:val="22"/>
                <w:i w:val="1"/>
                <w:iCs w:val="1"/>
                <w:color w:val="auto"/>
              </w:rPr>
              <w:t>Ralph Lauren Corporation</w:t>
            </w:r>
          </w:p>
        </w:tc>
        <w:tc>
          <w:tcPr>
            <w:tcW w:w="3680" w:type="dxa"/>
            <w:vAlign w:val="bottom"/>
          </w:tcPr>
          <w:p>
            <w:pPr>
              <w:spacing w:after="0"/>
              <w:rPr>
                <w:sz w:val="24"/>
                <w:szCs w:val="24"/>
                <w:color w:val="auto"/>
              </w:rPr>
            </w:pPr>
          </w:p>
        </w:tc>
      </w:tr>
      <w:tr>
        <w:trPr>
          <w:trHeight w:val="301"/>
        </w:trPr>
        <w:tc>
          <w:tcPr>
            <w:tcW w:w="3440" w:type="dxa"/>
            <w:vAlign w:val="bottom"/>
          </w:tcPr>
          <w:p>
            <w:pPr>
              <w:spacing w:after="0"/>
              <w:rPr>
                <w:sz w:val="20"/>
                <w:szCs w:val="20"/>
                <w:color w:val="auto"/>
              </w:rPr>
            </w:pPr>
            <w:r>
              <w:rPr>
                <w:rFonts w:ascii="Arial" w:cs="Arial" w:eastAsia="Arial" w:hAnsi="Arial"/>
                <w:sz w:val="22"/>
                <w:szCs w:val="22"/>
                <w:b w:val="1"/>
                <w:bCs w:val="1"/>
                <w:color w:val="auto"/>
              </w:rPr>
              <w:t>Rosemary T. Berkery</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CORPORATE GOVERNANCE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Former Chairman and CEO,</w:t>
            </w:r>
          </w:p>
        </w:tc>
        <w:tc>
          <w:tcPr>
            <w:tcW w:w="3040" w:type="dxa"/>
            <w:vAlign w:val="bottom"/>
          </w:tcPr>
          <w:p>
            <w:pPr>
              <w:spacing w:after="0"/>
              <w:rPr>
                <w:sz w:val="20"/>
                <w:szCs w:val="20"/>
                <w:color w:val="auto"/>
              </w:rPr>
            </w:pPr>
            <w:r>
              <w:rPr>
                <w:rFonts w:ascii="Arial" w:cs="Arial" w:eastAsia="Arial" w:hAnsi="Arial"/>
                <w:sz w:val="22"/>
                <w:szCs w:val="22"/>
                <w:b w:val="1"/>
                <w:bCs w:val="1"/>
                <w:color w:val="auto"/>
              </w:rPr>
              <w:t>Charles F. Wagner, Jr.</w:t>
            </w: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COMMITTEE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UBS Bank USA;</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Executive Vice President</w:t>
            </w:r>
          </w:p>
        </w:tc>
        <w:tc>
          <w:tcPr>
            <w:tcW w:w="3680" w:type="dxa"/>
            <w:vAlign w:val="bottom"/>
          </w:tcPr>
          <w:p>
            <w:pPr>
              <w:ind w:left="420"/>
              <w:spacing w:after="0"/>
              <w:rPr>
                <w:sz w:val="20"/>
                <w:szCs w:val="20"/>
                <w:color w:val="auto"/>
              </w:rPr>
            </w:pPr>
            <w:r>
              <w:rPr>
                <w:rFonts w:ascii="Arial" w:cs="Arial" w:eastAsia="Arial" w:hAnsi="Arial"/>
                <w:sz w:val="22"/>
                <w:szCs w:val="22"/>
                <w:color w:val="auto"/>
              </w:rPr>
              <w:t>Jackwyn L. Nemerov, Chair</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Former Vice Chairman,</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and Chief Operating &amp;</w:t>
            </w:r>
          </w:p>
        </w:tc>
        <w:tc>
          <w:tcPr>
            <w:tcW w:w="3680" w:type="dxa"/>
            <w:vAlign w:val="bottom"/>
          </w:tcPr>
          <w:p>
            <w:pPr>
              <w:ind w:left="420"/>
              <w:spacing w:after="0"/>
              <w:rPr>
                <w:sz w:val="20"/>
                <w:szCs w:val="20"/>
                <w:color w:val="auto"/>
              </w:rPr>
            </w:pPr>
            <w:r>
              <w:rPr>
                <w:rFonts w:ascii="Arial" w:cs="Arial" w:eastAsia="Arial" w:hAnsi="Arial"/>
                <w:sz w:val="22"/>
                <w:szCs w:val="22"/>
                <w:color w:val="auto"/>
              </w:rPr>
              <w:t>José B. Alvarez</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UBS Wealth Management</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Financial Officer,</w:t>
            </w:r>
          </w:p>
        </w:tc>
        <w:tc>
          <w:tcPr>
            <w:tcW w:w="3680" w:type="dxa"/>
            <w:vAlign w:val="bottom"/>
          </w:tcPr>
          <w:p>
            <w:pPr>
              <w:ind w:left="420"/>
              <w:spacing w:after="0"/>
              <w:rPr>
                <w:sz w:val="20"/>
                <w:szCs w:val="20"/>
                <w:color w:val="auto"/>
              </w:rPr>
            </w:pPr>
            <w:r>
              <w:rPr>
                <w:rFonts w:ascii="Arial" w:cs="Arial" w:eastAsia="Arial" w:hAnsi="Arial"/>
                <w:sz w:val="22"/>
                <w:szCs w:val="22"/>
                <w:color w:val="auto"/>
              </w:rPr>
              <w:t>Alan M. Bennett</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Americas</w:t>
            </w:r>
          </w:p>
        </w:tc>
        <w:tc>
          <w:tcPr>
            <w:tcW w:w="3040" w:type="dxa"/>
            <w:vAlign w:val="bottom"/>
          </w:tcPr>
          <w:p>
            <w:pPr>
              <w:spacing w:after="0"/>
              <w:rPr>
                <w:sz w:val="20"/>
                <w:szCs w:val="20"/>
                <w:color w:val="auto"/>
              </w:rPr>
            </w:pPr>
            <w:r>
              <w:rPr>
                <w:rFonts w:ascii="Arial" w:cs="Arial" w:eastAsia="Arial" w:hAnsi="Arial"/>
                <w:sz w:val="22"/>
                <w:szCs w:val="22"/>
                <w:i w:val="1"/>
                <w:iCs w:val="1"/>
                <w:color w:val="auto"/>
              </w:rPr>
              <w:t>Vertex Pharmaceuticals, Inc.</w:t>
            </w:r>
          </w:p>
        </w:tc>
        <w:tc>
          <w:tcPr>
            <w:tcW w:w="3680" w:type="dxa"/>
            <w:vAlign w:val="bottom"/>
          </w:tcPr>
          <w:p>
            <w:pPr>
              <w:ind w:left="420"/>
              <w:spacing w:after="0"/>
              <w:rPr>
                <w:sz w:val="20"/>
                <w:szCs w:val="20"/>
                <w:color w:val="auto"/>
              </w:rPr>
            </w:pPr>
            <w:r>
              <w:rPr>
                <w:rFonts w:ascii="Arial" w:cs="Arial" w:eastAsia="Arial" w:hAnsi="Arial"/>
                <w:sz w:val="22"/>
                <w:szCs w:val="22"/>
                <w:color w:val="auto"/>
              </w:rPr>
              <w:t>David T. Ching</w:t>
            </w:r>
          </w:p>
        </w:tc>
      </w:tr>
      <w:tr>
        <w:trPr>
          <w:trHeight w:val="600"/>
        </w:trPr>
        <w:tc>
          <w:tcPr>
            <w:tcW w:w="3440" w:type="dxa"/>
            <w:vAlign w:val="bottom"/>
          </w:tcPr>
          <w:p>
            <w:pPr>
              <w:spacing w:after="0"/>
              <w:rPr>
                <w:sz w:val="20"/>
                <w:szCs w:val="20"/>
                <w:color w:val="auto"/>
              </w:rPr>
            </w:pPr>
            <w:r>
              <w:rPr>
                <w:rFonts w:ascii="Arial" w:cs="Arial" w:eastAsia="Arial" w:hAnsi="Arial"/>
                <w:sz w:val="22"/>
                <w:szCs w:val="22"/>
                <w:b w:val="1"/>
                <w:bCs w:val="1"/>
                <w:color w:val="auto"/>
              </w:rPr>
              <w:t>David T. Ching</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EXECUTIVE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Former Senior Vice President</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b w:val="1"/>
                <w:bCs w:val="1"/>
                <w:color w:val="auto"/>
              </w:rPr>
              <w:t>COMMITTEE</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and Chief Information Officer,</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color w:val="auto"/>
              </w:rPr>
              <w:t>Carol Meyrowitz, Chair</w:t>
            </w: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Safeway Inc.</w:t>
            </w: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color w:val="auto"/>
              </w:rPr>
              <w:t>Alan M. Bennett</w:t>
            </w:r>
          </w:p>
        </w:tc>
      </w:tr>
      <w:tr>
        <w:trPr>
          <w:trHeight w:val="300"/>
        </w:trPr>
        <w:tc>
          <w:tcPr>
            <w:tcW w:w="3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22"/>
                <w:szCs w:val="22"/>
                <w:color w:val="auto"/>
              </w:rPr>
              <w:t>Amy B. Lane</w:t>
            </w:r>
          </w:p>
        </w:tc>
      </w:tr>
      <w:tr>
        <w:trPr>
          <w:trHeight w:val="297"/>
        </w:trPr>
        <w:tc>
          <w:tcPr>
            <w:tcW w:w="3440" w:type="dxa"/>
            <w:vAlign w:val="bottom"/>
          </w:tcPr>
          <w:p>
            <w:pPr>
              <w:spacing w:after="0"/>
              <w:rPr>
                <w:sz w:val="20"/>
                <w:szCs w:val="20"/>
                <w:color w:val="auto"/>
              </w:rPr>
            </w:pPr>
            <w:r>
              <w:rPr>
                <w:rFonts w:ascii="Arial" w:cs="Arial" w:eastAsia="Arial" w:hAnsi="Arial"/>
                <w:sz w:val="22"/>
                <w:szCs w:val="22"/>
                <w:b w:val="1"/>
                <w:bCs w:val="1"/>
                <w:color w:val="auto"/>
              </w:rPr>
              <w:t>C. Kim Goodwin</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Private Investor</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Former Managing Director and</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Head of Equities (Global) for</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Asset Management Division of</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00"/>
        </w:trPr>
        <w:tc>
          <w:tcPr>
            <w:tcW w:w="3440" w:type="dxa"/>
            <w:vAlign w:val="bottom"/>
          </w:tcPr>
          <w:p>
            <w:pPr>
              <w:spacing w:after="0"/>
              <w:rPr>
                <w:sz w:val="20"/>
                <w:szCs w:val="20"/>
                <w:color w:val="auto"/>
              </w:rPr>
            </w:pPr>
            <w:r>
              <w:rPr>
                <w:rFonts w:ascii="Arial" w:cs="Arial" w:eastAsia="Arial" w:hAnsi="Arial"/>
                <w:sz w:val="22"/>
                <w:szCs w:val="22"/>
                <w:i w:val="1"/>
                <w:iCs w:val="1"/>
                <w:color w:val="auto"/>
              </w:rPr>
              <w:t>Credit Suisse Group AG</w:t>
            </w:r>
          </w:p>
        </w:tc>
        <w:tc>
          <w:tcPr>
            <w:tcW w:w="304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 w:lineRule="exact"/>
        <w:rPr>
          <w:sz w:val="20"/>
          <w:szCs w:val="20"/>
          <w:color w:val="auto"/>
        </w:rPr>
      </w:pPr>
    </w:p>
    <w:p>
      <w:pPr>
        <w:sectPr>
          <w:pgSz w:w="12240" w:h="15841" w:orient="portrait"/>
          <w:cols w:equalWidth="0" w:num="1">
            <w:col w:w="10160"/>
          </w:cols>
          <w:pgMar w:left="1180" w:top="993" w:right="901"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371"/>
        </w:trPr>
        <w:tc>
          <w:tcPr>
            <w:tcW w:w="5560" w:type="dxa"/>
            <w:vAlign w:val="bottom"/>
          </w:tcPr>
          <w:p>
            <w:pPr>
              <w:spacing w:after="0"/>
              <w:rPr>
                <w:sz w:val="20"/>
                <w:szCs w:val="20"/>
                <w:color w:val="auto"/>
              </w:rPr>
            </w:pPr>
            <w:r>
              <w:rPr>
                <w:rFonts w:ascii="Arial" w:cs="Arial" w:eastAsia="Arial" w:hAnsi="Arial"/>
                <w:sz w:val="30"/>
                <w:szCs w:val="30"/>
                <w:b w:val="1"/>
                <w:bCs w:val="1"/>
                <w:color w:val="auto"/>
              </w:rPr>
              <w:t>EXECUTIVE OFFICERS</w:t>
            </w:r>
          </w:p>
        </w:tc>
        <w:tc>
          <w:tcPr>
            <w:tcW w:w="3780" w:type="dxa"/>
            <w:vAlign w:val="bottom"/>
            <w:gridSpan w:val="7"/>
          </w:tcPr>
          <w:p>
            <w:pPr>
              <w:spacing w:after="0"/>
              <w:rPr>
                <w:sz w:val="20"/>
                <w:szCs w:val="20"/>
                <w:color w:val="auto"/>
              </w:rPr>
            </w:pPr>
            <w:r>
              <w:rPr>
                <w:rFonts w:ascii="Arial" w:cs="Arial" w:eastAsia="Arial" w:hAnsi="Arial"/>
                <w:sz w:val="30"/>
                <w:szCs w:val="30"/>
                <w:b w:val="1"/>
                <w:bCs w:val="1"/>
                <w:color w:val="auto"/>
              </w:rPr>
              <w:t>BUSINESS LEADERSHIP</w:t>
            </w:r>
          </w:p>
        </w:tc>
      </w:tr>
      <w:tr>
        <w:trPr>
          <w:trHeight w:val="66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Carol Meyrowitz</w:t>
            </w:r>
          </w:p>
        </w:tc>
        <w:tc>
          <w:tcPr>
            <w:tcW w:w="9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Marmaxx</w:t>
            </w:r>
          </w:p>
        </w:tc>
        <w:tc>
          <w:tcPr>
            <w:tcW w:w="2800" w:type="dxa"/>
            <w:vAlign w:val="bottom"/>
            <w:gridSpan w:val="6"/>
          </w:tcPr>
          <w:p>
            <w:pPr>
              <w:spacing w:after="0"/>
              <w:rPr>
                <w:sz w:val="24"/>
                <w:szCs w:val="24"/>
                <w:color w:val="auto"/>
              </w:rPr>
            </w:pPr>
          </w:p>
        </w:tc>
      </w:tr>
      <w:tr>
        <w:trPr>
          <w:trHeight w:val="31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Executive Chairman of the Board</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TJ Maxx and Marshalls</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Nancy Carpenter</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Ernie Herrman</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President</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Chief Executive Officer and President</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5560" w:type="dxa"/>
            <w:vAlign w:val="bottom"/>
          </w:tcPr>
          <w:p>
            <w:pPr>
              <w:spacing w:after="0"/>
              <w:rPr>
                <w:sz w:val="23"/>
                <w:szCs w:val="23"/>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9"/>
              </w:rPr>
              <w:t>HomeGoods</w:t>
            </w:r>
          </w:p>
        </w:tc>
        <w:tc>
          <w:tcPr>
            <w:tcW w:w="2460" w:type="dxa"/>
            <w:vAlign w:val="bottom"/>
            <w:gridSpan w:val="3"/>
          </w:tcPr>
          <w:p>
            <w:pPr>
              <w:spacing w:after="0"/>
              <w:rPr>
                <w:sz w:val="23"/>
                <w:szCs w:val="23"/>
                <w:color w:val="auto"/>
              </w:rPr>
            </w:pPr>
          </w:p>
        </w:tc>
      </w:tr>
      <w:tr>
        <w:trPr>
          <w:trHeight w:val="31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Peter Benjamin</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HomeGoods and Homesense</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Senior Executive Vice President,</w:t>
            </w: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John Ricciuti</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Group President</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Senior Executive Vice President,</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Division President</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Ken Canestrari</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Senior Executive Vice President,</w:t>
            </w: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rPr>
              <w:t>TJX Canada</w:t>
            </w:r>
          </w:p>
        </w:tc>
        <w:tc>
          <w:tcPr>
            <w:tcW w:w="2500" w:type="dxa"/>
            <w:vAlign w:val="bottom"/>
            <w:gridSpan w:val="4"/>
          </w:tcPr>
          <w:p>
            <w:pPr>
              <w:spacing w:after="0"/>
              <w:rPr>
                <w:sz w:val="23"/>
                <w:szCs w:val="23"/>
                <w:color w:val="auto"/>
              </w:rPr>
            </w:pPr>
          </w:p>
        </w:tc>
      </w:tr>
      <w:tr>
        <w:trPr>
          <w:trHeight w:val="31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Group President</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Winners, HomeSense, and Marshalls</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Mark DeOliveira</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John Klinger</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President</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Senior Executive Vice President,</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Chief Financial Officer</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8"/>
              </w:rPr>
              <w:t>TJX Europe</w:t>
            </w:r>
          </w:p>
        </w:tc>
        <w:tc>
          <w:tcPr>
            <w:tcW w:w="2560" w:type="dxa"/>
            <w:vAlign w:val="bottom"/>
            <w:gridSpan w:val="5"/>
          </w:tcPr>
          <w:p>
            <w:pPr>
              <w:spacing w:after="0"/>
              <w:rPr>
                <w:sz w:val="23"/>
                <w:szCs w:val="23"/>
                <w:color w:val="auto"/>
              </w:rPr>
            </w:pPr>
          </w:p>
        </w:tc>
      </w:tr>
      <w:tr>
        <w:trPr>
          <w:trHeight w:val="31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TK Maxx, Homesense, tkmaxx.com,</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b w:val="1"/>
                <w:bCs w:val="1"/>
                <w:color w:val="auto"/>
              </w:rPr>
              <w:t>Douglas Mizzi</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tkmaxx.de, and tkmaxx.at</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Senior Executive Vice President,</w:t>
            </w: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Michael Munnelly</w:t>
            </w:r>
          </w:p>
        </w:tc>
      </w:tr>
      <w:tr>
        <w:trPr>
          <w:trHeight w:val="300"/>
        </w:trPr>
        <w:tc>
          <w:tcPr>
            <w:tcW w:w="5560" w:type="dxa"/>
            <w:vAlign w:val="bottom"/>
          </w:tcPr>
          <w:p>
            <w:pPr>
              <w:ind w:left="40"/>
              <w:spacing w:after="0"/>
              <w:rPr>
                <w:sz w:val="20"/>
                <w:szCs w:val="20"/>
                <w:color w:val="auto"/>
              </w:rPr>
            </w:pPr>
            <w:r>
              <w:rPr>
                <w:rFonts w:ascii="Arial" w:cs="Arial" w:eastAsia="Arial" w:hAnsi="Arial"/>
                <w:sz w:val="22"/>
                <w:szCs w:val="22"/>
                <w:i w:val="1"/>
                <w:iCs w:val="1"/>
                <w:color w:val="auto"/>
              </w:rPr>
              <w:t>Group President</w:t>
            </w: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President</w:t>
            </w:r>
          </w:p>
        </w:tc>
      </w:tr>
      <w:tr>
        <w:trPr>
          <w:trHeight w:val="570"/>
        </w:trPr>
        <w:tc>
          <w:tcPr>
            <w:tcW w:w="5560" w:type="dxa"/>
            <w:vAlign w:val="bottom"/>
          </w:tcPr>
          <w:p>
            <w:pPr>
              <w:spacing w:after="0"/>
              <w:rPr>
                <w:sz w:val="24"/>
                <w:szCs w:val="24"/>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w w:val="98"/>
              </w:rPr>
              <w:t>TJX Australia</w:t>
            </w:r>
          </w:p>
        </w:tc>
        <w:tc>
          <w:tcPr>
            <w:tcW w:w="2380" w:type="dxa"/>
            <w:vAlign w:val="bottom"/>
            <w:gridSpan w:val="2"/>
          </w:tcPr>
          <w:p>
            <w:pPr>
              <w:spacing w:after="0"/>
              <w:rPr>
                <w:sz w:val="24"/>
                <w:szCs w:val="24"/>
                <w:color w:val="auto"/>
              </w:rPr>
            </w:pPr>
          </w:p>
        </w:tc>
      </w:tr>
      <w:tr>
        <w:trPr>
          <w:trHeight w:val="31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TK Maxx</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Heidi Ryder</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President</w:t>
            </w:r>
          </w:p>
        </w:tc>
      </w:tr>
      <w:tr>
        <w:trPr>
          <w:trHeight w:val="569"/>
        </w:trPr>
        <w:tc>
          <w:tcPr>
            <w:tcW w:w="5560" w:type="dxa"/>
            <w:vAlign w:val="bottom"/>
          </w:tcPr>
          <w:p>
            <w:pPr>
              <w:spacing w:after="0"/>
              <w:rPr>
                <w:sz w:val="24"/>
                <w:szCs w:val="24"/>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22"/>
                <w:szCs w:val="22"/>
                <w:b w:val="1"/>
                <w:bCs w:val="1"/>
                <w:color w:val="auto"/>
                <w:w w:val="99"/>
              </w:rPr>
              <w:t>TJX Digital, U.S.</w:t>
            </w:r>
          </w:p>
        </w:tc>
        <w:tc>
          <w:tcPr>
            <w:tcW w:w="2080" w:type="dxa"/>
            <w:vAlign w:val="bottom"/>
          </w:tcPr>
          <w:p>
            <w:pPr>
              <w:spacing w:after="0"/>
              <w:rPr>
                <w:sz w:val="24"/>
                <w:szCs w:val="24"/>
                <w:color w:val="auto"/>
              </w:rPr>
            </w:pPr>
          </w:p>
        </w:tc>
      </w:tr>
      <w:tr>
        <w:trPr>
          <w:trHeight w:val="311"/>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w w:val="99"/>
              </w:rPr>
              <w:t>Sierra, tjmaxx.com, and marshalls.com</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b w:val="1"/>
                <w:bCs w:val="1"/>
                <w:color w:val="auto"/>
              </w:rPr>
              <w:t>Paul Bibbo</w:t>
            </w:r>
          </w:p>
        </w:tc>
      </w:tr>
      <w:tr>
        <w:trPr>
          <w:trHeight w:val="300"/>
        </w:trPr>
        <w:tc>
          <w:tcPr>
            <w:tcW w:w="556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Arial" w:cs="Arial" w:eastAsia="Arial" w:hAnsi="Arial"/>
                <w:sz w:val="22"/>
                <w:szCs w:val="22"/>
                <w:i w:val="1"/>
                <w:iCs w:val="1"/>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3034665</wp:posOffset>
            </wp:positionV>
            <wp:extent cx="4763" cy="4763"/>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3034665</wp:posOffset>
            </wp:positionV>
            <wp:extent cx="4763" cy="4763"/>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1">
            <w:col w:w="9621"/>
          </w:cols>
          <w:pgMar w:left="1180" w:top="993" w:right="1440" w:bottom="1440" w:gutter="0" w:footer="0" w:header="0"/>
        </w:sectPr>
      </w:pPr>
    </w:p>
    <w:bookmarkStart w:id="97" w:name="page98"/>
    <w:bookmarkEnd w:id="97"/>
    <w:p>
      <w:pP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3" cy="4763"/>
                    </a:xfrm>
                    <a:prstGeom prst="rect">
                      <a:avLst/>
                    </a:prstGeom>
                    <a:noFill/>
                  </pic:spPr>
                </pic:pic>
              </a:graphicData>
            </a:graphic>
          </wp:anchor>
        </w:drawing>
        <w:t>SHAREHOLDER INFORMATION</w:t>
      </w:r>
    </w:p>
    <w:p>
      <w:pPr>
        <w:spacing w:after="0" w:line="371" w:lineRule="exact"/>
        <w:rPr>
          <w:sz w:val="20"/>
          <w:szCs w:val="20"/>
          <w:color w:val="auto"/>
        </w:rPr>
      </w:pPr>
    </w:p>
    <w:p>
      <w:pPr>
        <w:ind w:right="2200"/>
        <w:spacing w:after="0" w:line="343" w:lineRule="auto"/>
        <w:rPr>
          <w:sz w:val="20"/>
          <w:szCs w:val="20"/>
          <w:color w:val="auto"/>
        </w:rPr>
      </w:pPr>
      <w:r>
        <w:rPr>
          <w:rFonts w:ascii="Arial" w:cs="Arial" w:eastAsia="Arial" w:hAnsi="Arial"/>
          <w:sz w:val="22"/>
          <w:szCs w:val="22"/>
          <w:b w:val="1"/>
          <w:bCs w:val="1"/>
          <w:color w:val="auto"/>
        </w:rPr>
        <w:t>Transfer Agent and Registrar COMMON STOCK</w:t>
      </w:r>
    </w:p>
    <w:p>
      <w:pPr>
        <w:spacing w:after="0" w:line="2" w:lineRule="exact"/>
        <w:rPr>
          <w:sz w:val="20"/>
          <w:szCs w:val="20"/>
          <w:color w:val="auto"/>
        </w:rPr>
      </w:pPr>
    </w:p>
    <w:p>
      <w:pPr>
        <w:ind w:right="420"/>
        <w:spacing w:after="0" w:line="235" w:lineRule="auto"/>
        <w:rPr>
          <w:sz w:val="20"/>
          <w:szCs w:val="20"/>
          <w:color w:val="auto"/>
        </w:rPr>
      </w:pPr>
      <w:r>
        <w:rPr>
          <w:rFonts w:ascii="Arial" w:cs="Arial" w:eastAsia="Arial" w:hAnsi="Arial"/>
          <w:sz w:val="22"/>
          <w:szCs w:val="22"/>
          <w:color w:val="auto"/>
        </w:rPr>
        <w:t>For shareholder inquiries, certificates for transfer, and address changes: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COMPUTERSHARE</w:t>
      </w:r>
    </w:p>
    <w:p>
      <w:pPr>
        <w:spacing w:after="0" w:line="227" w:lineRule="auto"/>
        <w:rPr>
          <w:sz w:val="20"/>
          <w:szCs w:val="20"/>
          <w:color w:val="auto"/>
        </w:rPr>
      </w:pPr>
      <w:r>
        <w:rPr>
          <w:rFonts w:ascii="Arial" w:cs="Arial" w:eastAsia="Arial" w:hAnsi="Arial"/>
          <w:sz w:val="22"/>
          <w:szCs w:val="22"/>
          <w:color w:val="auto"/>
        </w:rPr>
        <w:t>REGULAR MAIL: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P.O. Box 43006, Providence, RI 02940-3006</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OVERNIGHT DELIVERY:</w:t>
      </w:r>
    </w:p>
    <w:p>
      <w:pPr>
        <w:spacing w:after="0"/>
        <w:rPr>
          <w:sz w:val="20"/>
          <w:szCs w:val="20"/>
          <w:color w:val="auto"/>
        </w:rPr>
      </w:pPr>
      <w:r>
        <w:rPr>
          <w:rFonts w:ascii="Arial" w:cs="Arial" w:eastAsia="Arial" w:hAnsi="Arial"/>
          <w:sz w:val="22"/>
          <w:szCs w:val="22"/>
          <w:color w:val="auto"/>
        </w:rPr>
        <w:t>150 Royall Street, Suite 101, Canton, MA 02021</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WEBSITE:</w:t>
      </w:r>
    </w:p>
    <w:p>
      <w:pPr>
        <w:spacing w:after="0"/>
        <w:rPr>
          <w:sz w:val="20"/>
          <w:szCs w:val="20"/>
          <w:color w:val="auto"/>
        </w:rPr>
      </w:pPr>
      <w:r>
        <w:rPr>
          <w:rFonts w:ascii="Arial" w:cs="Arial" w:eastAsia="Arial" w:hAnsi="Arial"/>
          <w:sz w:val="22"/>
          <w:szCs w:val="22"/>
          <w:color w:val="auto"/>
        </w:rPr>
        <w:t>computershare.com/investor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CONTACT ONLINE AT:</w:t>
      </w:r>
    </w:p>
    <w:p>
      <w:pPr>
        <w:spacing w:after="0"/>
        <w:rPr>
          <w:sz w:val="20"/>
          <w:szCs w:val="20"/>
          <w:color w:val="auto"/>
        </w:rPr>
      </w:pPr>
      <w:r>
        <w:rPr>
          <w:rFonts w:ascii="Arial" w:cs="Arial" w:eastAsia="Arial" w:hAnsi="Arial"/>
          <w:sz w:val="22"/>
          <w:szCs w:val="22"/>
          <w:color w:val="auto"/>
        </w:rPr>
        <w:t>www-us.computershare.com/investor/contact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CONTACT VIA PHONE AT:</w:t>
      </w:r>
    </w:p>
    <w:p>
      <w:pPr>
        <w:spacing w:after="0" w:line="227" w:lineRule="auto"/>
        <w:rPr>
          <w:sz w:val="20"/>
          <w:szCs w:val="20"/>
          <w:color w:val="auto"/>
        </w:rPr>
      </w:pPr>
      <w:r>
        <w:rPr>
          <w:rFonts w:ascii="Arial" w:cs="Arial" w:eastAsia="Arial" w:hAnsi="Arial"/>
          <w:sz w:val="22"/>
          <w:szCs w:val="22"/>
          <w:color w:val="auto"/>
        </w:rPr>
        <w:t>1-866-606-8365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1-201-680-6578 (Outside the 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27" w:lineRule="auto"/>
        <w:rPr>
          <w:sz w:val="20"/>
          <w:szCs w:val="20"/>
          <w:color w:val="auto"/>
        </w:rPr>
      </w:pPr>
      <w:r>
        <w:rPr>
          <w:rFonts w:ascii="Arial" w:cs="Arial" w:eastAsia="Arial" w:hAnsi="Arial"/>
          <w:sz w:val="22"/>
          <w:szCs w:val="22"/>
          <w:color w:val="auto"/>
        </w:rPr>
        <w:t>U.S. Bank National Association</w:t>
      </w:r>
    </w:p>
    <w:p>
      <w:pPr>
        <w:spacing w:after="0" w:line="1"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Public Notes: 1.15%, 1.60%, 2.25%, 3.875%, and 4.50% notes</w:t>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22"/>
          <w:szCs w:val="22"/>
          <w:b w:val="1"/>
          <w:bCs w:val="1"/>
          <w:color w:val="auto"/>
        </w:rPr>
        <w:t xml:space="preserve">Independent Registered Public Accounting Firm </w:t>
      </w:r>
      <w:r>
        <w:rPr>
          <w:rFonts w:ascii="Arial" w:cs="Arial" w:eastAsia="Arial" w:hAnsi="Arial"/>
          <w:sz w:val="22"/>
          <w:szCs w:val="22"/>
          <w:color w:val="auto"/>
        </w:rPr>
        <w:t>PricewaterhouseCoopers LLP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10-K</w:t>
      </w:r>
    </w:p>
    <w:p>
      <w:pPr>
        <w:ind w:right="320"/>
        <w:spacing w:after="0" w:line="238" w:lineRule="auto"/>
        <w:rPr>
          <w:sz w:val="20"/>
          <w:szCs w:val="20"/>
          <w:color w:val="auto"/>
        </w:rPr>
      </w:pPr>
      <w:r>
        <w:rPr>
          <w:rFonts w:ascii="Arial" w:cs="Arial" w:eastAsia="Arial" w:hAnsi="Arial"/>
          <w:sz w:val="21"/>
          <w:szCs w:val="21"/>
          <w:color w:val="auto"/>
        </w:rPr>
        <w:t>Information concerning the Company’s operations and financial position is provided in the Company’s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 xml:space="preserve">10-K, which is included in this report and filed with the Securities and Exchange Commission. </w:t>
      </w:r>
      <w:r>
        <w:rPr>
          <w:rFonts w:ascii="Arial" w:cs="Arial" w:eastAsia="Arial" w:hAnsi="Arial"/>
          <w:sz w:val="21"/>
          <w:szCs w:val="21"/>
          <w:b w:val="1"/>
          <w:bCs w:val="1"/>
          <w:color w:val="auto"/>
        </w:rPr>
        <w:t>A copy of the</w:t>
      </w:r>
      <w:r>
        <w:rPr>
          <w:rFonts w:ascii="Arial" w:cs="Arial" w:eastAsia="Arial" w:hAnsi="Arial"/>
          <w:sz w:val="21"/>
          <w:szCs w:val="21"/>
          <w:color w:val="auto"/>
        </w:rPr>
        <w:t xml:space="preserve"> </w:t>
      </w:r>
      <w:r>
        <w:rPr>
          <w:rFonts w:ascii="Arial" w:cs="Arial" w:eastAsia="Arial" w:hAnsi="Arial"/>
          <w:sz w:val="21"/>
          <w:szCs w:val="21"/>
          <w:b w:val="1"/>
          <w:bCs w:val="1"/>
          <w:color w:val="auto"/>
        </w:rPr>
        <w:t>Form 10-K may also be obtained without charge at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TJX.com or by writing or calling: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The TJX Companies, Inc.</w:t>
      </w:r>
    </w:p>
    <w:p>
      <w:pPr>
        <w:spacing w:after="0" w:line="227" w:lineRule="auto"/>
        <w:rPr>
          <w:sz w:val="20"/>
          <w:szCs w:val="20"/>
          <w:color w:val="auto"/>
        </w:rPr>
      </w:pPr>
      <w:r>
        <w:rPr>
          <w:rFonts w:ascii="Arial" w:cs="Arial" w:eastAsia="Arial" w:hAnsi="Arial"/>
          <w:sz w:val="22"/>
          <w:szCs w:val="22"/>
          <w:color w:val="auto"/>
        </w:rPr>
        <w:t>Global Communications</w:t>
      </w:r>
    </w:p>
    <w:p>
      <w:pPr>
        <w:spacing w:after="0" w:line="228" w:lineRule="auto"/>
        <w:rPr>
          <w:sz w:val="20"/>
          <w:szCs w:val="20"/>
          <w:color w:val="auto"/>
        </w:rPr>
      </w:pPr>
      <w:r>
        <w:rPr>
          <w:rFonts w:ascii="Arial" w:cs="Arial" w:eastAsia="Arial" w:hAnsi="Arial"/>
          <w:sz w:val="22"/>
          <w:szCs w:val="22"/>
          <w:color w:val="auto"/>
        </w:rPr>
        <w:t>770 Cochituate Road</w:t>
      </w:r>
    </w:p>
    <w:p>
      <w:pPr>
        <w:spacing w:after="0" w:line="228" w:lineRule="auto"/>
        <w:rPr>
          <w:sz w:val="20"/>
          <w:szCs w:val="20"/>
          <w:color w:val="auto"/>
        </w:rPr>
      </w:pPr>
      <w:r>
        <w:rPr>
          <w:rFonts w:ascii="Arial" w:cs="Arial" w:eastAsia="Arial" w:hAnsi="Arial"/>
          <w:sz w:val="22"/>
          <w:szCs w:val="22"/>
          <w:color w:val="auto"/>
        </w:rPr>
        <w:t>Framingham, MA 01701</w:t>
      </w:r>
    </w:p>
    <w:p>
      <w:pPr>
        <w:spacing w:after="0"/>
        <w:rPr>
          <w:sz w:val="20"/>
          <w:szCs w:val="20"/>
          <w:color w:val="auto"/>
        </w:rPr>
      </w:pPr>
      <w:r>
        <w:rPr>
          <w:rFonts w:ascii="Arial" w:cs="Arial" w:eastAsia="Arial" w:hAnsi="Arial"/>
          <w:sz w:val="22"/>
          <w:szCs w:val="22"/>
          <w:color w:val="auto"/>
        </w:rPr>
        <w:t>508-390-2323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222" w:lineRule="auto"/>
        <w:rPr>
          <w:sz w:val="20"/>
          <w:szCs w:val="20"/>
          <w:color w:val="auto"/>
        </w:rPr>
      </w:pPr>
      <w:r>
        <w:rPr>
          <w:rFonts w:ascii="Arial" w:cs="Arial" w:eastAsia="Arial" w:hAnsi="Arial"/>
          <w:sz w:val="22"/>
          <w:szCs w:val="22"/>
          <w:color w:val="auto"/>
        </w:rPr>
        <w:t>Analysts and investors seeking information about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Company should visit </w:t>
      </w:r>
      <w:r>
        <w:rPr>
          <w:rFonts w:ascii="Arial" w:cs="Arial" w:eastAsia="Arial" w:hAnsi="Arial"/>
          <w:sz w:val="22"/>
          <w:szCs w:val="22"/>
          <w:b w:val="1"/>
          <w:bCs w:val="1"/>
          <w:color w:val="auto"/>
        </w:rPr>
        <w:t>TJX.com</w:t>
      </w:r>
      <w:r>
        <w:rPr>
          <w:rFonts w:ascii="Arial" w:cs="Arial" w:eastAsia="Arial" w:hAnsi="Arial"/>
          <w:sz w:val="22"/>
          <w:szCs w:val="22"/>
          <w:color w:val="auto"/>
        </w:rPr>
        <w:t xml:space="preserve"> or contact:</w:t>
      </w:r>
    </w:p>
    <w:p>
      <w:pPr>
        <w:spacing w:after="0" w:line="111" w:lineRule="exact"/>
        <w:rPr>
          <w:sz w:val="20"/>
          <w:szCs w:val="20"/>
          <w:color w:val="auto"/>
        </w:rPr>
      </w:pPr>
    </w:p>
    <w:p>
      <w:pPr>
        <w:ind w:right="520"/>
        <w:spacing w:after="0" w:line="232" w:lineRule="auto"/>
        <w:rPr>
          <w:sz w:val="20"/>
          <w:szCs w:val="20"/>
          <w:color w:val="auto"/>
        </w:rPr>
      </w:pPr>
      <w:r>
        <w:rPr>
          <w:rFonts w:ascii="Arial" w:cs="Arial" w:eastAsia="Arial" w:hAnsi="Arial"/>
          <w:sz w:val="22"/>
          <w:szCs w:val="22"/>
          <w:color w:val="auto"/>
        </w:rPr>
        <w:t xml:space="preserve">Debra McConnell, </w:t>
      </w:r>
      <w:r>
        <w:rPr>
          <w:rFonts w:ascii="Arial" w:cs="Arial" w:eastAsia="Arial" w:hAnsi="Arial"/>
          <w:sz w:val="22"/>
          <w:szCs w:val="22"/>
          <w:i w:val="1"/>
          <w:iCs w:val="1"/>
          <w:color w:val="auto"/>
        </w:rPr>
        <w:t>SVP, Global Communications</w:t>
      </w:r>
      <w:r>
        <w:rPr>
          <w:rFonts w:ascii="Arial" w:cs="Arial" w:eastAsia="Arial" w:hAnsi="Arial"/>
          <w:sz w:val="22"/>
          <w:szCs w:val="22"/>
          <w:color w:val="auto"/>
        </w:rPr>
        <w:t xml:space="preserve"> Jeff Botte, </w:t>
      </w:r>
      <w:r>
        <w:rPr>
          <w:rFonts w:ascii="Arial" w:cs="Arial" w:eastAsia="Arial" w:hAnsi="Arial"/>
          <w:sz w:val="22"/>
          <w:szCs w:val="22"/>
          <w:i w:val="1"/>
          <w:iCs w:val="1"/>
          <w:color w:val="auto"/>
        </w:rPr>
        <w:t>VP, Investor Relations</w:t>
      </w:r>
      <w:r>
        <w:rPr>
          <w:rFonts w:ascii="Arial" w:cs="Arial" w:eastAsia="Arial" w:hAnsi="Arial"/>
          <w:sz w:val="22"/>
          <w:szCs w:val="22"/>
          <w:color w:val="auto"/>
        </w:rPr>
        <w:t xml:space="preserve"> 508-390-2323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Offices</w:t>
      </w:r>
    </w:p>
    <w:p>
      <w:pPr>
        <w:spacing w:after="0"/>
        <w:rPr>
          <w:sz w:val="20"/>
          <w:szCs w:val="20"/>
          <w:color w:val="auto"/>
        </w:rPr>
      </w:pPr>
      <w:r>
        <w:rPr>
          <w:rFonts w:ascii="Arial" w:cs="Arial" w:eastAsia="Arial" w:hAnsi="Arial"/>
          <w:sz w:val="22"/>
          <w:szCs w:val="22"/>
          <w:color w:val="auto"/>
        </w:rPr>
        <w:t>Framingham, MA 01701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Information and SEC Filings</w:t>
      </w:r>
    </w:p>
    <w:p>
      <w:pPr>
        <w:spacing w:after="0"/>
        <w:rPr>
          <w:sz w:val="20"/>
          <w:szCs w:val="20"/>
          <w:color w:val="auto"/>
        </w:rPr>
      </w:pPr>
      <w:r>
        <w:rPr>
          <w:rFonts w:ascii="Arial" w:cs="Arial" w:eastAsia="Arial" w:hAnsi="Arial"/>
          <w:sz w:val="22"/>
          <w:szCs w:val="22"/>
          <w:color w:val="auto"/>
        </w:rPr>
        <w:t xml:space="preserve">Visit our corporate website: </w:t>
      </w:r>
      <w:r>
        <w:rPr>
          <w:rFonts w:ascii="Arial" w:cs="Arial" w:eastAsia="Arial" w:hAnsi="Arial"/>
          <w:sz w:val="22"/>
          <w:szCs w:val="22"/>
          <w:b w:val="1"/>
          <w:bCs w:val="1"/>
          <w:color w:val="auto"/>
        </w:rPr>
        <w:t>TJX.com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725805</wp:posOffset>
            </wp:positionV>
            <wp:extent cx="4763" cy="4763"/>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61"/>
        <w:spacing w:after="0" w:line="237" w:lineRule="auto"/>
        <w:rPr>
          <w:sz w:val="20"/>
          <w:szCs w:val="20"/>
          <w:color w:val="auto"/>
        </w:rPr>
      </w:pPr>
      <w:r>
        <w:rPr>
          <w:rFonts w:ascii="Arial" w:cs="Arial" w:eastAsia="Arial" w:hAnsi="Arial"/>
          <w:sz w:val="22"/>
          <w:szCs w:val="22"/>
          <w:b w:val="1"/>
          <w:bCs w:val="1"/>
          <w:color w:val="auto"/>
        </w:rPr>
        <w:t>For the store nearest you, visit us online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-1407795</wp:posOffset>
            </wp:positionV>
            <wp:extent cx="4763" cy="4763"/>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STATES</w:t>
      </w:r>
    </w:p>
    <w:p>
      <w:pPr>
        <w:spacing w:after="0"/>
        <w:rPr>
          <w:sz w:val="20"/>
          <w:szCs w:val="20"/>
          <w:color w:val="auto"/>
        </w:rPr>
      </w:pPr>
      <w:r>
        <w:rPr>
          <w:rFonts w:ascii="Arial" w:cs="Arial" w:eastAsia="Arial" w:hAnsi="Arial"/>
          <w:sz w:val="22"/>
          <w:szCs w:val="22"/>
          <w:color w:val="auto"/>
        </w:rPr>
        <w:t>TJ Maxx: tjmaxx.com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Marshalls: marshalls.com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HomeGoods: homegoods.com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Sierra: sierra.com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Homesense: homesense.com</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rPr>
          <w:sz w:val="20"/>
          <w:szCs w:val="20"/>
          <w:color w:val="auto"/>
        </w:rPr>
      </w:pPr>
      <w:r>
        <w:rPr>
          <w:rFonts w:ascii="Arial" w:cs="Arial" w:eastAsia="Arial" w:hAnsi="Arial"/>
          <w:sz w:val="22"/>
          <w:szCs w:val="22"/>
          <w:color w:val="auto"/>
        </w:rPr>
        <w:t>Winners: winners.ca</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HomeSense: homesense.ca</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Marshalls: marshalls.ca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w:t>
      </w:r>
    </w:p>
    <w:p>
      <w:pPr>
        <w:spacing w:after="0"/>
        <w:rPr>
          <w:sz w:val="20"/>
          <w:szCs w:val="20"/>
          <w:color w:val="auto"/>
        </w:rPr>
      </w:pPr>
      <w:r>
        <w:rPr>
          <w:rFonts w:ascii="Arial" w:cs="Arial" w:eastAsia="Arial" w:hAnsi="Arial"/>
          <w:sz w:val="22"/>
          <w:szCs w:val="22"/>
          <w:color w:val="auto"/>
        </w:rPr>
        <w:t>TK Maxx (U.K.): tkmaxx.com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(Ireland): tkmaxx.ie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(Germany): tkmaxx.de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(Poland): tkmaxx.pl</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(Austria): tkmaxx.at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(Netherlands): tkmaxx.nl</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TK Maxx (Spain): tkmaxx.es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color w:val="auto"/>
        </w:rPr>
        <w:t>Homesense (U.K.): homesense.com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Homesense (Ireland): homesense.ie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AUSTRALIA</w:t>
      </w:r>
    </w:p>
    <w:p>
      <w:pPr>
        <w:spacing w:after="0"/>
        <w:rPr>
          <w:sz w:val="20"/>
          <w:szCs w:val="20"/>
          <w:color w:val="auto"/>
        </w:rPr>
      </w:pPr>
      <w:r>
        <w:rPr>
          <w:rFonts w:ascii="Arial" w:cs="Arial" w:eastAsia="Arial" w:hAnsi="Arial"/>
          <w:sz w:val="22"/>
          <w:szCs w:val="22"/>
          <w:color w:val="auto"/>
        </w:rPr>
        <w:t>TK Maxx: tkmaxx.com.au</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shop us online, visit:</w:t>
      </w:r>
    </w:p>
    <w:p>
      <w:pPr>
        <w:spacing w:after="0" w:line="227" w:lineRule="auto"/>
        <w:tabs>
          <w:tab w:leader="none" w:pos="2140" w:val="left"/>
        </w:tabs>
        <w:rPr>
          <w:sz w:val="20"/>
          <w:szCs w:val="20"/>
          <w:color w:val="auto"/>
        </w:rPr>
      </w:pPr>
      <w:r>
        <w:rPr>
          <w:rFonts w:ascii="Arial" w:cs="Arial" w:eastAsia="Arial" w:hAnsi="Arial"/>
          <w:sz w:val="22"/>
          <w:szCs w:val="22"/>
          <w:color w:val="auto"/>
        </w:rPr>
        <w:t>tjmaxx.com</w:t>
      </w:r>
      <w:r>
        <w:rPr>
          <w:sz w:val="20"/>
          <w:szCs w:val="20"/>
          <w:color w:val="auto"/>
        </w:rPr>
        <w:tab/>
      </w:r>
      <w:r>
        <w:rPr>
          <w:rFonts w:ascii="Arial" w:cs="Arial" w:eastAsia="Arial" w:hAnsi="Arial"/>
          <w:sz w:val="22"/>
          <w:szCs w:val="22"/>
          <w:color w:val="auto"/>
        </w:rPr>
        <w:t>tkmaxx.com</w:t>
      </w:r>
    </w:p>
    <w:p>
      <w:pPr>
        <w:spacing w:after="0" w:line="228" w:lineRule="auto"/>
        <w:tabs>
          <w:tab w:leader="none" w:pos="2140" w:val="left"/>
        </w:tabs>
        <w:rPr>
          <w:sz w:val="20"/>
          <w:szCs w:val="20"/>
          <w:color w:val="auto"/>
        </w:rPr>
      </w:pPr>
      <w:r>
        <w:rPr>
          <w:rFonts w:ascii="Arial" w:cs="Arial" w:eastAsia="Arial" w:hAnsi="Arial"/>
          <w:sz w:val="22"/>
          <w:szCs w:val="22"/>
          <w:color w:val="auto"/>
        </w:rPr>
        <w:t>marshalls.com</w:t>
      </w:r>
      <w:r>
        <w:rPr>
          <w:sz w:val="20"/>
          <w:szCs w:val="20"/>
          <w:color w:val="auto"/>
        </w:rPr>
        <w:tab/>
      </w:r>
      <w:r>
        <w:rPr>
          <w:rFonts w:ascii="Arial" w:cs="Arial" w:eastAsia="Arial" w:hAnsi="Arial"/>
          <w:sz w:val="22"/>
          <w:szCs w:val="22"/>
          <w:color w:val="auto"/>
        </w:rPr>
        <w:t>tkmaxx.de</w:t>
      </w:r>
    </w:p>
    <w:p>
      <w:pPr>
        <w:spacing w:after="0"/>
        <w:tabs>
          <w:tab w:leader="none" w:pos="2140" w:val="left"/>
        </w:tabs>
        <w:rPr>
          <w:sz w:val="20"/>
          <w:szCs w:val="20"/>
          <w:color w:val="auto"/>
        </w:rPr>
      </w:pPr>
      <w:r>
        <w:rPr>
          <w:rFonts w:ascii="Arial" w:cs="Arial" w:eastAsia="Arial" w:hAnsi="Arial"/>
          <w:sz w:val="22"/>
          <w:szCs w:val="22"/>
          <w:color w:val="auto"/>
        </w:rPr>
        <w:t>sierra.com</w:t>
      </w:r>
      <w:r>
        <w:rPr>
          <w:sz w:val="20"/>
          <w:szCs w:val="20"/>
          <w:color w:val="auto"/>
        </w:rPr>
        <w:tab/>
      </w:r>
      <w:r>
        <w:rPr>
          <w:rFonts w:ascii="Arial" w:cs="Arial" w:eastAsia="Arial" w:hAnsi="Arial"/>
          <w:sz w:val="22"/>
          <w:szCs w:val="22"/>
          <w:color w:val="auto"/>
        </w:rPr>
        <w:t>tkmaxx.at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2983865</wp:posOffset>
            </wp:positionV>
            <wp:extent cx="4763" cy="4763"/>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2">
            <w:col w:w="5220" w:space="240"/>
            <w:col w:w="4141"/>
          </w:cols>
          <w:pgMar w:left="1200" w:top="1002" w:right="1440" w:bottom="585" w:gutter="0" w:footer="0" w:header="0"/>
        </w:sectPr>
      </w:pPr>
    </w:p>
    <w:bookmarkStart w:id="98" w:name="page99"/>
    <w:bookmarkEnd w:id="98"/>
    <w:p>
      <w:pPr>
        <w:jc w:val="both"/>
        <w:ind w:left="20" w:right="2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3" cy="4763"/>
                    </a:xfrm>
                    <a:prstGeom prst="rect">
                      <a:avLst/>
                    </a:prstGeom>
                    <a:noFill/>
                  </pic:spPr>
                </pic:pic>
              </a:graphicData>
            </a:graphic>
          </wp:anchor>
        </w:drawing>
        <w:t>The TJX Companies, Inc., the leading off-price apparel and home fashions retailer in the U.S. and worldwide, ranked 76</w:t>
      </w:r>
      <w:r>
        <w:rPr>
          <w:rFonts w:ascii="Arial" w:cs="Arial" w:eastAsia="Arial" w:hAnsi="Arial"/>
          <w:sz w:val="10"/>
          <w:szCs w:val="10"/>
          <w:color w:val="auto"/>
        </w:rPr>
        <w:t>th</w:t>
      </w:r>
      <w:r>
        <w:rPr>
          <w:rFonts w:ascii="Arial" w:cs="Arial" w:eastAsia="Arial" w:hAnsi="Arial"/>
          <w:sz w:val="17"/>
          <w:szCs w:val="17"/>
          <w:color w:val="auto"/>
        </w:rPr>
        <w:t xml:space="preserve"> among Fortune 500 companies in 2025. TJX operates four major segments: Marmaxx, HomeGoods, TJX Canada, and TJX International, including Europe and Australia. With over 5,200 stores, six e-commerce sites, and approximately 377,000 Associates at 2025’s year end, we are a global, off-price, value retailer. Our mission is to deliver great value to our customers every day. We do this by offering a rapidly changing assortment of quality, fashionable, brand name, and designer merchandise at prices generally 20% to 60% below full-price retailers’ (including department, specialty, and major online retailers) regular prices on comparable merchandise. With our value proposition, we reach a broad range of fashion and value-conscious consumers across many income levels and demographic groups. Our value mission extends to our corporate responsibility efforts, which are focused on supporting our Associates, giving back in the communities we serve, the environment, and operating responsibly.</w:t>
      </w:r>
    </w:p>
    <w:p>
      <w:pPr>
        <w:spacing w:after="0" w:line="249" w:lineRule="exact"/>
        <w:rPr>
          <w:sz w:val="20"/>
          <w:szCs w:val="20"/>
          <w:color w:val="auto"/>
        </w:rPr>
      </w:pPr>
    </w:p>
    <w:p>
      <w:pPr>
        <w:spacing w:after="0"/>
        <w:tabs>
          <w:tab w:leader="none" w:pos="5500" w:val="left"/>
        </w:tabs>
        <w:rPr>
          <w:sz w:val="20"/>
          <w:szCs w:val="20"/>
          <w:color w:val="auto"/>
        </w:rPr>
      </w:pPr>
      <w:r>
        <w:rPr>
          <w:rFonts w:ascii="Arial" w:cs="Arial" w:eastAsia="Arial" w:hAnsi="Arial"/>
          <w:sz w:val="20"/>
          <w:szCs w:val="20"/>
          <w:b w:val="1"/>
          <w:bCs w:val="1"/>
          <w:color w:val="auto"/>
        </w:rPr>
        <w:t>UNITED STATES</w:t>
      </w:r>
      <w:r>
        <w:rPr>
          <w:sz w:val="20"/>
          <w:szCs w:val="20"/>
          <w:color w:val="auto"/>
        </w:rPr>
        <w:tab/>
      </w:r>
      <w:r>
        <w:rPr>
          <w:rFonts w:ascii="Arial" w:cs="Arial" w:eastAsia="Arial" w:hAnsi="Arial"/>
          <w:sz w:val="20"/>
          <w:szCs w:val="20"/>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753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53225"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200660</wp:posOffset>
            </wp:positionV>
            <wp:extent cx="747395" cy="201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7395" cy="20129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215265</wp:posOffset>
            </wp:positionV>
            <wp:extent cx="931545" cy="1104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1545" cy="110490"/>
                    </a:xfrm>
                    <a:prstGeom prst="rect">
                      <a:avLst/>
                    </a:prstGeom>
                    <a:noFill/>
                  </pic:spPr>
                </pic:pic>
              </a:graphicData>
            </a:graphic>
          </wp:anchor>
        </w:drawing>
      </w:r>
    </w:p>
    <w:p>
      <w:pPr>
        <w:sectPr>
          <w:pgSz w:w="12240" w:h="15841" w:orient="portrait"/>
          <w:cols w:equalWidth="0" w:num="1">
            <w:col w:w="10780"/>
          </w:cols>
          <w:pgMar w:left="740" w:top="736" w:right="721" w:bottom="9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TJ Maxx, together with Marshalls forms Marmaxx, the largest off-price retailer of apparel and home fashions in the U.S. TJ Maxx offers family apparel, home fashions, and an expanded assortment of jewelry and accessories, including beauty, as well as The Runway, a high-end designer department, in some stores. As of 2025’s year end, TJ Maxx operated 1,348 stores and tjmaxx.com.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283845</wp:posOffset>
            </wp:positionV>
            <wp:extent cx="814705" cy="1752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4705" cy="17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Marshalls, together with TJ Maxx, forms Marmaxx. Marshalls offers family apparel, including a full line of footwear and a broader men’s offering, home fashions, as well as accessories, including beauty and jewelry. As of 2025’s year end, Marshalls operated 1,255 stores and marshalls.com.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874395" cy="2266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74395" cy="22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HomeGoods is the leading off-price retailer of home fashions in the U.S. HomeGoods offers an eclectic assortment of home fashions, including furniture, rugs, lighting, soft home, decorative accessories, tabletop, and cookware, as well as expanded pet and gourmet food departments. As of 2025’s year end, HomeGoods operated 963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319405</wp:posOffset>
            </wp:positionV>
            <wp:extent cx="85534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53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Sierra is a leading off-price retailer of brand name active and outdoor apparel, footwear, and gear (including sporting goods, snow and water sport, camping, and fishing) for the whole family, as well as home fashions and pet. As of 2025’s year end, Sierra operated 145 stores and sierra.com.</w:t>
      </w:r>
    </w:p>
    <w:p>
      <w:pPr>
        <w:spacing w:after="0" w:line="200" w:lineRule="exact"/>
        <w:rPr>
          <w:sz w:val="20"/>
          <w:szCs w:val="20"/>
          <w:color w:val="auto"/>
        </w:rPr>
      </w:pPr>
    </w:p>
    <w:p>
      <w:pPr>
        <w:spacing w:after="0" w:line="356" w:lineRule="exact"/>
        <w:rPr>
          <w:sz w:val="20"/>
          <w:szCs w:val="20"/>
          <w:color w:val="auto"/>
        </w:rPr>
      </w:pPr>
    </w:p>
    <w:p>
      <w:pPr>
        <w:jc w:val="both"/>
        <w:ind w:left="920" w:right="80" w:firstLine="15"/>
        <w:spacing w:after="0" w:line="270" w:lineRule="auto"/>
        <w:rPr>
          <w:sz w:val="20"/>
          <w:szCs w:val="20"/>
          <w:color w:val="auto"/>
        </w:rPr>
      </w:pPr>
      <w:r>
        <w:rPr>
          <w:rFonts w:ascii="Arial" w:cs="Arial" w:eastAsia="Arial" w:hAnsi="Arial"/>
          <w:sz w:val="17"/>
          <w:szCs w:val="17"/>
          <w:color w:val="auto"/>
        </w:rPr>
        <w:t>Homesense complements HomeGoods, offering a differentiated mix and expanded departments, such as large furniture, ceiling lighting, rugs, and an entertaining marketplace. As of 2025’s year end, Homesense operated 79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-686435</wp:posOffset>
            </wp:positionV>
            <wp:extent cx="512445" cy="471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2445" cy="47180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1872615</wp:posOffset>
            </wp:positionV>
            <wp:extent cx="4763" cy="4763"/>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Winners is the leading off-price family apparel and home fashions retailer in Canada. Select stores offer fine jewelry and some feature The Runway, a high-end designer department. As of 2025’s year end, Winners operated 316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1100455" cy="1295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0455" cy="1295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502920</wp:posOffset>
            </wp:positionV>
            <wp:extent cx="105664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566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HomeSense is the leading off-price home fashions retailer in Canada, offering an array of home décor, furniture, and seasonal home merchandise. As of 2025’s year end, HomeSense operated 162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805180" cy="165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05180" cy="16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Marshalls, in Canada, offers off-price values on family apparel, footwear and home fashions. Marshalls has an expanded dress department and The CUBE, an exciting juniors’ department. As of 2025’s year end, Marshalls operated 111 stores in Canada.</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324612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4612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45490" cy="181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5490"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TK Maxx is the largest off-price family apparel and home fashions retailer in Europe. In some stores, TK Maxx offers the Mod Box, a department specifically for younger customers, and Gold Label, which features high-end designer labels. As of 2025’s year end, TK Maxx operated 673 stores across the U.K., Ireland, Germany, Poland, Austria, the Netherlands, and starting in March 2026, Spain. It also operates tkmaxx.com in the U.K., tkmaxx.de in Germany, and tkmaxx.at in Austria.</w:t>
      </w:r>
    </w:p>
    <w:p>
      <w:pPr>
        <w:spacing w:after="0" w:line="200" w:lineRule="exact"/>
        <w:rPr>
          <w:sz w:val="20"/>
          <w:szCs w:val="20"/>
          <w:color w:val="auto"/>
        </w:rPr>
      </w:pPr>
    </w:p>
    <w:p>
      <w:pPr>
        <w:spacing w:after="0" w:line="268"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Homesense, the leading off-price home fashions retailer in the U.K. and Ireland, offers home fashions, including home basics and home décor. As of 2025’s year end, Homesense operated 74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510540" cy="466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0540" cy="46672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324612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4612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258445</wp:posOffset>
            </wp:positionV>
            <wp:extent cx="745490" cy="181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5490"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TK Maxx is an off-price retailer in Australia, offering family apparel, including footwear, accessories, and home fashions. As of 2025’s year end, TK Maxx operated 88 stores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969645</wp:posOffset>
            </wp:positionV>
            <wp:extent cx="4763" cy="4763"/>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2240" w:h="15841" w:orient="portrait"/>
          <w:cols w:equalWidth="0" w:num="2">
            <w:col w:w="5060" w:space="460"/>
            <w:col w:w="5260"/>
          </w:cols>
          <w:pgMar w:left="740" w:top="736" w:right="721" w:bottom="969"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109"/>
          <w:szCs w:val="109"/>
          <w:color w:val="97000B"/>
        </w:rPr>
        <w:t xml:space="preserve">WE ARE </w:t>
      </w:r>
      <w:r>
        <w:rPr>
          <w:rFonts w:ascii="Arial" w:cs="Arial" w:eastAsia="Arial" w:hAnsi="Arial"/>
          <w:sz w:val="109"/>
          <w:szCs w:val="109"/>
          <w:b w:val="1"/>
          <w:bCs w:val="1"/>
          <w:color w:val="97000B"/>
        </w:rPr>
        <w:t>ONE TJX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146685</wp:posOffset>
            </wp:positionV>
            <wp:extent cx="6802120" cy="298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2120" cy="298450"/>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4267200</wp:posOffset>
            </wp:positionV>
            <wp:extent cx="593090" cy="920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3090" cy="92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21"/>
        <w:spacing w:after="0"/>
        <w:rPr>
          <w:sz w:val="20"/>
          <w:szCs w:val="20"/>
          <w:color w:val="auto"/>
        </w:rPr>
      </w:pPr>
      <w:r>
        <w:rPr>
          <w:rFonts w:ascii="Arial" w:cs="Arial" w:eastAsia="Arial" w:hAnsi="Arial"/>
          <w:sz w:val="20"/>
          <w:szCs w:val="20"/>
          <w:color w:val="auto"/>
        </w:rPr>
        <w:t>The TJX Companies, Inc.</w:t>
      </w:r>
    </w:p>
    <w:p>
      <w:pPr>
        <w:spacing w:after="0" w:line="10" w:lineRule="exact"/>
        <w:rPr>
          <w:sz w:val="20"/>
          <w:szCs w:val="20"/>
          <w:color w:val="auto"/>
        </w:rPr>
      </w:pPr>
    </w:p>
    <w:p>
      <w:pPr>
        <w:jc w:val="right"/>
        <w:ind w:right="121"/>
        <w:spacing w:after="0"/>
        <w:rPr>
          <w:sz w:val="20"/>
          <w:szCs w:val="20"/>
          <w:color w:val="auto"/>
        </w:rPr>
      </w:pPr>
      <w:r>
        <w:rPr>
          <w:rFonts w:ascii="Arial" w:cs="Arial" w:eastAsia="Arial" w:hAnsi="Arial"/>
          <w:sz w:val="20"/>
          <w:szCs w:val="20"/>
          <w:color w:val="auto"/>
        </w:rPr>
        <w:t>770 Cochituate Road</w:t>
      </w:r>
    </w:p>
    <w:p>
      <w:pPr>
        <w:spacing w:after="0" w:line="10" w:lineRule="exact"/>
        <w:rPr>
          <w:sz w:val="20"/>
          <w:szCs w:val="20"/>
          <w:color w:val="auto"/>
        </w:rPr>
      </w:pPr>
    </w:p>
    <w:p>
      <w:pPr>
        <w:jc w:val="right"/>
        <w:ind w:right="121"/>
        <w:spacing w:after="0"/>
        <w:rPr>
          <w:sz w:val="20"/>
          <w:szCs w:val="20"/>
          <w:color w:val="auto"/>
        </w:rPr>
      </w:pPr>
      <w:r>
        <w:rPr>
          <w:rFonts w:ascii="Arial" w:cs="Arial" w:eastAsia="Arial" w:hAnsi="Arial"/>
          <w:sz w:val="20"/>
          <w:szCs w:val="20"/>
          <w:color w:val="auto"/>
        </w:rPr>
        <w:t>Framingham, MA 01701</w:t>
      </w:r>
    </w:p>
    <w:p>
      <w:pPr>
        <w:spacing w:after="0" w:line="10" w:lineRule="exact"/>
        <w:rPr>
          <w:sz w:val="20"/>
          <w:szCs w:val="20"/>
          <w:color w:val="auto"/>
        </w:rPr>
      </w:pPr>
    </w:p>
    <w:p>
      <w:pPr>
        <w:jc w:val="right"/>
        <w:ind w:right="121"/>
        <w:spacing w:after="0"/>
        <w:rPr>
          <w:sz w:val="20"/>
          <w:szCs w:val="20"/>
          <w:color w:val="auto"/>
        </w:rPr>
      </w:pPr>
      <w:r>
        <w:rPr>
          <w:rFonts w:ascii="Arial" w:cs="Arial" w:eastAsia="Arial" w:hAnsi="Arial"/>
          <w:sz w:val="20"/>
          <w:szCs w:val="20"/>
          <w:color w:val="auto"/>
        </w:rPr>
        <w:t>508-390-1000</w:t>
      </w:r>
    </w:p>
    <w:p>
      <w:pPr>
        <w:spacing w:after="0" w:line="10" w:lineRule="exact"/>
        <w:rPr>
          <w:sz w:val="20"/>
          <w:szCs w:val="20"/>
          <w:color w:val="auto"/>
        </w:rPr>
      </w:pPr>
    </w:p>
    <w:p>
      <w:pPr>
        <w:jc w:val="right"/>
        <w:ind w:right="121"/>
        <w:spacing w:after="0"/>
        <w:rPr>
          <w:sz w:val="20"/>
          <w:szCs w:val="20"/>
          <w:color w:val="auto"/>
        </w:rPr>
      </w:pPr>
      <w:r>
        <w:rPr>
          <w:rFonts w:ascii="Arial" w:cs="Arial" w:eastAsia="Arial" w:hAnsi="Arial"/>
          <w:sz w:val="20"/>
          <w:szCs w:val="20"/>
          <w:color w:val="auto"/>
        </w:rPr>
        <w:t>TJX.com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296545</wp:posOffset>
            </wp:positionV>
            <wp:extent cx="4763" cy="4763"/>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296545</wp:posOffset>
            </wp:positionV>
            <wp:extent cx="4763" cy="4763"/>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sectPr>
      <w:pgSz w:w="12240" w:h="15841" w:orient="portrait"/>
      <w:cols w:equalWidth="0" w:num="1">
        <w:col w:w="9361"/>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Franklin Gothic Book">
    <w:panose1 w:val="020B0503020102020204"/>
    <w:charset w:val="00"/>
    <w:family w:val="swiss"/>
    <w:pitch w:val="variable"/>
    <w:sig w:usb0="00000287" w:usb1="00000000" w:usb2="00000000" w:usb3="00000000" w:csb0="2000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20"/>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5"/>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upperLetter"/>
      <w:start w:val="19"/>
    </w:lvl>
  </w:abstractNum>
  <w:abstractNum w:abstractNumId="6">
    <w:nsid w:val="66EF438D"/>
    <w:multiLevelType w:val="hybridMultilevel"/>
    <w:lvl w:ilvl="0">
      <w:lvlJc w:val="left"/>
      <w:lvlText w:val="%1"/>
      <w:numFmt w:val="decimal"/>
      <w:start w:val="15"/>
    </w:lvl>
  </w:abstractNum>
  <w:abstractNum w:abstractNumId="7">
    <w:nsid w:val="140E0F76"/>
    <w:multiLevelType w:val="hybridMultilevel"/>
    <w:lvl w:ilvl="0">
      <w:lvlJc w:val="left"/>
      <w:lvlText w:val="(%1)"/>
      <w:numFmt w:val="lowerLetter"/>
      <w:start w:val="16"/>
    </w:lvl>
  </w:abstractNum>
  <w:abstractNum w:abstractNumId="8">
    <w:nsid w:val="3352255A"/>
    <w:multiLevelType w:val="hybridMultilevel"/>
    <w:lvl w:ilvl="0">
      <w:lvlJc w:val="left"/>
      <w:lvlText w:val="%1"/>
      <w:numFmt w:val="lowerLetter"/>
      <w:start w:val="19"/>
    </w:lvl>
  </w:abstractNum>
  <w:abstractNum w:abstractNumId="9">
    <w:nsid w:val="109CF92E"/>
    <w:multiLevelType w:val="hybridMultilevel"/>
    <w:lvl w:ilvl="0">
      <w:lvlJc w:val="left"/>
      <w:lvlText w:val="%1"/>
      <w:numFmt w:val="upperLetter"/>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2026-04-30T10:47:34Z</dcterms:created>
  <dcterms:modified xsi:type="dcterms:W3CDTF">2026-04-30T10:47:34Z</dcterms:modified>
</cp:coreProperties>
</file>